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E834D0" w:rsidP="00C321B5">
      <w:pPr>
        <w:jc w:val="center"/>
        <w:rPr>
          <w:rFonts w:ascii="Book Antiqua" w:hAnsi="Book Antiqua" w:cs="Arial"/>
          <w:sz w:val="16"/>
          <w:szCs w:val="16"/>
        </w:rPr>
      </w:pPr>
      <w:r w:rsidRPr="00B52FDE">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880FD2" w:rsidRPr="00DE0374" w:rsidRDefault="00C321B5" w:rsidP="00880FD2">
      <w:pPr>
        <w:tabs>
          <w:tab w:val="right" w:pos="9720"/>
        </w:tabs>
        <w:rPr>
          <w:rFonts w:ascii="Book Antiqua" w:hAnsi="Book Antiqua"/>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841578">
        <w:rPr>
          <w:rFonts w:ascii="Book Antiqua" w:hAnsi="Book Antiqua" w:cs="Arial"/>
          <w:b/>
        </w:rPr>
        <w:t xml:space="preserve">   </w:t>
      </w:r>
      <w:proofErr w:type="gramEnd"/>
      <w:r w:rsidR="00841578">
        <w:rPr>
          <w:rFonts w:ascii="Book Antiqua" w:hAnsi="Book Antiqua" w:cs="Arial"/>
          <w:b/>
        </w:rPr>
        <w:t xml:space="preserve">                  </w:t>
      </w:r>
      <w:r w:rsidR="00B3524D" w:rsidRPr="00BF25B7">
        <w:rPr>
          <w:rFonts w:ascii="Book Antiqua" w:hAnsi="Book Antiqua" w:cs="Arial"/>
          <w:b/>
        </w:rPr>
        <w:t>Appeal Number</w:t>
      </w:r>
      <w:r w:rsidR="008A6D99">
        <w:rPr>
          <w:rFonts w:ascii="Book Antiqua" w:hAnsi="Book Antiqua" w:cs="Arial"/>
          <w:b/>
        </w:rPr>
        <w:t>s</w:t>
      </w:r>
      <w:r w:rsidR="00D53769" w:rsidRPr="00BF25B7">
        <w:rPr>
          <w:rFonts w:ascii="Book Antiqua" w:hAnsi="Book Antiqua" w:cs="Arial"/>
          <w:b/>
        </w:rPr>
        <w:t>:</w:t>
      </w:r>
      <w:r w:rsidR="00B3524D" w:rsidRPr="00BF25B7">
        <w:rPr>
          <w:rFonts w:ascii="Book Antiqua" w:hAnsi="Book Antiqua" w:cs="Arial"/>
          <w:b/>
        </w:rPr>
        <w:t xml:space="preserve"> </w:t>
      </w:r>
      <w:r w:rsidR="008767BD">
        <w:rPr>
          <w:rFonts w:ascii="Book Antiqua" w:hAnsi="Book Antiqua"/>
          <w:b/>
        </w:rPr>
        <w:t>PA</w:t>
      </w:r>
      <w:r w:rsidR="00880FD2">
        <w:rPr>
          <w:rFonts w:ascii="Book Antiqua" w:hAnsi="Book Antiqua"/>
          <w:b/>
        </w:rPr>
        <w:t>/</w:t>
      </w:r>
      <w:r w:rsidR="008767BD">
        <w:rPr>
          <w:rFonts w:ascii="Book Antiqua" w:hAnsi="Book Antiqua"/>
          <w:b/>
        </w:rPr>
        <w:t>06708</w:t>
      </w:r>
      <w:r w:rsidR="00880FD2">
        <w:rPr>
          <w:rFonts w:ascii="Book Antiqua" w:hAnsi="Book Antiqua"/>
          <w:b/>
        </w:rPr>
        <w:t>/201</w:t>
      </w:r>
      <w:r w:rsidR="008767BD">
        <w:rPr>
          <w:rFonts w:ascii="Book Antiqua" w:hAnsi="Book Antiqua"/>
          <w:b/>
        </w:rPr>
        <w:t>8</w:t>
      </w:r>
    </w:p>
    <w:p w:rsidR="008A6D99" w:rsidRPr="00DE0374" w:rsidRDefault="008A6D99" w:rsidP="008A6D99">
      <w:pPr>
        <w:tabs>
          <w:tab w:val="right" w:pos="9720"/>
        </w:tabs>
        <w:rPr>
          <w:rFonts w:ascii="Book Antiqua" w:hAnsi="Book Antiqua"/>
          <w:b/>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691"/>
        <w:gridCol w:w="1066"/>
        <w:gridCol w:w="3881"/>
      </w:tblGrid>
      <w:tr w:rsidR="00D22636" w:rsidRPr="00384467" w:rsidTr="00841578">
        <w:tc>
          <w:tcPr>
            <w:tcW w:w="4691" w:type="dxa"/>
            <w:shd w:val="clear" w:color="auto" w:fill="auto"/>
          </w:tcPr>
          <w:p w:rsidR="00D22636" w:rsidRPr="00384467" w:rsidRDefault="00D22636" w:rsidP="00384467">
            <w:pPr>
              <w:jc w:val="both"/>
              <w:rPr>
                <w:rFonts w:ascii="Book Antiqua" w:hAnsi="Book Antiqua" w:cs="Arial"/>
                <w:b/>
              </w:rPr>
            </w:pPr>
            <w:r w:rsidRPr="00384467">
              <w:rPr>
                <w:rFonts w:ascii="Book Antiqua" w:hAnsi="Book Antiqua" w:cs="Arial"/>
                <w:b/>
              </w:rPr>
              <w:t xml:space="preserve">Heard at </w:t>
            </w:r>
            <w:r w:rsidR="00CF1EEF">
              <w:rPr>
                <w:rFonts w:ascii="Book Antiqua" w:hAnsi="Book Antiqua" w:cs="Arial"/>
                <w:b/>
              </w:rPr>
              <w:t>Field House</w:t>
            </w:r>
          </w:p>
        </w:tc>
        <w:tc>
          <w:tcPr>
            <w:tcW w:w="4947" w:type="dxa"/>
            <w:gridSpan w:val="2"/>
            <w:shd w:val="clear" w:color="auto" w:fill="auto"/>
          </w:tcPr>
          <w:p w:rsidR="00D22636" w:rsidRPr="00384467" w:rsidRDefault="00841578" w:rsidP="00384467">
            <w:pPr>
              <w:jc w:val="both"/>
              <w:rPr>
                <w:rFonts w:ascii="Book Antiqua" w:hAnsi="Book Antiqua" w:cs="Arial"/>
                <w:b/>
              </w:rPr>
            </w:pPr>
            <w:r>
              <w:rPr>
                <w:rFonts w:ascii="Book Antiqua" w:hAnsi="Book Antiqua" w:cs="Arial"/>
                <w:b/>
              </w:rPr>
              <w:t xml:space="preserve">        </w:t>
            </w:r>
            <w:r w:rsidR="00283659" w:rsidRPr="00384467">
              <w:rPr>
                <w:rFonts w:ascii="Book Antiqua" w:hAnsi="Book Antiqua" w:cs="Arial"/>
                <w:b/>
              </w:rPr>
              <w:t>De</w:t>
            </w:r>
            <w:r w:rsidR="00864126" w:rsidRPr="00384467">
              <w:rPr>
                <w:rFonts w:ascii="Book Antiqua" w:hAnsi="Book Antiqua" w:cs="Arial"/>
                <w:b/>
              </w:rPr>
              <w:t>cision &amp; Reasons</w:t>
            </w:r>
            <w:r w:rsidR="00283659" w:rsidRPr="00384467">
              <w:rPr>
                <w:rFonts w:ascii="Book Antiqua" w:hAnsi="Book Antiqua" w:cs="Arial"/>
                <w:b/>
              </w:rPr>
              <w:t xml:space="preserve"> Promulgated</w:t>
            </w:r>
          </w:p>
        </w:tc>
      </w:tr>
      <w:tr w:rsidR="00D22636" w:rsidRPr="00384467" w:rsidTr="00841578">
        <w:tc>
          <w:tcPr>
            <w:tcW w:w="4691" w:type="dxa"/>
            <w:shd w:val="clear" w:color="auto" w:fill="auto"/>
          </w:tcPr>
          <w:p w:rsidR="00D22636" w:rsidRPr="00384467" w:rsidRDefault="00D22636" w:rsidP="00384467">
            <w:pPr>
              <w:jc w:val="both"/>
              <w:rPr>
                <w:rFonts w:ascii="Book Antiqua" w:hAnsi="Book Antiqua" w:cs="Arial"/>
                <w:b/>
              </w:rPr>
            </w:pPr>
            <w:r w:rsidRPr="00384467">
              <w:rPr>
                <w:rFonts w:ascii="Book Antiqua" w:hAnsi="Book Antiqua" w:cs="Arial"/>
                <w:b/>
              </w:rPr>
              <w:t xml:space="preserve">On </w:t>
            </w:r>
            <w:r w:rsidR="00880FD2">
              <w:rPr>
                <w:rFonts w:ascii="Book Antiqua" w:hAnsi="Book Antiqua" w:cs="Arial"/>
                <w:b/>
              </w:rPr>
              <w:t xml:space="preserve">November </w:t>
            </w:r>
            <w:r w:rsidR="00EF2A53">
              <w:rPr>
                <w:rFonts w:ascii="Book Antiqua" w:hAnsi="Book Antiqua" w:cs="Arial"/>
                <w:b/>
              </w:rPr>
              <w:t>9</w:t>
            </w:r>
            <w:r w:rsidR="00880FD2">
              <w:rPr>
                <w:rFonts w:ascii="Book Antiqua" w:hAnsi="Book Antiqua" w:cs="Arial"/>
                <w:b/>
              </w:rPr>
              <w:t>, 2018</w:t>
            </w:r>
          </w:p>
        </w:tc>
        <w:tc>
          <w:tcPr>
            <w:tcW w:w="4947" w:type="dxa"/>
            <w:gridSpan w:val="2"/>
            <w:shd w:val="clear" w:color="auto" w:fill="auto"/>
          </w:tcPr>
          <w:p w:rsidR="00D22636" w:rsidRPr="00384467" w:rsidRDefault="00841578" w:rsidP="00384467">
            <w:pPr>
              <w:jc w:val="both"/>
              <w:rPr>
                <w:rFonts w:ascii="Book Antiqua" w:hAnsi="Book Antiqua" w:cs="Arial"/>
                <w:b/>
              </w:rPr>
            </w:pPr>
            <w:r>
              <w:rPr>
                <w:rFonts w:ascii="Book Antiqua" w:hAnsi="Book Antiqua" w:cs="Arial"/>
                <w:b/>
              </w:rPr>
              <w:t xml:space="preserve">        </w:t>
            </w:r>
            <w:r w:rsidR="00E834D0">
              <w:rPr>
                <w:rFonts w:ascii="Book Antiqua" w:hAnsi="Book Antiqua" w:cs="Arial"/>
                <w:b/>
              </w:rPr>
              <w:t xml:space="preserve">On November 19, 2018 </w:t>
            </w:r>
          </w:p>
        </w:tc>
      </w:tr>
      <w:tr w:rsidR="00E834D0" w:rsidRPr="00384467" w:rsidTr="00841578">
        <w:trPr>
          <w:gridAfter w:val="1"/>
          <w:wAfter w:w="3881" w:type="dxa"/>
        </w:trPr>
        <w:tc>
          <w:tcPr>
            <w:tcW w:w="5757" w:type="dxa"/>
            <w:gridSpan w:val="2"/>
            <w:shd w:val="clear" w:color="auto" w:fill="auto"/>
          </w:tcPr>
          <w:p w:rsidR="00E834D0" w:rsidRPr="00384467" w:rsidRDefault="00E834D0" w:rsidP="00384467">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0A32A2" w:rsidP="00CF1EEF">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w:t>
      </w:r>
      <w:r w:rsidR="009E1EED">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DE0374" w:rsidRPr="00F5664C" w:rsidRDefault="00841578" w:rsidP="00DE0374">
      <w:pPr>
        <w:jc w:val="center"/>
        <w:rPr>
          <w:rFonts w:ascii="Book Antiqua" w:hAnsi="Book Antiqua" w:cs="Arial"/>
          <w:b/>
        </w:rPr>
      </w:pPr>
      <w:r>
        <w:rPr>
          <w:rFonts w:ascii="Book Antiqua" w:hAnsi="Book Antiqua" w:cs="Arial"/>
          <w:b/>
        </w:rPr>
        <w:t>THE SECRETARY OF STATE FOR THE HOME DEPARTMENT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607494" w:rsidRDefault="00607494" w:rsidP="00607494">
      <w:pPr>
        <w:jc w:val="center"/>
        <w:rPr>
          <w:rFonts w:ascii="Book Antiqua" w:hAnsi="Book Antiqua"/>
          <w:b/>
        </w:rPr>
      </w:pPr>
      <w:r>
        <w:rPr>
          <w:rFonts w:ascii="Book Antiqua" w:hAnsi="Book Antiqua"/>
          <w:b/>
          <w:caps/>
        </w:rPr>
        <w:t xml:space="preserve">MR </w:t>
      </w:r>
      <w:r w:rsidR="00293D9E">
        <w:rPr>
          <w:rFonts w:ascii="Book Antiqua" w:hAnsi="Book Antiqua"/>
          <w:b/>
          <w:caps/>
        </w:rPr>
        <w:t>S K</w:t>
      </w:r>
    </w:p>
    <w:p w:rsidR="00DD5071" w:rsidRPr="00841578" w:rsidRDefault="00607494" w:rsidP="008A6D99">
      <w:pPr>
        <w:jc w:val="center"/>
        <w:rPr>
          <w:rFonts w:ascii="Book Antiqua" w:hAnsi="Book Antiqua" w:cs="Arial"/>
          <w:caps/>
        </w:rPr>
      </w:pPr>
      <w:r w:rsidRPr="00841578">
        <w:rPr>
          <w:rFonts w:ascii="Book Antiqua" w:hAnsi="Book Antiqua" w:cs="Arial"/>
        </w:rPr>
        <w:t>(ANONYMITY DIRECTION MADE)</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841578" w:rsidRDefault="00841578" w:rsidP="00DD5071">
      <w:pPr>
        <w:rPr>
          <w:rFonts w:ascii="Book Antiqua" w:hAnsi="Book Antiqua" w:cs="Arial"/>
          <w:b/>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293D9E">
        <w:rPr>
          <w:rFonts w:ascii="Book Antiqua" w:hAnsi="Book Antiqua" w:cs="Arial"/>
        </w:rPr>
        <w:t>Mr Jarvis</w:t>
      </w:r>
      <w:r w:rsidR="00607494">
        <w:rPr>
          <w:rFonts w:ascii="Book Antiqua" w:hAnsi="Book Antiqua" w:cs="Arial"/>
        </w:rPr>
        <w:t>, Senior Home Office Presenting Officer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00293D9E">
        <w:rPr>
          <w:rFonts w:ascii="Book Antiqua" w:hAnsi="Book Antiqua" w:cs="Arial"/>
        </w:rPr>
        <w:tab/>
        <w:t>Ms Ryan, Solicitor</w:t>
      </w: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B626FA" w:rsidRPr="00F5664C" w:rsidRDefault="00B626FA" w:rsidP="00402B9E">
      <w:pPr>
        <w:tabs>
          <w:tab w:val="left" w:pos="2520"/>
        </w:tabs>
        <w:jc w:val="both"/>
        <w:rPr>
          <w:rFonts w:ascii="Book Antiqua" w:hAnsi="Book Antiqua" w:cs="Arial"/>
        </w:rPr>
      </w:pPr>
    </w:p>
    <w:p w:rsidR="00607494" w:rsidRPr="00E35A3C" w:rsidRDefault="00E35A3C" w:rsidP="00DE0374">
      <w:pPr>
        <w:widowControl w:val="0"/>
        <w:numPr>
          <w:ilvl w:val="0"/>
          <w:numId w:val="3"/>
        </w:numPr>
        <w:rPr>
          <w:rFonts w:ascii="Book Antiqua" w:hAnsi="Book Antiqua"/>
        </w:rPr>
      </w:pPr>
      <w:r>
        <w:rPr>
          <w:rFonts w:ascii="Book Antiqua" w:hAnsi="Book Antiqua" w:cs="Arial"/>
        </w:rPr>
        <w:t>Pursuant to Rule 14(1) of the Tribunal Procedure (Upper Tribunal) Rules 2008 (the UT Procedure Rules) I make an order prohibiting the disclosure or publication of specified documents or information relating to the proceedings or of any matter likely to lead members of the public to identify any person who the Upper Tribunal considers should not be identified.  The effect of such an “anonymity order” may therefore be to prohibit anyone (not merely the parties in the case) from disclosing relevant information.  Breach of the order may be punishable as a contempt of court.</w:t>
      </w:r>
    </w:p>
    <w:p w:rsidR="00E35A3C" w:rsidRDefault="00E35A3C" w:rsidP="008109D3">
      <w:pPr>
        <w:widowControl w:val="0"/>
        <w:ind w:left="567"/>
        <w:rPr>
          <w:rFonts w:ascii="Book Antiqua" w:hAnsi="Book Antiqua"/>
        </w:rPr>
      </w:pPr>
    </w:p>
    <w:p w:rsidR="008109D3" w:rsidRDefault="00293D9E" w:rsidP="00DE0374">
      <w:pPr>
        <w:widowControl w:val="0"/>
        <w:numPr>
          <w:ilvl w:val="0"/>
          <w:numId w:val="3"/>
        </w:numPr>
        <w:rPr>
          <w:rFonts w:ascii="Book Antiqua" w:hAnsi="Book Antiqua"/>
        </w:rPr>
      </w:pPr>
      <w:r>
        <w:rPr>
          <w:rFonts w:ascii="Book Antiqua" w:hAnsi="Book Antiqua"/>
        </w:rPr>
        <w:t xml:space="preserve">Whilst the respondent is the appellant in these proceedings before me I have hereafter referred to the parties using the terminology used in the First-tier Tribunal. The appellant in the First-tier Tribunal will hereafter be referred to as the appellant in these proceedings and the respondent will be referred to as the respondent. </w:t>
      </w:r>
    </w:p>
    <w:p w:rsidR="008109D3" w:rsidRDefault="008109D3" w:rsidP="008109D3">
      <w:pPr>
        <w:pStyle w:val="ListParagraph"/>
        <w:rPr>
          <w:rFonts w:ascii="Book Antiqua" w:hAnsi="Book Antiqua"/>
        </w:rPr>
      </w:pPr>
    </w:p>
    <w:p w:rsidR="00DE0374" w:rsidRDefault="00DE0374" w:rsidP="00DE0374">
      <w:pPr>
        <w:widowControl w:val="0"/>
        <w:numPr>
          <w:ilvl w:val="0"/>
          <w:numId w:val="3"/>
        </w:numPr>
        <w:rPr>
          <w:rFonts w:ascii="Book Antiqua" w:hAnsi="Book Antiqua"/>
        </w:rPr>
      </w:pPr>
      <w:r>
        <w:rPr>
          <w:rFonts w:ascii="Book Antiqua" w:hAnsi="Book Antiqua"/>
        </w:rPr>
        <w:t>The appellant</w:t>
      </w:r>
      <w:r w:rsidR="009A7E85">
        <w:rPr>
          <w:rFonts w:ascii="Book Antiqua" w:hAnsi="Book Antiqua"/>
        </w:rPr>
        <w:t xml:space="preserve"> is a</w:t>
      </w:r>
      <w:r>
        <w:rPr>
          <w:rFonts w:ascii="Book Antiqua" w:hAnsi="Book Antiqua"/>
        </w:rPr>
        <w:t xml:space="preserve"> </w:t>
      </w:r>
      <w:r w:rsidR="009A7E85">
        <w:rPr>
          <w:rFonts w:ascii="Book Antiqua" w:hAnsi="Book Antiqua"/>
        </w:rPr>
        <w:t xml:space="preserve">national </w:t>
      </w:r>
      <w:r>
        <w:rPr>
          <w:rFonts w:ascii="Book Antiqua" w:hAnsi="Book Antiqua"/>
        </w:rPr>
        <w:t xml:space="preserve">of </w:t>
      </w:r>
      <w:r w:rsidR="008767BD">
        <w:rPr>
          <w:rFonts w:ascii="Book Antiqua" w:hAnsi="Book Antiqua"/>
        </w:rPr>
        <w:t>Afghanistan</w:t>
      </w:r>
      <w:r>
        <w:rPr>
          <w:rFonts w:ascii="Book Antiqua" w:hAnsi="Book Antiqua"/>
        </w:rPr>
        <w:t xml:space="preserve">. </w:t>
      </w:r>
      <w:r w:rsidR="00607494">
        <w:rPr>
          <w:rFonts w:ascii="Book Antiqua" w:hAnsi="Book Antiqua"/>
        </w:rPr>
        <w:t>The appellant entered the United Kingdom clandestinely in February 2016 and claimed asylum on May 13, 2016. On May 14, 2018 the respondent refused his claim for asylum and humanitarian protection.</w:t>
      </w:r>
    </w:p>
    <w:p w:rsidR="009A7E85" w:rsidRPr="00607494" w:rsidRDefault="009A7E85" w:rsidP="00607494">
      <w:pPr>
        <w:pStyle w:val="ListParagraph"/>
        <w:ind w:left="0"/>
        <w:rPr>
          <w:rFonts w:ascii="Book Antiqua" w:hAnsi="Book Antiqua"/>
          <w:color w:val="auto"/>
          <w:sz w:val="24"/>
        </w:rPr>
      </w:pPr>
    </w:p>
    <w:p w:rsidR="00DE0374" w:rsidRPr="00607494" w:rsidRDefault="009A7E85" w:rsidP="00607494">
      <w:pPr>
        <w:widowControl w:val="0"/>
        <w:numPr>
          <w:ilvl w:val="0"/>
          <w:numId w:val="3"/>
        </w:numPr>
        <w:rPr>
          <w:rFonts w:ascii="Book Antiqua" w:hAnsi="Book Antiqua"/>
        </w:rPr>
      </w:pPr>
      <w:r>
        <w:rPr>
          <w:rFonts w:ascii="Book Antiqua" w:hAnsi="Book Antiqua"/>
        </w:rPr>
        <w:t xml:space="preserve">The appellant appealed that decision under section 82 of the Nationality, Immigration and Asylum Act 2002 on </w:t>
      </w:r>
      <w:r w:rsidR="00607494">
        <w:rPr>
          <w:rFonts w:ascii="Book Antiqua" w:hAnsi="Book Antiqua"/>
        </w:rPr>
        <w:t>May 25, 2018</w:t>
      </w:r>
      <w:r>
        <w:rPr>
          <w:rFonts w:ascii="Book Antiqua" w:hAnsi="Book Antiqua"/>
        </w:rPr>
        <w:t>. The grounds argued</w:t>
      </w:r>
      <w:r w:rsidR="00B32DFF">
        <w:rPr>
          <w:rFonts w:ascii="Book Antiqua" w:hAnsi="Book Antiqua"/>
        </w:rPr>
        <w:t xml:space="preserve"> that </w:t>
      </w:r>
      <w:r w:rsidR="00607494">
        <w:rPr>
          <w:rFonts w:ascii="Book Antiqua" w:hAnsi="Book Antiqua"/>
        </w:rPr>
        <w:t>the respondent should have granted his application on the basis that he was a son of a Taliban commander and would face possible recruitment to the Taliban if returned.</w:t>
      </w:r>
    </w:p>
    <w:p w:rsidR="00B32DFF" w:rsidRDefault="00B32DFF" w:rsidP="00B32DFF">
      <w:pPr>
        <w:numPr>
          <w:ilvl w:val="0"/>
          <w:numId w:val="3"/>
        </w:numPr>
        <w:spacing w:before="240"/>
        <w:jc w:val="both"/>
        <w:rPr>
          <w:rFonts w:ascii="Book Antiqua" w:hAnsi="Book Antiqua" w:cs="Arial"/>
        </w:rPr>
      </w:pPr>
      <w:r>
        <w:rPr>
          <w:rFonts w:ascii="Book Antiqua" w:hAnsi="Book Antiqua" w:cs="Arial"/>
        </w:rPr>
        <w:t>The appeal came before Judge of the First-t</w:t>
      </w:r>
      <w:r w:rsidR="00293D9E">
        <w:rPr>
          <w:rFonts w:ascii="Book Antiqua" w:hAnsi="Book Antiqua" w:cs="Arial"/>
        </w:rPr>
        <w:t>ier</w:t>
      </w:r>
      <w:r>
        <w:rPr>
          <w:rFonts w:ascii="Book Antiqua" w:hAnsi="Book Antiqua" w:cs="Arial"/>
        </w:rPr>
        <w:t xml:space="preserve"> Tribunal </w:t>
      </w:r>
      <w:r w:rsidR="00607494">
        <w:rPr>
          <w:rFonts w:ascii="Book Antiqua" w:hAnsi="Book Antiqua" w:cs="Arial"/>
        </w:rPr>
        <w:t xml:space="preserve">Scott </w:t>
      </w:r>
      <w:r>
        <w:rPr>
          <w:rFonts w:ascii="Book Antiqua" w:hAnsi="Book Antiqua" w:cs="Arial"/>
        </w:rPr>
        <w:t xml:space="preserve">on </w:t>
      </w:r>
      <w:r w:rsidR="00607494">
        <w:rPr>
          <w:rFonts w:ascii="Book Antiqua" w:hAnsi="Book Antiqua" w:cs="Arial"/>
        </w:rPr>
        <w:t>June 27</w:t>
      </w:r>
      <w:r>
        <w:rPr>
          <w:rFonts w:ascii="Book Antiqua" w:hAnsi="Book Antiqua" w:cs="Arial"/>
        </w:rPr>
        <w:t xml:space="preserve">, 2018 and in a decision promulgated on </w:t>
      </w:r>
      <w:r w:rsidR="00607494">
        <w:rPr>
          <w:rFonts w:ascii="Book Antiqua" w:hAnsi="Book Antiqua" w:cs="Arial"/>
        </w:rPr>
        <w:t>September 19</w:t>
      </w:r>
      <w:r>
        <w:rPr>
          <w:rFonts w:ascii="Book Antiqua" w:hAnsi="Book Antiqua" w:cs="Arial"/>
        </w:rPr>
        <w:t xml:space="preserve">, 2018 the Judge concluded: </w:t>
      </w:r>
    </w:p>
    <w:p w:rsidR="00B32DFF" w:rsidRDefault="00607494" w:rsidP="00B32DFF">
      <w:pPr>
        <w:numPr>
          <w:ilvl w:val="1"/>
          <w:numId w:val="3"/>
        </w:numPr>
        <w:spacing w:before="240"/>
        <w:jc w:val="both"/>
        <w:rPr>
          <w:rFonts w:ascii="Book Antiqua" w:hAnsi="Book Antiqua" w:cs="Arial"/>
        </w:rPr>
      </w:pPr>
      <w:r>
        <w:rPr>
          <w:rFonts w:ascii="Book Antiqua" w:hAnsi="Book Antiqua" w:cs="Arial"/>
        </w:rPr>
        <w:t xml:space="preserve">The appellant had maintained a consistent and plausible account and any inconsistencies were satisfactorily explained </w:t>
      </w:r>
      <w:r w:rsidR="00293D9E">
        <w:rPr>
          <w:rFonts w:ascii="Book Antiqua" w:hAnsi="Book Antiqua" w:cs="Arial"/>
        </w:rPr>
        <w:t>having</w:t>
      </w:r>
      <w:r>
        <w:rPr>
          <w:rFonts w:ascii="Book Antiqua" w:hAnsi="Book Antiqua" w:cs="Arial"/>
        </w:rPr>
        <w:t xml:space="preserve"> regard to his age at the time of his interviews.</w:t>
      </w:r>
    </w:p>
    <w:p w:rsidR="00607494" w:rsidRDefault="00607494" w:rsidP="00B32DFF">
      <w:pPr>
        <w:numPr>
          <w:ilvl w:val="1"/>
          <w:numId w:val="3"/>
        </w:numPr>
        <w:spacing w:before="240"/>
        <w:jc w:val="both"/>
        <w:rPr>
          <w:rFonts w:ascii="Book Antiqua" w:hAnsi="Book Antiqua" w:cs="Arial"/>
        </w:rPr>
      </w:pPr>
      <w:r>
        <w:rPr>
          <w:rFonts w:ascii="Book Antiqua" w:hAnsi="Book Antiqua" w:cs="Arial"/>
        </w:rPr>
        <w:t>The appellant was neither trained nor did he try on a suicide vest when he visited the Taliban camp.</w:t>
      </w:r>
    </w:p>
    <w:p w:rsidR="00607494" w:rsidRDefault="00607494" w:rsidP="00B32DFF">
      <w:pPr>
        <w:numPr>
          <w:ilvl w:val="1"/>
          <w:numId w:val="3"/>
        </w:numPr>
        <w:spacing w:before="240"/>
        <w:jc w:val="both"/>
        <w:rPr>
          <w:rFonts w:ascii="Book Antiqua" w:hAnsi="Book Antiqua" w:cs="Arial"/>
        </w:rPr>
      </w:pPr>
      <w:r>
        <w:rPr>
          <w:rFonts w:ascii="Book Antiqua" w:hAnsi="Book Antiqua" w:cs="Arial"/>
        </w:rPr>
        <w:t>Any apparent contradictions around the circumstances of events which led to the death of his siblings and mother were explained by the different possible interpretations of the word “</w:t>
      </w:r>
      <w:proofErr w:type="spellStart"/>
      <w:r>
        <w:rPr>
          <w:rFonts w:ascii="Book Antiqua" w:hAnsi="Book Antiqua" w:cs="Arial"/>
        </w:rPr>
        <w:t>bombari</w:t>
      </w:r>
      <w:proofErr w:type="spellEnd"/>
      <w:r>
        <w:rPr>
          <w:rFonts w:ascii="Book Antiqua" w:hAnsi="Book Antiqua" w:cs="Arial"/>
        </w:rPr>
        <w:t>”.</w:t>
      </w:r>
    </w:p>
    <w:p w:rsidR="00607494" w:rsidRDefault="00607494" w:rsidP="00B32DFF">
      <w:pPr>
        <w:numPr>
          <w:ilvl w:val="1"/>
          <w:numId w:val="3"/>
        </w:numPr>
        <w:spacing w:before="240"/>
        <w:jc w:val="both"/>
        <w:rPr>
          <w:rFonts w:ascii="Book Antiqua" w:hAnsi="Book Antiqua" w:cs="Arial"/>
        </w:rPr>
      </w:pPr>
      <w:r>
        <w:rPr>
          <w:rFonts w:ascii="Book Antiqua" w:hAnsi="Book Antiqua" w:cs="Arial"/>
        </w:rPr>
        <w:t>No adverse finding should be made against the appellant by his failure to claim asylum in France due to his age and the fact he was under the control and direction of an agent.</w:t>
      </w:r>
    </w:p>
    <w:p w:rsidR="00607494" w:rsidRDefault="00607494" w:rsidP="00B32DFF">
      <w:pPr>
        <w:numPr>
          <w:ilvl w:val="1"/>
          <w:numId w:val="3"/>
        </w:numPr>
        <w:spacing w:before="240"/>
        <w:jc w:val="both"/>
        <w:rPr>
          <w:rFonts w:ascii="Book Antiqua" w:hAnsi="Book Antiqua" w:cs="Arial"/>
        </w:rPr>
      </w:pPr>
      <w:r>
        <w:rPr>
          <w:rFonts w:ascii="Book Antiqua" w:hAnsi="Book Antiqua" w:cs="Arial"/>
        </w:rPr>
        <w:t xml:space="preserve">The Judge accepted the report provided by Dr </w:t>
      </w:r>
      <w:proofErr w:type="spellStart"/>
      <w:r>
        <w:rPr>
          <w:rFonts w:ascii="Book Antiqua" w:hAnsi="Book Antiqua" w:cs="Arial"/>
        </w:rPr>
        <w:t>Giustozzi</w:t>
      </w:r>
      <w:proofErr w:type="spellEnd"/>
      <w:r w:rsidR="00293D9E">
        <w:rPr>
          <w:rFonts w:ascii="Book Antiqua" w:hAnsi="Book Antiqua" w:cs="Arial"/>
        </w:rPr>
        <w:t xml:space="preserve">. He stated </w:t>
      </w:r>
      <w:r>
        <w:rPr>
          <w:rFonts w:ascii="Book Antiqua" w:hAnsi="Book Antiqua" w:cs="Arial"/>
        </w:rPr>
        <w:t>the appellant would face a real risk of persecution if he was to return to his home area of Nangarhar</w:t>
      </w:r>
      <w:r w:rsidR="00293D9E">
        <w:rPr>
          <w:rFonts w:ascii="Book Antiqua" w:hAnsi="Book Antiqua" w:cs="Arial"/>
        </w:rPr>
        <w:t xml:space="preserve"> </w:t>
      </w:r>
      <w:r>
        <w:rPr>
          <w:rFonts w:ascii="Book Antiqua" w:hAnsi="Book Antiqua" w:cs="Arial"/>
        </w:rPr>
        <w:t xml:space="preserve">where his father was a Taliban commander </w:t>
      </w:r>
      <w:r w:rsidR="00293D9E">
        <w:rPr>
          <w:rFonts w:ascii="Book Antiqua" w:hAnsi="Book Antiqua" w:cs="Arial"/>
        </w:rPr>
        <w:t xml:space="preserve">as </w:t>
      </w:r>
      <w:r>
        <w:rPr>
          <w:rFonts w:ascii="Book Antiqua" w:hAnsi="Book Antiqua" w:cs="Arial"/>
        </w:rPr>
        <w:t xml:space="preserve">he would seek to punish him for running away and/or </w:t>
      </w:r>
      <w:r w:rsidR="00293D9E">
        <w:rPr>
          <w:rFonts w:ascii="Book Antiqua" w:hAnsi="Book Antiqua" w:cs="Arial"/>
        </w:rPr>
        <w:t xml:space="preserve">he would be </w:t>
      </w:r>
      <w:r>
        <w:rPr>
          <w:rFonts w:ascii="Book Antiqua" w:hAnsi="Book Antiqua" w:cs="Arial"/>
        </w:rPr>
        <w:t>forcibly recruited into the Taliban.</w:t>
      </w:r>
    </w:p>
    <w:p w:rsidR="00607494" w:rsidRPr="00767B05" w:rsidRDefault="00607494" w:rsidP="00767B05">
      <w:pPr>
        <w:numPr>
          <w:ilvl w:val="1"/>
          <w:numId w:val="3"/>
        </w:numPr>
        <w:spacing w:before="240"/>
        <w:jc w:val="both"/>
        <w:rPr>
          <w:rFonts w:ascii="Book Antiqua" w:hAnsi="Book Antiqua" w:cs="Arial"/>
        </w:rPr>
      </w:pPr>
      <w:r>
        <w:rPr>
          <w:rFonts w:ascii="Book Antiqua" w:hAnsi="Book Antiqua" w:cs="Arial"/>
        </w:rPr>
        <w:t xml:space="preserve">The appellant could relocate to Kabul because any threat from the Taliban would not go beyond his home area but it would be both unreasonable and unduly harsh to expect him to relocate to Kabul </w:t>
      </w:r>
      <w:proofErr w:type="gramStart"/>
      <w:r>
        <w:rPr>
          <w:rFonts w:ascii="Book Antiqua" w:hAnsi="Book Antiqua" w:cs="Arial"/>
        </w:rPr>
        <w:t>in light of</w:t>
      </w:r>
      <w:proofErr w:type="gramEnd"/>
      <w:r>
        <w:rPr>
          <w:rFonts w:ascii="Book Antiqua" w:hAnsi="Book Antiqua" w:cs="Arial"/>
        </w:rPr>
        <w:t xml:space="preserve"> his age</w:t>
      </w:r>
      <w:r w:rsidR="00767B05">
        <w:rPr>
          <w:rFonts w:ascii="Book Antiqua" w:hAnsi="Book Antiqua" w:cs="Arial"/>
        </w:rPr>
        <w:t>, lack of a support network in Afghanistan, no connection in Kabul, lack of work or vocational skills, lack of accommodation and the fact he would be viewed as “westernised” in light of his time here</w:t>
      </w:r>
    </w:p>
    <w:p w:rsidR="00B32DFF" w:rsidRDefault="00B32DFF" w:rsidP="00DE0374">
      <w:pPr>
        <w:numPr>
          <w:ilvl w:val="0"/>
          <w:numId w:val="3"/>
        </w:numPr>
        <w:spacing w:before="240"/>
        <w:jc w:val="both"/>
        <w:rPr>
          <w:rFonts w:ascii="Book Antiqua" w:hAnsi="Book Antiqua" w:cs="Arial"/>
        </w:rPr>
      </w:pPr>
      <w:r>
        <w:rPr>
          <w:rFonts w:ascii="Book Antiqua" w:hAnsi="Book Antiqua" w:cs="Arial"/>
        </w:rPr>
        <w:t xml:space="preserve">The </w:t>
      </w:r>
      <w:r w:rsidR="00767B05">
        <w:rPr>
          <w:rFonts w:ascii="Book Antiqua" w:hAnsi="Book Antiqua" w:cs="Arial"/>
        </w:rPr>
        <w:t xml:space="preserve">respondent </w:t>
      </w:r>
      <w:r>
        <w:rPr>
          <w:rFonts w:ascii="Book Antiqua" w:hAnsi="Book Antiqua" w:cs="Arial"/>
        </w:rPr>
        <w:t xml:space="preserve">submitted grounds of appeal arguing the Judge had </w:t>
      </w:r>
      <w:r w:rsidR="00767B05">
        <w:rPr>
          <w:rFonts w:ascii="Book Antiqua" w:hAnsi="Book Antiqua" w:cs="Arial"/>
        </w:rPr>
        <w:t>erred by accepting into evidence and explanation provided by the court interpreter in relation to an interpretation of the word “</w:t>
      </w:r>
      <w:proofErr w:type="spellStart"/>
      <w:r w:rsidR="00767B05">
        <w:rPr>
          <w:rFonts w:ascii="Book Antiqua" w:hAnsi="Book Antiqua" w:cs="Arial"/>
        </w:rPr>
        <w:t>bombari</w:t>
      </w:r>
      <w:proofErr w:type="spellEnd"/>
      <w:r w:rsidR="00767B05">
        <w:rPr>
          <w:rFonts w:ascii="Book Antiqua" w:hAnsi="Book Antiqua" w:cs="Arial"/>
        </w:rPr>
        <w:t xml:space="preserve">”, failed to engage with issues raised in the decision letter and by misapplying the decision of </w:t>
      </w:r>
      <w:r w:rsidR="00767B05">
        <w:rPr>
          <w:rFonts w:ascii="Book Antiqua" w:hAnsi="Book Antiqua" w:cs="Arial"/>
          <w:u w:val="single"/>
        </w:rPr>
        <w:t>AS (Safety of Kabul) Afghanistan CG</w:t>
      </w:r>
      <w:r w:rsidR="00767B05">
        <w:rPr>
          <w:rFonts w:ascii="Book Antiqua" w:hAnsi="Book Antiqua" w:cs="Arial"/>
        </w:rPr>
        <w:t xml:space="preserve"> [2018] UKUT 00118 (IAC) in which the Tribunal rejected the approach taken by the Judge when considering return to Kabul.</w:t>
      </w:r>
      <w:bookmarkStart w:id="0" w:name="_GoBack"/>
      <w:bookmarkEnd w:id="0"/>
    </w:p>
    <w:p w:rsidR="00B32DFF" w:rsidRDefault="00B32DFF" w:rsidP="00DE0374">
      <w:pPr>
        <w:numPr>
          <w:ilvl w:val="0"/>
          <w:numId w:val="3"/>
        </w:numPr>
        <w:spacing w:before="240"/>
        <w:jc w:val="both"/>
        <w:rPr>
          <w:rFonts w:ascii="Book Antiqua" w:hAnsi="Book Antiqua" w:cs="Arial"/>
        </w:rPr>
      </w:pPr>
      <w:r>
        <w:rPr>
          <w:rFonts w:ascii="Book Antiqua" w:hAnsi="Book Antiqua" w:cs="Arial"/>
        </w:rPr>
        <w:lastRenderedPageBreak/>
        <w:t>Permission to appeal was granted by Judge of the First-tier Tribunal</w:t>
      </w:r>
      <w:r w:rsidR="00767B05">
        <w:rPr>
          <w:rFonts w:ascii="Book Antiqua" w:hAnsi="Book Antiqua" w:cs="Arial"/>
        </w:rPr>
        <w:t xml:space="preserve"> Grant-Hutchinson </w:t>
      </w:r>
      <w:r>
        <w:rPr>
          <w:rFonts w:ascii="Book Antiqua" w:hAnsi="Book Antiqua" w:cs="Arial"/>
        </w:rPr>
        <w:t xml:space="preserve">on </w:t>
      </w:r>
      <w:r w:rsidR="00767B05">
        <w:rPr>
          <w:rFonts w:ascii="Book Antiqua" w:hAnsi="Book Antiqua" w:cs="Arial"/>
        </w:rPr>
        <w:t>October 9</w:t>
      </w:r>
      <w:r>
        <w:rPr>
          <w:rFonts w:ascii="Book Antiqua" w:hAnsi="Book Antiqua" w:cs="Arial"/>
        </w:rPr>
        <w:t xml:space="preserve">, 2018 who found it arguable the Judge had </w:t>
      </w:r>
      <w:r w:rsidR="00767B05">
        <w:rPr>
          <w:rFonts w:ascii="Book Antiqua" w:hAnsi="Book Antiqua" w:cs="Arial"/>
        </w:rPr>
        <w:t>had erred for the reasons given in the grounds of appeal.</w:t>
      </w:r>
    </w:p>
    <w:p w:rsidR="00754EF5" w:rsidRPr="00754EF5" w:rsidRDefault="00754EF5" w:rsidP="00754EF5">
      <w:pPr>
        <w:spacing w:before="240"/>
        <w:ind w:left="567"/>
        <w:jc w:val="both"/>
        <w:rPr>
          <w:rFonts w:ascii="Book Antiqua" w:hAnsi="Book Antiqua" w:cs="Arial"/>
          <w:b/>
          <w:u w:val="single"/>
        </w:rPr>
      </w:pPr>
      <w:r>
        <w:rPr>
          <w:rFonts w:ascii="Book Antiqua" w:hAnsi="Book Antiqua" w:cs="Arial"/>
          <w:b/>
          <w:u w:val="single"/>
        </w:rPr>
        <w:t>SUBMISSIONS</w:t>
      </w:r>
    </w:p>
    <w:p w:rsidR="007F1340" w:rsidRPr="00293D9E" w:rsidRDefault="00293D9E" w:rsidP="00754EF5">
      <w:pPr>
        <w:numPr>
          <w:ilvl w:val="0"/>
          <w:numId w:val="3"/>
        </w:numPr>
        <w:spacing w:before="240"/>
        <w:jc w:val="both"/>
        <w:rPr>
          <w:rFonts w:ascii="Book Antiqua" w:hAnsi="Book Antiqua" w:cs="Arial"/>
        </w:rPr>
      </w:pPr>
      <w:r>
        <w:rPr>
          <w:rFonts w:ascii="Book Antiqua" w:hAnsi="Book Antiqua" w:cs="Arial"/>
        </w:rPr>
        <w:t xml:space="preserve">Mr Jarvis adopted the grounds of appeal and submitted that the Judge had materially erred. The Judge had erred by </w:t>
      </w:r>
      <w:r w:rsidR="000F6ADD">
        <w:rPr>
          <w:rFonts w:ascii="Book Antiqua" w:hAnsi="Book Antiqua" w:cs="Arial"/>
        </w:rPr>
        <w:t xml:space="preserve">accepting </w:t>
      </w:r>
      <w:r>
        <w:rPr>
          <w:rFonts w:ascii="Book Antiqua" w:hAnsi="Book Antiqua" w:cs="Arial"/>
        </w:rPr>
        <w:t xml:space="preserve">as </w:t>
      </w:r>
      <w:r w:rsidR="000F6ADD">
        <w:rPr>
          <w:rFonts w:ascii="Book Antiqua" w:hAnsi="Book Antiqua" w:cs="Arial"/>
        </w:rPr>
        <w:t>evidence</w:t>
      </w:r>
      <w:r>
        <w:rPr>
          <w:rFonts w:ascii="Book Antiqua" w:hAnsi="Book Antiqua" w:cs="Arial"/>
        </w:rPr>
        <w:t xml:space="preserve"> what the interpreter had stated as this ran contrary to what the Tribunal had said in </w:t>
      </w:r>
      <w:r>
        <w:rPr>
          <w:rFonts w:ascii="Book Antiqua" w:hAnsi="Book Antiqua"/>
          <w:u w:val="single"/>
        </w:rPr>
        <w:t>Mohamed (role of interpreter) Somali</w:t>
      </w:r>
      <w:r>
        <w:rPr>
          <w:rFonts w:ascii="Book Antiqua" w:hAnsi="Book Antiqua"/>
        </w:rPr>
        <w:t xml:space="preserve"> [2011] UKUT 00337. The interpreter cannot give evidence or be drawn into a situation where he is giving evidence. He further argued that the Judge failed to give adequate findings why he rejected the respondent’s submissions</w:t>
      </w:r>
      <w:r w:rsidR="000F6ADD">
        <w:rPr>
          <w:rFonts w:ascii="Book Antiqua" w:hAnsi="Book Antiqua"/>
        </w:rPr>
        <w:t xml:space="preserve"> set out in the decision letter</w:t>
      </w:r>
      <w:r>
        <w:rPr>
          <w:rFonts w:ascii="Book Antiqua" w:hAnsi="Book Antiqua"/>
        </w:rPr>
        <w:t xml:space="preserve">. It was always open to him to reject the respondent’s reasons but the Judge had to explain to the losing party why he had lost. Finally, he submitted the Judge erred by departing from </w:t>
      </w:r>
      <w:r>
        <w:rPr>
          <w:rFonts w:ascii="Book Antiqua" w:hAnsi="Book Antiqua"/>
          <w:u w:val="single"/>
        </w:rPr>
        <w:t>AS</w:t>
      </w:r>
      <w:r>
        <w:rPr>
          <w:rFonts w:ascii="Book Antiqua" w:hAnsi="Book Antiqua"/>
        </w:rPr>
        <w:t xml:space="preserve"> when finding the appellant could not reasonably relocate. </w:t>
      </w:r>
    </w:p>
    <w:p w:rsidR="00293D9E" w:rsidRPr="00754EF5" w:rsidRDefault="00293D9E" w:rsidP="00754EF5">
      <w:pPr>
        <w:numPr>
          <w:ilvl w:val="0"/>
          <w:numId w:val="3"/>
        </w:numPr>
        <w:spacing w:before="240"/>
        <w:jc w:val="both"/>
        <w:rPr>
          <w:rFonts w:ascii="Book Antiqua" w:hAnsi="Book Antiqua" w:cs="Arial"/>
        </w:rPr>
      </w:pPr>
      <w:r>
        <w:rPr>
          <w:rFonts w:ascii="Book Antiqua" w:hAnsi="Book Antiqua" w:cs="Arial"/>
        </w:rPr>
        <w:t>Ms Ryan opposed the application and relied on the Rule 24 statement dated November 2, 2018. She submitted that any error involving the interpreter was a minor error and was not material to the outcome</w:t>
      </w:r>
      <w:r w:rsidR="00343BB0">
        <w:rPr>
          <w:rFonts w:ascii="Book Antiqua" w:hAnsi="Book Antiqua" w:cs="Arial"/>
        </w:rPr>
        <w:t xml:space="preserve"> and that the Judge had made reasoned findings in paragraph 22 of the decision. </w:t>
      </w:r>
      <w:proofErr w:type="gramStart"/>
      <w:r w:rsidR="00343BB0">
        <w:rPr>
          <w:rFonts w:ascii="Book Antiqua" w:hAnsi="Book Antiqua" w:cs="Arial"/>
        </w:rPr>
        <w:t>With regard to</w:t>
      </w:r>
      <w:proofErr w:type="gramEnd"/>
      <w:r w:rsidR="00343BB0">
        <w:rPr>
          <w:rFonts w:ascii="Book Antiqua" w:hAnsi="Book Antiqua" w:cs="Arial"/>
        </w:rPr>
        <w:t xml:space="preserve"> departing from </w:t>
      </w:r>
      <w:r w:rsidR="00343BB0">
        <w:rPr>
          <w:rFonts w:ascii="Book Antiqua" w:hAnsi="Book Antiqua" w:cs="Arial"/>
          <w:u w:val="single"/>
        </w:rPr>
        <w:t>AS</w:t>
      </w:r>
      <w:r w:rsidR="00343BB0">
        <w:rPr>
          <w:rFonts w:ascii="Book Antiqua" w:hAnsi="Book Antiqua" w:cs="Arial"/>
        </w:rPr>
        <w:t xml:space="preserve"> she submitted that the Judge had regard to his age as he was entitled to do so and his lack of ties and found relocation would be unreasonable. </w:t>
      </w:r>
    </w:p>
    <w:p w:rsidR="00CC344B" w:rsidRPr="00CC344B" w:rsidRDefault="00D8675D" w:rsidP="00D8675D">
      <w:pPr>
        <w:spacing w:before="240"/>
        <w:ind w:firstLine="567"/>
        <w:jc w:val="both"/>
        <w:rPr>
          <w:rFonts w:ascii="Book Antiqua" w:hAnsi="Book Antiqua" w:cs="Arial"/>
          <w:b/>
          <w:u w:val="single"/>
        </w:rPr>
      </w:pPr>
      <w:r w:rsidRPr="00CC344B">
        <w:rPr>
          <w:rFonts w:ascii="Book Antiqua" w:hAnsi="Book Antiqua" w:cs="Arial"/>
          <w:b/>
          <w:u w:val="single"/>
        </w:rPr>
        <w:t>FINDINGS</w:t>
      </w:r>
    </w:p>
    <w:p w:rsidR="00B32DFF" w:rsidRDefault="00343BB0" w:rsidP="005038FA">
      <w:pPr>
        <w:numPr>
          <w:ilvl w:val="0"/>
          <w:numId w:val="3"/>
        </w:numPr>
        <w:autoSpaceDE w:val="0"/>
        <w:autoSpaceDN w:val="0"/>
        <w:adjustRightInd w:val="0"/>
        <w:spacing w:before="240"/>
        <w:jc w:val="both"/>
        <w:rPr>
          <w:rFonts w:ascii="Book Antiqua" w:hAnsi="Book Antiqua" w:cs="Arial"/>
        </w:rPr>
      </w:pPr>
      <w:r>
        <w:rPr>
          <w:rFonts w:ascii="Book Antiqua" w:hAnsi="Book Antiqua" w:cs="Arial"/>
        </w:rPr>
        <w:t xml:space="preserve">Having heard the submissions and after considering the papers, I indicated to the representatives there was an error in law. </w:t>
      </w:r>
    </w:p>
    <w:p w:rsidR="00343BB0" w:rsidRDefault="00343BB0" w:rsidP="005038FA">
      <w:pPr>
        <w:numPr>
          <w:ilvl w:val="0"/>
          <w:numId w:val="3"/>
        </w:numPr>
        <w:autoSpaceDE w:val="0"/>
        <w:autoSpaceDN w:val="0"/>
        <w:adjustRightInd w:val="0"/>
        <w:spacing w:before="240"/>
        <w:jc w:val="both"/>
        <w:rPr>
          <w:rFonts w:ascii="Book Antiqua" w:hAnsi="Book Antiqua" w:cs="Arial"/>
        </w:rPr>
      </w:pPr>
      <w:r>
        <w:rPr>
          <w:rFonts w:ascii="Book Antiqua" w:hAnsi="Book Antiqua" w:cs="Arial"/>
        </w:rPr>
        <w:t xml:space="preserve">Allowing the interpreter to give evidence and then using that evidence as a reason for making a finding in the appellant’s </w:t>
      </w:r>
      <w:r w:rsidR="000F6ADD">
        <w:rPr>
          <w:rFonts w:ascii="Book Antiqua" w:hAnsi="Book Antiqua" w:cs="Arial"/>
        </w:rPr>
        <w:t>favour</w:t>
      </w:r>
      <w:r>
        <w:rPr>
          <w:rFonts w:ascii="Book Antiqua" w:hAnsi="Book Antiqua" w:cs="Arial"/>
        </w:rPr>
        <w:t xml:space="preserve"> is an error in law. </w:t>
      </w:r>
      <w:r w:rsidR="000F6ADD">
        <w:rPr>
          <w:rFonts w:ascii="Book Antiqua" w:hAnsi="Book Antiqua" w:cs="Arial"/>
        </w:rPr>
        <w:t>T</w:t>
      </w:r>
      <w:r>
        <w:rPr>
          <w:rFonts w:ascii="Book Antiqua" w:hAnsi="Book Antiqua" w:cs="Arial"/>
        </w:rPr>
        <w:t xml:space="preserve">he Judge should have ignored that evidence because the interpreter was not a witness in these proceedings. The appellant could have called </w:t>
      </w:r>
      <w:r w:rsidR="000F6ADD">
        <w:rPr>
          <w:rFonts w:ascii="Book Antiqua" w:hAnsi="Book Antiqua" w:cs="Arial"/>
        </w:rPr>
        <w:t>his</w:t>
      </w:r>
      <w:r>
        <w:rPr>
          <w:rFonts w:ascii="Book Antiqua" w:hAnsi="Book Antiqua" w:cs="Arial"/>
        </w:rPr>
        <w:t xml:space="preserve"> own evidence to address this issue but chose not to and he cannot rely on the interpreter’s opinion. This is a material error in law. </w:t>
      </w:r>
    </w:p>
    <w:p w:rsidR="00343BB0" w:rsidRDefault="00343BB0" w:rsidP="005038FA">
      <w:pPr>
        <w:numPr>
          <w:ilvl w:val="0"/>
          <w:numId w:val="3"/>
        </w:numPr>
        <w:autoSpaceDE w:val="0"/>
        <w:autoSpaceDN w:val="0"/>
        <w:adjustRightInd w:val="0"/>
        <w:spacing w:before="240"/>
        <w:jc w:val="both"/>
        <w:rPr>
          <w:rFonts w:ascii="Book Antiqua" w:hAnsi="Book Antiqua" w:cs="Arial"/>
        </w:rPr>
      </w:pPr>
      <w:r>
        <w:rPr>
          <w:rFonts w:ascii="Book Antiqua" w:hAnsi="Book Antiqua" w:cs="Arial"/>
        </w:rPr>
        <w:t>The Judge’s findings are limited. The Judge accepted his account in paragraph 21 but failed to address any of the concerns set out in the decision letter. Another Judge hearing the evidence may come to the same conclusion</w:t>
      </w:r>
      <w:r w:rsidR="000F6ADD">
        <w:rPr>
          <w:rFonts w:ascii="Book Antiqua" w:hAnsi="Book Antiqua" w:cs="Arial"/>
        </w:rPr>
        <w:t>,</w:t>
      </w:r>
      <w:r>
        <w:rPr>
          <w:rFonts w:ascii="Book Antiqua" w:hAnsi="Book Antiqua" w:cs="Arial"/>
        </w:rPr>
        <w:t xml:space="preserve"> but the Judge had to give reasons for preferring the appellant’s evidence. Simply overlooking any inconsistencies</w:t>
      </w:r>
      <w:r w:rsidR="000F6ADD">
        <w:rPr>
          <w:rFonts w:ascii="Book Antiqua" w:hAnsi="Book Antiqua" w:cs="Arial"/>
        </w:rPr>
        <w:t xml:space="preserve">, </w:t>
      </w:r>
      <w:r>
        <w:rPr>
          <w:rFonts w:ascii="Book Antiqua" w:hAnsi="Book Antiqua" w:cs="Arial"/>
        </w:rPr>
        <w:t>because of his age</w:t>
      </w:r>
      <w:r w:rsidR="000F6ADD">
        <w:rPr>
          <w:rFonts w:ascii="Book Antiqua" w:hAnsi="Book Antiqua" w:cs="Arial"/>
        </w:rPr>
        <w:t>,</w:t>
      </w:r>
      <w:r>
        <w:rPr>
          <w:rFonts w:ascii="Book Antiqua" w:hAnsi="Book Antiqua" w:cs="Arial"/>
        </w:rPr>
        <w:t xml:space="preserve"> is insufficient. This also amounts to an error in law. </w:t>
      </w:r>
    </w:p>
    <w:p w:rsidR="00343BB0" w:rsidRDefault="00343BB0" w:rsidP="005038FA">
      <w:pPr>
        <w:numPr>
          <w:ilvl w:val="0"/>
          <w:numId w:val="3"/>
        </w:numPr>
        <w:autoSpaceDE w:val="0"/>
        <w:autoSpaceDN w:val="0"/>
        <w:adjustRightInd w:val="0"/>
        <w:spacing w:before="240"/>
        <w:jc w:val="both"/>
        <w:rPr>
          <w:rFonts w:ascii="Book Antiqua" w:hAnsi="Book Antiqua" w:cs="Arial"/>
        </w:rPr>
      </w:pPr>
      <w:r>
        <w:rPr>
          <w:rFonts w:ascii="Book Antiqua" w:hAnsi="Book Antiqua" w:cs="Arial"/>
        </w:rPr>
        <w:t xml:space="preserve">The final issue concerned the issue of internal relocation. The Judge gave </w:t>
      </w:r>
      <w:proofErr w:type="gramStart"/>
      <w:r>
        <w:rPr>
          <w:rFonts w:ascii="Book Antiqua" w:hAnsi="Book Antiqua" w:cs="Arial"/>
        </w:rPr>
        <w:t>a number of</w:t>
      </w:r>
      <w:proofErr w:type="gramEnd"/>
      <w:r>
        <w:rPr>
          <w:rFonts w:ascii="Book Antiqua" w:hAnsi="Book Antiqua" w:cs="Arial"/>
        </w:rPr>
        <w:t xml:space="preserve"> reasons for rejecting relocation and whilst the Judge clearly was aware of the decision of </w:t>
      </w:r>
      <w:r>
        <w:rPr>
          <w:rFonts w:ascii="Book Antiqua" w:hAnsi="Book Antiqua" w:cs="Arial"/>
          <w:u w:val="single"/>
        </w:rPr>
        <w:t>AS</w:t>
      </w:r>
      <w:r>
        <w:rPr>
          <w:rFonts w:ascii="Book Antiqua" w:hAnsi="Book Antiqua" w:cs="Arial"/>
        </w:rPr>
        <w:t xml:space="preserve"> I accept Mr Jarvis’s argument that the Judge failed to apply the guidance issued in that case. </w:t>
      </w:r>
      <w:r w:rsidR="000F6ADD">
        <w:rPr>
          <w:rFonts w:ascii="Book Antiqua" w:hAnsi="Book Antiqua" w:cs="Arial"/>
        </w:rPr>
        <w:t xml:space="preserve">These very issues had been considered by the Tribunal in </w:t>
      </w:r>
      <w:r w:rsidR="000F6ADD">
        <w:rPr>
          <w:rFonts w:ascii="Book Antiqua" w:hAnsi="Book Antiqua" w:cs="Arial"/>
          <w:u w:val="single"/>
        </w:rPr>
        <w:t>AS</w:t>
      </w:r>
      <w:r w:rsidR="000F6ADD">
        <w:rPr>
          <w:rFonts w:ascii="Book Antiqua" w:hAnsi="Book Antiqua" w:cs="Arial"/>
        </w:rPr>
        <w:t xml:space="preserve">. </w:t>
      </w:r>
    </w:p>
    <w:p w:rsidR="00343BB0" w:rsidRDefault="00343BB0" w:rsidP="005038FA">
      <w:pPr>
        <w:numPr>
          <w:ilvl w:val="0"/>
          <w:numId w:val="3"/>
        </w:numPr>
        <w:autoSpaceDE w:val="0"/>
        <w:autoSpaceDN w:val="0"/>
        <w:adjustRightInd w:val="0"/>
        <w:spacing w:before="240"/>
        <w:jc w:val="both"/>
        <w:rPr>
          <w:rFonts w:ascii="Book Antiqua" w:hAnsi="Book Antiqua" w:cs="Arial"/>
        </w:rPr>
      </w:pPr>
      <w:r>
        <w:rPr>
          <w:rFonts w:ascii="Book Antiqua" w:hAnsi="Book Antiqua" w:cs="Arial"/>
        </w:rPr>
        <w:t xml:space="preserve">This is a case that must be reheard as credibility findings will need to be made afresh. </w:t>
      </w:r>
    </w:p>
    <w:p w:rsidR="00343BB0" w:rsidRPr="00343BB0" w:rsidRDefault="00343BB0" w:rsidP="005038FA">
      <w:pPr>
        <w:numPr>
          <w:ilvl w:val="0"/>
          <w:numId w:val="3"/>
        </w:numPr>
        <w:autoSpaceDE w:val="0"/>
        <w:autoSpaceDN w:val="0"/>
        <w:adjustRightInd w:val="0"/>
        <w:spacing w:before="240"/>
        <w:jc w:val="both"/>
        <w:rPr>
          <w:rFonts w:ascii="Book Antiqua" w:hAnsi="Book Antiqua" w:cs="Arial"/>
        </w:rPr>
      </w:pPr>
      <w:r w:rsidRPr="009B2BDA">
        <w:rPr>
          <w:rFonts w:ascii="Book Antiqua" w:hAnsi="Book Antiqua"/>
        </w:rPr>
        <w:t xml:space="preserve">Section 12(1) of the Tribunals, Courts and Enforcement Act 2007 sets out the procedure where a case is to be remitted back to the First-tier Tribunal.  I am satisfied that this is </w:t>
      </w:r>
      <w:r w:rsidRPr="009B2BDA">
        <w:rPr>
          <w:rFonts w:ascii="Book Antiqua" w:hAnsi="Book Antiqua"/>
        </w:rPr>
        <w:lastRenderedPageBreak/>
        <w:t>a case that will have to be remitted back to the First-tier Tribunal to be heard by a Judge other than Judge of the First-tier Tribunal</w:t>
      </w:r>
      <w:r>
        <w:rPr>
          <w:rFonts w:ascii="Book Antiqua" w:hAnsi="Book Antiqua"/>
        </w:rPr>
        <w:t xml:space="preserve"> Scott.</w:t>
      </w:r>
    </w:p>
    <w:p w:rsidR="000F6ADD" w:rsidRDefault="00343BB0" w:rsidP="005038FA">
      <w:pPr>
        <w:numPr>
          <w:ilvl w:val="0"/>
          <w:numId w:val="3"/>
        </w:numPr>
        <w:autoSpaceDE w:val="0"/>
        <w:autoSpaceDN w:val="0"/>
        <w:adjustRightInd w:val="0"/>
        <w:spacing w:before="240"/>
        <w:jc w:val="both"/>
        <w:rPr>
          <w:rFonts w:ascii="Book Antiqua" w:hAnsi="Book Antiqua" w:cs="Arial"/>
        </w:rPr>
      </w:pPr>
      <w:r>
        <w:rPr>
          <w:rFonts w:ascii="Book Antiqua" w:hAnsi="Book Antiqua" w:cs="Arial"/>
        </w:rPr>
        <w:t>The First-tier Tribunal needs to make findings on</w:t>
      </w:r>
      <w:r w:rsidR="000F6ADD">
        <w:rPr>
          <w:rFonts w:ascii="Book Antiqua" w:hAnsi="Book Antiqua" w:cs="Arial"/>
        </w:rPr>
        <w:t>:</w:t>
      </w:r>
      <w:r>
        <w:rPr>
          <w:rFonts w:ascii="Book Antiqua" w:hAnsi="Book Antiqua" w:cs="Arial"/>
        </w:rPr>
        <w:t xml:space="preserve"> </w:t>
      </w:r>
    </w:p>
    <w:p w:rsidR="000F6ADD" w:rsidRDefault="000F6ADD" w:rsidP="000F6ADD">
      <w:pPr>
        <w:numPr>
          <w:ilvl w:val="1"/>
          <w:numId w:val="3"/>
        </w:numPr>
        <w:autoSpaceDE w:val="0"/>
        <w:autoSpaceDN w:val="0"/>
        <w:adjustRightInd w:val="0"/>
        <w:spacing w:before="240"/>
        <w:jc w:val="both"/>
        <w:rPr>
          <w:rFonts w:ascii="Book Antiqua" w:hAnsi="Book Antiqua" w:cs="Arial"/>
        </w:rPr>
      </w:pPr>
      <w:r>
        <w:rPr>
          <w:rFonts w:ascii="Book Antiqua" w:hAnsi="Book Antiqua" w:cs="Arial"/>
        </w:rPr>
        <w:t>T</w:t>
      </w:r>
      <w:r w:rsidR="00343BB0">
        <w:rPr>
          <w:rFonts w:ascii="Book Antiqua" w:hAnsi="Book Antiqua" w:cs="Arial"/>
        </w:rPr>
        <w:t xml:space="preserve">he credibility of </w:t>
      </w:r>
      <w:r>
        <w:rPr>
          <w:rFonts w:ascii="Book Antiqua" w:hAnsi="Book Antiqua" w:cs="Arial"/>
        </w:rPr>
        <w:t xml:space="preserve">the appellant’s </w:t>
      </w:r>
      <w:r w:rsidR="00343BB0">
        <w:rPr>
          <w:rFonts w:ascii="Book Antiqua" w:hAnsi="Book Antiqua" w:cs="Arial"/>
        </w:rPr>
        <w:t>account</w:t>
      </w:r>
      <w:r>
        <w:rPr>
          <w:rFonts w:ascii="Book Antiqua" w:hAnsi="Book Antiqua" w:cs="Arial"/>
        </w:rPr>
        <w:t xml:space="preserve">; </w:t>
      </w:r>
      <w:r w:rsidR="00343BB0">
        <w:rPr>
          <w:rFonts w:ascii="Book Antiqua" w:hAnsi="Book Antiqua" w:cs="Arial"/>
        </w:rPr>
        <w:t xml:space="preserve">and </w:t>
      </w:r>
    </w:p>
    <w:p w:rsidR="000F6ADD" w:rsidRDefault="000F6ADD" w:rsidP="000F6ADD">
      <w:pPr>
        <w:numPr>
          <w:ilvl w:val="1"/>
          <w:numId w:val="3"/>
        </w:numPr>
        <w:autoSpaceDE w:val="0"/>
        <w:autoSpaceDN w:val="0"/>
        <w:adjustRightInd w:val="0"/>
        <w:spacing w:before="240"/>
        <w:jc w:val="both"/>
        <w:rPr>
          <w:rFonts w:ascii="Book Antiqua" w:hAnsi="Book Antiqua" w:cs="Arial"/>
        </w:rPr>
      </w:pPr>
      <w:r>
        <w:rPr>
          <w:rFonts w:ascii="Book Antiqua" w:hAnsi="Book Antiqua" w:cs="Arial"/>
        </w:rPr>
        <w:t>W</w:t>
      </w:r>
      <w:r w:rsidR="00343BB0">
        <w:rPr>
          <w:rFonts w:ascii="Book Antiqua" w:hAnsi="Book Antiqua" w:cs="Arial"/>
        </w:rPr>
        <w:t xml:space="preserve">hether </w:t>
      </w:r>
      <w:r>
        <w:rPr>
          <w:rFonts w:ascii="Book Antiqua" w:hAnsi="Book Antiqua" w:cs="Arial"/>
        </w:rPr>
        <w:t xml:space="preserve">the appellant </w:t>
      </w:r>
      <w:proofErr w:type="gramStart"/>
      <w:r w:rsidR="00343BB0">
        <w:rPr>
          <w:rFonts w:ascii="Book Antiqua" w:hAnsi="Book Antiqua" w:cs="Arial"/>
        </w:rPr>
        <w:t>is able to</w:t>
      </w:r>
      <w:proofErr w:type="gramEnd"/>
      <w:r w:rsidR="00343BB0">
        <w:rPr>
          <w:rFonts w:ascii="Book Antiqua" w:hAnsi="Book Antiqua" w:cs="Arial"/>
        </w:rPr>
        <w:t xml:space="preserve"> return to his home area. </w:t>
      </w:r>
    </w:p>
    <w:p w:rsidR="00343BB0" w:rsidRPr="00343BB0" w:rsidRDefault="00343BB0" w:rsidP="005038FA">
      <w:pPr>
        <w:numPr>
          <w:ilvl w:val="0"/>
          <w:numId w:val="3"/>
        </w:numPr>
        <w:autoSpaceDE w:val="0"/>
        <w:autoSpaceDN w:val="0"/>
        <w:adjustRightInd w:val="0"/>
        <w:spacing w:before="240"/>
        <w:jc w:val="both"/>
        <w:rPr>
          <w:rFonts w:ascii="Book Antiqua" w:hAnsi="Book Antiqua" w:cs="Arial"/>
        </w:rPr>
      </w:pPr>
      <w:r>
        <w:rPr>
          <w:rFonts w:ascii="Book Antiqua" w:hAnsi="Book Antiqua" w:cs="Arial"/>
        </w:rPr>
        <w:t xml:space="preserve">If the Tribunal concludes this is not possible </w:t>
      </w:r>
      <w:r w:rsidR="00837A70">
        <w:rPr>
          <w:rFonts w:ascii="Book Antiqua" w:hAnsi="Book Antiqua" w:cs="Arial"/>
        </w:rPr>
        <w:t xml:space="preserve">then the Tribunal will have to consider the issue of internal relocation against the decision of </w:t>
      </w:r>
      <w:r w:rsidR="00837A70">
        <w:rPr>
          <w:rFonts w:ascii="Book Antiqua" w:hAnsi="Book Antiqua" w:cs="Arial"/>
          <w:u w:val="single"/>
        </w:rPr>
        <w:t>AS (Safety of Kabul) Afghanistan CG</w:t>
      </w:r>
      <w:r w:rsidR="00837A70">
        <w:rPr>
          <w:rFonts w:ascii="Book Antiqua" w:hAnsi="Book Antiqua" w:cs="Arial"/>
        </w:rPr>
        <w:t xml:space="preserve"> [2018] UKUT 00118 (IAC). </w:t>
      </w:r>
    </w:p>
    <w:p w:rsidR="00864126" w:rsidRPr="00424863" w:rsidRDefault="00864126" w:rsidP="00424863">
      <w:pPr>
        <w:spacing w:before="240"/>
        <w:jc w:val="both"/>
        <w:rPr>
          <w:rFonts w:ascii="Book Antiqua" w:hAnsi="Book Antiqua" w:cs="Arial"/>
        </w:rPr>
      </w:pPr>
      <w:r w:rsidRPr="00424863">
        <w:rPr>
          <w:rFonts w:ascii="Book Antiqua" w:hAnsi="Book Antiqua" w:cs="Arial"/>
          <w:b/>
          <w:u w:val="single"/>
        </w:rPr>
        <w:t>Notice of Decision</w:t>
      </w:r>
    </w:p>
    <w:p w:rsidR="000F6ADD" w:rsidRPr="000F6ADD" w:rsidRDefault="00837A70" w:rsidP="00864126">
      <w:pPr>
        <w:numPr>
          <w:ilvl w:val="0"/>
          <w:numId w:val="3"/>
        </w:numPr>
        <w:spacing w:before="240"/>
        <w:jc w:val="both"/>
        <w:rPr>
          <w:rFonts w:ascii="Book Antiqua" w:hAnsi="Book Antiqua" w:cs="Arial"/>
        </w:rPr>
      </w:pPr>
      <w:r w:rsidRPr="009B2BDA">
        <w:rPr>
          <w:rFonts w:ascii="Book Antiqua" w:hAnsi="Book Antiqua"/>
        </w:rPr>
        <w:t xml:space="preserve">There is an error of law.  </w:t>
      </w:r>
    </w:p>
    <w:p w:rsidR="00424863" w:rsidRPr="009B2BDA" w:rsidRDefault="00837A70" w:rsidP="00864126">
      <w:pPr>
        <w:numPr>
          <w:ilvl w:val="0"/>
          <w:numId w:val="3"/>
        </w:numPr>
        <w:spacing w:before="240"/>
        <w:jc w:val="both"/>
        <w:rPr>
          <w:rFonts w:ascii="Book Antiqua" w:hAnsi="Book Antiqua" w:cs="Arial"/>
        </w:rPr>
      </w:pPr>
      <w:r w:rsidRPr="009B2BDA">
        <w:rPr>
          <w:rFonts w:ascii="Book Antiqua" w:hAnsi="Book Antiqua"/>
        </w:rPr>
        <w:t>I set aside the original decision and I remit the matter back to the First-tier Tribunal under Section 12(1) of the Tribunals, Courts and Enforcement Act 2007.</w:t>
      </w:r>
    </w:p>
    <w:p w:rsidR="00864126" w:rsidRDefault="00864126" w:rsidP="00864126">
      <w:pPr>
        <w:jc w:val="both"/>
        <w:rPr>
          <w:rFonts w:ascii="Book Antiqua" w:hAnsi="Book Antiqua" w:cs="Arial"/>
        </w:rPr>
      </w:pPr>
    </w:p>
    <w:p w:rsidR="00864126" w:rsidRDefault="00864126" w:rsidP="00864126">
      <w:pPr>
        <w:jc w:val="both"/>
        <w:rPr>
          <w:rFonts w:ascii="Book Antiqua" w:hAnsi="Book Antiqua" w:cs="Arial"/>
        </w:rPr>
      </w:pPr>
    </w:p>
    <w:p w:rsidR="009E1EED" w:rsidRPr="00F5664C" w:rsidRDefault="009E1EED" w:rsidP="009E1EE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B32DFF">
        <w:rPr>
          <w:rFonts w:ascii="Book Antiqua" w:hAnsi="Book Antiqua" w:cs="Arial"/>
        </w:rPr>
        <w:t>09/11</w:t>
      </w:r>
      <w:r>
        <w:rPr>
          <w:rFonts w:ascii="Book Antiqua" w:hAnsi="Book Antiqua" w:cs="Arial"/>
        </w:rPr>
        <w:t>/2018</w:t>
      </w:r>
    </w:p>
    <w:p w:rsidR="009E1EED" w:rsidRDefault="009E1EED" w:rsidP="009E1EED">
      <w:pPr>
        <w:tabs>
          <w:tab w:val="left" w:pos="2520"/>
        </w:tabs>
        <w:jc w:val="both"/>
        <w:rPr>
          <w:rFonts w:ascii="Book Antiqua" w:hAnsi="Book Antiqua" w:cs="Arial"/>
        </w:rPr>
      </w:pPr>
    </w:p>
    <w:p w:rsidR="009E1EED" w:rsidRDefault="00E834D0" w:rsidP="009E1EED">
      <w:pPr>
        <w:tabs>
          <w:tab w:val="left" w:pos="2520"/>
        </w:tabs>
        <w:jc w:val="both"/>
        <w:rPr>
          <w:rFonts w:ascii="Book Antiqua" w:hAnsi="Book Antiqua" w:cs="Arial"/>
        </w:rPr>
      </w:pPr>
      <w:r w:rsidRPr="009E1EED">
        <w:rPr>
          <w:rFonts w:ascii="Book Antiqua" w:hAnsi="Book Antiqua"/>
          <w:noProof/>
          <w:color w:val="000000"/>
          <w:sz w:val="22"/>
          <w:szCs w:val="22"/>
        </w:rPr>
        <w:drawing>
          <wp:inline distT="0" distB="0" distL="0" distR="0">
            <wp:extent cx="10414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864126" w:rsidRDefault="009E1EED" w:rsidP="009E1EED">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p w:rsidR="005F2B51" w:rsidRDefault="005F2B51" w:rsidP="009E1EED">
      <w:pPr>
        <w:tabs>
          <w:tab w:val="left" w:pos="2520"/>
        </w:tabs>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841578">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5F1" w:rsidRDefault="006B25F1">
      <w:r>
        <w:separator/>
      </w:r>
    </w:p>
  </w:endnote>
  <w:endnote w:type="continuationSeparator" w:id="0">
    <w:p w:rsidR="006B25F1" w:rsidRDefault="006B2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Yu Gothic"/>
    <w:charset w:val="80"/>
    <w:family w:val="auto"/>
    <w:pitch w:val="variable"/>
    <w:sig w:usb0="E00002FF" w:usb1="7AC7FFFF" w:usb2="00000012" w:usb3="00000000" w:csb0="0002000D"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841578" w:rsidRDefault="00CF253F" w:rsidP="00593795">
    <w:pPr>
      <w:pStyle w:val="Footer"/>
      <w:jc w:val="center"/>
      <w:rPr>
        <w:rFonts w:ascii="Book Antiqua" w:hAnsi="Book Antiqua" w:cs="Arial"/>
      </w:rPr>
    </w:pPr>
    <w:r w:rsidRPr="00841578">
      <w:rPr>
        <w:rStyle w:val="PageNumber"/>
        <w:rFonts w:ascii="Book Antiqua" w:hAnsi="Book Antiqua" w:cs="Arial"/>
      </w:rPr>
      <w:fldChar w:fldCharType="begin"/>
    </w:r>
    <w:r w:rsidRPr="00841578">
      <w:rPr>
        <w:rStyle w:val="PageNumber"/>
        <w:rFonts w:ascii="Book Antiqua" w:hAnsi="Book Antiqua" w:cs="Arial"/>
      </w:rPr>
      <w:instrText xml:space="preserve"> PAGE </w:instrText>
    </w:r>
    <w:r w:rsidRPr="00841578">
      <w:rPr>
        <w:rStyle w:val="PageNumber"/>
        <w:rFonts w:ascii="Book Antiqua" w:hAnsi="Book Antiqua" w:cs="Arial"/>
      </w:rPr>
      <w:fldChar w:fldCharType="separate"/>
    </w:r>
    <w:r w:rsidR="00D909DC">
      <w:rPr>
        <w:rStyle w:val="PageNumber"/>
        <w:rFonts w:ascii="Book Antiqua" w:hAnsi="Book Antiqua" w:cs="Arial"/>
        <w:noProof/>
      </w:rPr>
      <w:t>4</w:t>
    </w:r>
    <w:r w:rsidRPr="0084157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FE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5F1" w:rsidRDefault="006B25F1">
      <w:r>
        <w:separator/>
      </w:r>
    </w:p>
  </w:footnote>
  <w:footnote w:type="continuationSeparator" w:id="0">
    <w:p w:rsidR="006B25F1" w:rsidRDefault="006B2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8767BD">
      <w:rPr>
        <w:rFonts w:ascii="Book Antiqua" w:hAnsi="Book Antiqua" w:cs="Arial"/>
        <w:sz w:val="16"/>
        <w:szCs w:val="16"/>
      </w:rPr>
      <w:t>PA</w:t>
    </w:r>
    <w:r w:rsidR="00CF1EEF">
      <w:rPr>
        <w:rFonts w:ascii="Book Antiqua" w:hAnsi="Book Antiqua" w:cs="Arial"/>
        <w:sz w:val="16"/>
        <w:szCs w:val="16"/>
      </w:rPr>
      <w:t>/</w:t>
    </w:r>
    <w:r w:rsidR="008767BD">
      <w:rPr>
        <w:rFonts w:ascii="Book Antiqua" w:hAnsi="Book Antiqua" w:cs="Arial"/>
        <w:sz w:val="16"/>
        <w:szCs w:val="16"/>
      </w:rPr>
      <w:t>06708</w:t>
    </w:r>
    <w:r w:rsidR="00CF1EEF">
      <w:rPr>
        <w:rFonts w:ascii="Book Antiqua" w:hAnsi="Book Antiqua" w:cs="Arial"/>
        <w:sz w:val="16"/>
        <w:szCs w:val="16"/>
      </w:rPr>
      <w:t>/201</w:t>
    </w:r>
    <w:r w:rsidR="008767BD">
      <w:rPr>
        <w:rFonts w:ascii="Book Antiqua" w:hAnsi="Book Antiqua" w:cs="Arial"/>
        <w:sz w:val="16"/>
        <w:szCs w:val="16"/>
      </w:rPr>
      <w:t>8</w:t>
    </w:r>
  </w:p>
  <w:p w:rsidR="00841578" w:rsidRPr="00F5664C" w:rsidRDefault="00841578"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894EE875"/>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suff w:val="nothing"/>
      <w:lvlText w:val="%2."/>
      <w:lvlJc w:val="left"/>
      <w:pPr>
        <w:ind w:left="0" w:firstLine="1440"/>
      </w:pPr>
      <w:rPr>
        <w:rFonts w:hint="default"/>
        <w:color w:val="000000"/>
        <w:position w:val="0"/>
        <w:sz w:val="20"/>
      </w:rPr>
    </w:lvl>
    <w:lvl w:ilvl="2">
      <w:start w:val="1"/>
      <w:numFmt w:val="lowerRoman"/>
      <w:suff w:val="nothing"/>
      <w:lvlText w:val="%3."/>
      <w:lvlJc w:val="left"/>
      <w:pPr>
        <w:ind w:left="0" w:firstLine="2160"/>
      </w:pPr>
      <w:rPr>
        <w:rFonts w:hint="default"/>
        <w:color w:val="000000"/>
        <w:position w:val="0"/>
        <w:sz w:val="20"/>
      </w:rPr>
    </w:lvl>
    <w:lvl w:ilvl="3">
      <w:start w:val="1"/>
      <w:numFmt w:val="decimal"/>
      <w:isLgl/>
      <w:suff w:val="nothing"/>
      <w:lvlText w:val="%4."/>
      <w:lvlJc w:val="left"/>
      <w:pPr>
        <w:ind w:left="0" w:firstLine="2880"/>
      </w:pPr>
      <w:rPr>
        <w:rFonts w:hint="default"/>
        <w:color w:val="000000"/>
        <w:position w:val="0"/>
        <w:sz w:val="20"/>
      </w:rPr>
    </w:lvl>
    <w:lvl w:ilvl="4">
      <w:start w:val="1"/>
      <w:numFmt w:val="lowerLetter"/>
      <w:suff w:val="nothing"/>
      <w:lvlText w:val="%5."/>
      <w:lvlJc w:val="left"/>
      <w:pPr>
        <w:ind w:left="0" w:firstLine="3600"/>
      </w:pPr>
      <w:rPr>
        <w:rFonts w:hint="default"/>
        <w:color w:val="000000"/>
        <w:position w:val="0"/>
        <w:sz w:val="20"/>
      </w:rPr>
    </w:lvl>
    <w:lvl w:ilvl="5">
      <w:start w:val="1"/>
      <w:numFmt w:val="lowerRoman"/>
      <w:suff w:val="nothing"/>
      <w:lvlText w:val="%6."/>
      <w:lvlJc w:val="left"/>
      <w:pPr>
        <w:ind w:left="0" w:firstLine="4320"/>
      </w:pPr>
      <w:rPr>
        <w:rFonts w:hint="default"/>
        <w:color w:val="000000"/>
        <w:position w:val="0"/>
        <w:sz w:val="20"/>
      </w:rPr>
    </w:lvl>
    <w:lvl w:ilvl="6">
      <w:start w:val="1"/>
      <w:numFmt w:val="decimal"/>
      <w:isLgl/>
      <w:suff w:val="nothing"/>
      <w:lvlText w:val="%7."/>
      <w:lvlJc w:val="left"/>
      <w:pPr>
        <w:ind w:left="0" w:firstLine="5040"/>
      </w:pPr>
      <w:rPr>
        <w:rFonts w:hint="default"/>
        <w:color w:val="000000"/>
        <w:position w:val="0"/>
        <w:sz w:val="20"/>
      </w:rPr>
    </w:lvl>
    <w:lvl w:ilvl="7">
      <w:start w:val="1"/>
      <w:numFmt w:val="lowerLetter"/>
      <w:suff w:val="nothing"/>
      <w:lvlText w:val="%8."/>
      <w:lvlJc w:val="left"/>
      <w:pPr>
        <w:ind w:left="0" w:firstLine="5760"/>
      </w:pPr>
      <w:rPr>
        <w:rFonts w:hint="default"/>
        <w:color w:val="000000"/>
        <w:position w:val="0"/>
        <w:sz w:val="20"/>
      </w:rPr>
    </w:lvl>
    <w:lvl w:ilvl="8">
      <w:start w:val="1"/>
      <w:numFmt w:val="lowerRoman"/>
      <w:suff w:val="nothing"/>
      <w:lvlText w:val="%9."/>
      <w:lvlJc w:val="left"/>
      <w:pPr>
        <w:ind w:left="0" w:firstLine="6480"/>
      </w:pPr>
      <w:rPr>
        <w:rFonts w:hint="default"/>
        <w:color w:val="000000"/>
        <w:position w:val="0"/>
        <w:sz w:val="20"/>
      </w:rPr>
    </w:lvl>
  </w:abstractNum>
  <w:abstractNum w:abstractNumId="1"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20B57A8"/>
    <w:multiLevelType w:val="hybridMultilevel"/>
    <w:tmpl w:val="3EC095F8"/>
    <w:lvl w:ilvl="0" w:tplc="075C8F8A">
      <w:start w:val="1"/>
      <w:numFmt w:val="lowerLetter"/>
      <w:lvlText w:val="%1."/>
      <w:lvlJc w:val="left"/>
      <w:pPr>
        <w:tabs>
          <w:tab w:val="num" w:pos="1440"/>
        </w:tabs>
        <w:ind w:left="1440" w:hanging="360"/>
      </w:pPr>
      <w:rPr>
        <w:rFonts w:ascii="Book Antiqua" w:hAnsi="Book Antiqua" w:cs="Courier New"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701132"/>
    <w:multiLevelType w:val="hybridMultilevel"/>
    <w:tmpl w:val="1474205C"/>
    <w:lvl w:ilvl="0" w:tplc="B0DC6B62">
      <w:start w:val="1"/>
      <w:numFmt w:val="decimal"/>
      <w:lvlText w:val="%1."/>
      <w:lvlJc w:val="left"/>
      <w:pPr>
        <w:ind w:left="720" w:hanging="360"/>
      </w:pPr>
      <w:rPr>
        <w:rFonts w:hint="default"/>
        <w:b w:val="0"/>
        <w:strike w:val="0"/>
        <w:color w:val="auto"/>
        <w:sz w:val="24"/>
        <w:szCs w:val="24"/>
        <w:u w:val="none"/>
      </w:rPr>
    </w:lvl>
    <w:lvl w:ilvl="1" w:tplc="004820D2">
      <w:start w:val="1"/>
      <w:numFmt w:val="lowerRoman"/>
      <w:lvlText w:val="%2."/>
      <w:lvlJc w:val="left"/>
      <w:pPr>
        <w:tabs>
          <w:tab w:val="num" w:pos="1440"/>
        </w:tabs>
        <w:ind w:left="1440" w:hanging="360"/>
      </w:pPr>
      <w:rPr>
        <w:rFonts w:ascii="Book Antiqua" w:hAnsi="Book Antiqua" w:cs="Courier New" w:hint="default"/>
        <w:b w:val="0"/>
        <w:bCs w:val="0"/>
        <w:color w:val="auto"/>
        <w:sz w:val="24"/>
        <w:szCs w:val="24"/>
      </w:rPr>
    </w:lvl>
    <w:lvl w:ilvl="2" w:tplc="08090017">
      <w:start w:val="1"/>
      <w:numFmt w:val="lowerLetter"/>
      <w:lvlText w:val="%3)"/>
      <w:lvlJc w:val="left"/>
      <w:pPr>
        <w:tabs>
          <w:tab w:val="num" w:pos="2340"/>
        </w:tabs>
        <w:ind w:left="2340" w:hanging="360"/>
      </w:pPr>
      <w:rPr>
        <w:rFonts w:hint="default"/>
        <w:b w:val="0"/>
        <w:strike w:val="0"/>
        <w:color w:val="auto"/>
        <w:sz w:val="24"/>
        <w:szCs w:val="24"/>
        <w:u w:val="none"/>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2847002"/>
    <w:multiLevelType w:val="hybridMultilevel"/>
    <w:tmpl w:val="BEA8E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6"/>
  </w:num>
  <w:num w:numId="3">
    <w:abstractNumId w:val="4"/>
  </w:num>
  <w:num w:numId="4">
    <w:abstractNumId w:val="13"/>
  </w:num>
  <w:num w:numId="5">
    <w:abstractNumId w:val="23"/>
  </w:num>
  <w:num w:numId="6">
    <w:abstractNumId w:val="14"/>
  </w:num>
  <w:num w:numId="7">
    <w:abstractNumId w:val="22"/>
  </w:num>
  <w:num w:numId="8">
    <w:abstractNumId w:val="10"/>
  </w:num>
  <w:num w:numId="9">
    <w:abstractNumId w:val="8"/>
  </w:num>
  <w:num w:numId="10">
    <w:abstractNumId w:val="20"/>
  </w:num>
  <w:num w:numId="11">
    <w:abstractNumId w:val="18"/>
  </w:num>
  <w:num w:numId="12">
    <w:abstractNumId w:val="2"/>
  </w:num>
  <w:num w:numId="13">
    <w:abstractNumId w:val="17"/>
  </w:num>
  <w:num w:numId="14">
    <w:abstractNumId w:val="1"/>
  </w:num>
  <w:num w:numId="15">
    <w:abstractNumId w:val="5"/>
  </w:num>
  <w:num w:numId="16">
    <w:abstractNumId w:val="7"/>
  </w:num>
  <w:num w:numId="17">
    <w:abstractNumId w:val="15"/>
  </w:num>
  <w:num w:numId="18">
    <w:abstractNumId w:val="11"/>
  </w:num>
  <w:num w:numId="19">
    <w:abstractNumId w:val="12"/>
  </w:num>
  <w:num w:numId="20">
    <w:abstractNumId w:val="21"/>
  </w:num>
  <w:num w:numId="21">
    <w:abstractNumId w:val="0"/>
  </w:num>
  <w:num w:numId="22">
    <w:abstractNumId w:val="19"/>
  </w:num>
  <w:num w:numId="23">
    <w:abstractNumId w:val="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0042ECA-27A2-4655-B63D-08867978837F}"/>
    <w:docVar w:name="dgnword-eventsink" w:val="2021556999504"/>
  </w:docVars>
  <w:rsids>
    <w:rsidRoot w:val="00CF1EEF"/>
    <w:rsid w:val="00000621"/>
    <w:rsid w:val="000036C2"/>
    <w:rsid w:val="0000577C"/>
    <w:rsid w:val="00033D3D"/>
    <w:rsid w:val="000369F5"/>
    <w:rsid w:val="00042DA3"/>
    <w:rsid w:val="00071A7E"/>
    <w:rsid w:val="000746C0"/>
    <w:rsid w:val="00074D1D"/>
    <w:rsid w:val="00087037"/>
    <w:rsid w:val="00092580"/>
    <w:rsid w:val="000A32A2"/>
    <w:rsid w:val="000B0A03"/>
    <w:rsid w:val="000D5D94"/>
    <w:rsid w:val="000F6ADD"/>
    <w:rsid w:val="00100ABA"/>
    <w:rsid w:val="001165A7"/>
    <w:rsid w:val="001352E2"/>
    <w:rsid w:val="00151BB7"/>
    <w:rsid w:val="00167D3A"/>
    <w:rsid w:val="00191B38"/>
    <w:rsid w:val="001A1E2C"/>
    <w:rsid w:val="001E12F7"/>
    <w:rsid w:val="001F2716"/>
    <w:rsid w:val="0020133A"/>
    <w:rsid w:val="00201E7A"/>
    <w:rsid w:val="00207617"/>
    <w:rsid w:val="00283659"/>
    <w:rsid w:val="00284DF7"/>
    <w:rsid w:val="00284E94"/>
    <w:rsid w:val="00291D5E"/>
    <w:rsid w:val="00293D9E"/>
    <w:rsid w:val="002C4E73"/>
    <w:rsid w:val="002D68BF"/>
    <w:rsid w:val="00305FBC"/>
    <w:rsid w:val="003123D7"/>
    <w:rsid w:val="0031653F"/>
    <w:rsid w:val="0033361B"/>
    <w:rsid w:val="00334945"/>
    <w:rsid w:val="00336CBF"/>
    <w:rsid w:val="00343BB0"/>
    <w:rsid w:val="003546C8"/>
    <w:rsid w:val="00376F8F"/>
    <w:rsid w:val="00384467"/>
    <w:rsid w:val="00392D87"/>
    <w:rsid w:val="003A7CF2"/>
    <w:rsid w:val="003B549D"/>
    <w:rsid w:val="003C0DF3"/>
    <w:rsid w:val="003C3B45"/>
    <w:rsid w:val="003C5CE5"/>
    <w:rsid w:val="003E267B"/>
    <w:rsid w:val="003E4B44"/>
    <w:rsid w:val="003E7CD1"/>
    <w:rsid w:val="00402B9E"/>
    <w:rsid w:val="0040642C"/>
    <w:rsid w:val="00423932"/>
    <w:rsid w:val="00424863"/>
    <w:rsid w:val="004249CB"/>
    <w:rsid w:val="0044127D"/>
    <w:rsid w:val="004448DB"/>
    <w:rsid w:val="00446C9A"/>
    <w:rsid w:val="00456521"/>
    <w:rsid w:val="00477193"/>
    <w:rsid w:val="004852B5"/>
    <w:rsid w:val="004A1848"/>
    <w:rsid w:val="004A1DA2"/>
    <w:rsid w:val="004A26E3"/>
    <w:rsid w:val="004F74DD"/>
    <w:rsid w:val="005038FA"/>
    <w:rsid w:val="00507FEC"/>
    <w:rsid w:val="00510F0E"/>
    <w:rsid w:val="005117C2"/>
    <w:rsid w:val="005162BB"/>
    <w:rsid w:val="00516E48"/>
    <w:rsid w:val="00541D19"/>
    <w:rsid w:val="005479E1"/>
    <w:rsid w:val="005570FD"/>
    <w:rsid w:val="005575EA"/>
    <w:rsid w:val="00564626"/>
    <w:rsid w:val="0057790C"/>
    <w:rsid w:val="00593795"/>
    <w:rsid w:val="005A75FF"/>
    <w:rsid w:val="005B28C5"/>
    <w:rsid w:val="005B4942"/>
    <w:rsid w:val="005B7789"/>
    <w:rsid w:val="005F2B51"/>
    <w:rsid w:val="00607494"/>
    <w:rsid w:val="0061287C"/>
    <w:rsid w:val="00622725"/>
    <w:rsid w:val="006313D3"/>
    <w:rsid w:val="00640E14"/>
    <w:rsid w:val="00652803"/>
    <w:rsid w:val="0065791C"/>
    <w:rsid w:val="00660156"/>
    <w:rsid w:val="00677176"/>
    <w:rsid w:val="00690B8A"/>
    <w:rsid w:val="00692EE1"/>
    <w:rsid w:val="006B25F1"/>
    <w:rsid w:val="006D1DFA"/>
    <w:rsid w:val="006D506B"/>
    <w:rsid w:val="006D5949"/>
    <w:rsid w:val="006E3C90"/>
    <w:rsid w:val="006F08DA"/>
    <w:rsid w:val="0070037C"/>
    <w:rsid w:val="00701B37"/>
    <w:rsid w:val="00704B61"/>
    <w:rsid w:val="007344F1"/>
    <w:rsid w:val="00742A8D"/>
    <w:rsid w:val="0075191E"/>
    <w:rsid w:val="00754EF5"/>
    <w:rsid w:val="007552A9"/>
    <w:rsid w:val="00761858"/>
    <w:rsid w:val="00762FE7"/>
    <w:rsid w:val="00767B05"/>
    <w:rsid w:val="00767D59"/>
    <w:rsid w:val="00773B0E"/>
    <w:rsid w:val="00776E97"/>
    <w:rsid w:val="00780FD7"/>
    <w:rsid w:val="007912AD"/>
    <w:rsid w:val="007A1F28"/>
    <w:rsid w:val="007B0824"/>
    <w:rsid w:val="007F1340"/>
    <w:rsid w:val="008109D3"/>
    <w:rsid w:val="008303B8"/>
    <w:rsid w:val="00833DCE"/>
    <w:rsid w:val="00837A70"/>
    <w:rsid w:val="00841578"/>
    <w:rsid w:val="00841581"/>
    <w:rsid w:val="00842418"/>
    <w:rsid w:val="00842F89"/>
    <w:rsid w:val="00864126"/>
    <w:rsid w:val="00871D34"/>
    <w:rsid w:val="008767BD"/>
    <w:rsid w:val="00880FD2"/>
    <w:rsid w:val="00881979"/>
    <w:rsid w:val="008A6D99"/>
    <w:rsid w:val="008B270C"/>
    <w:rsid w:val="008C3D3D"/>
    <w:rsid w:val="008D4131"/>
    <w:rsid w:val="008F1932"/>
    <w:rsid w:val="008F294D"/>
    <w:rsid w:val="00911478"/>
    <w:rsid w:val="00915E39"/>
    <w:rsid w:val="00916A58"/>
    <w:rsid w:val="00921062"/>
    <w:rsid w:val="0093083E"/>
    <w:rsid w:val="009451FF"/>
    <w:rsid w:val="009553DD"/>
    <w:rsid w:val="00955A2A"/>
    <w:rsid w:val="00955B0E"/>
    <w:rsid w:val="009659C4"/>
    <w:rsid w:val="00966ECF"/>
    <w:rsid w:val="00970B52"/>
    <w:rsid w:val="009727A3"/>
    <w:rsid w:val="00987774"/>
    <w:rsid w:val="009A11E8"/>
    <w:rsid w:val="009A43A1"/>
    <w:rsid w:val="009A7E85"/>
    <w:rsid w:val="009B2BDA"/>
    <w:rsid w:val="009E0222"/>
    <w:rsid w:val="009E1EED"/>
    <w:rsid w:val="009E4E62"/>
    <w:rsid w:val="009F5220"/>
    <w:rsid w:val="009F7C4D"/>
    <w:rsid w:val="00A15234"/>
    <w:rsid w:val="00A201AB"/>
    <w:rsid w:val="00A31C8B"/>
    <w:rsid w:val="00A356D5"/>
    <w:rsid w:val="00A45ACE"/>
    <w:rsid w:val="00A46960"/>
    <w:rsid w:val="00A54733"/>
    <w:rsid w:val="00A845DC"/>
    <w:rsid w:val="00A97AEE"/>
    <w:rsid w:val="00AB2F2E"/>
    <w:rsid w:val="00AC5CF6"/>
    <w:rsid w:val="00AC7862"/>
    <w:rsid w:val="00B144FA"/>
    <w:rsid w:val="00B16F58"/>
    <w:rsid w:val="00B30648"/>
    <w:rsid w:val="00B322F4"/>
    <w:rsid w:val="00B32DFF"/>
    <w:rsid w:val="00B3524D"/>
    <w:rsid w:val="00B40F69"/>
    <w:rsid w:val="00B46616"/>
    <w:rsid w:val="00B57A65"/>
    <w:rsid w:val="00B610E3"/>
    <w:rsid w:val="00B61205"/>
    <w:rsid w:val="00B617C4"/>
    <w:rsid w:val="00B626FA"/>
    <w:rsid w:val="00B66D87"/>
    <w:rsid w:val="00B7040A"/>
    <w:rsid w:val="00B71622"/>
    <w:rsid w:val="00B91DB5"/>
    <w:rsid w:val="00B947BF"/>
    <w:rsid w:val="00B96FA0"/>
    <w:rsid w:val="00BB2AA8"/>
    <w:rsid w:val="00BD4196"/>
    <w:rsid w:val="00BE4FE1"/>
    <w:rsid w:val="00BF22CA"/>
    <w:rsid w:val="00BF25B7"/>
    <w:rsid w:val="00C26032"/>
    <w:rsid w:val="00C265B0"/>
    <w:rsid w:val="00C321B5"/>
    <w:rsid w:val="00C345E1"/>
    <w:rsid w:val="00C456B4"/>
    <w:rsid w:val="00C74D85"/>
    <w:rsid w:val="00C9551E"/>
    <w:rsid w:val="00C977BA"/>
    <w:rsid w:val="00CA2AB2"/>
    <w:rsid w:val="00CB6E35"/>
    <w:rsid w:val="00CC344B"/>
    <w:rsid w:val="00CC673F"/>
    <w:rsid w:val="00CE1A46"/>
    <w:rsid w:val="00CF1EEF"/>
    <w:rsid w:val="00CF253F"/>
    <w:rsid w:val="00CF56B4"/>
    <w:rsid w:val="00D20F09"/>
    <w:rsid w:val="00D22636"/>
    <w:rsid w:val="00D31831"/>
    <w:rsid w:val="00D40FD9"/>
    <w:rsid w:val="00D42256"/>
    <w:rsid w:val="00D53769"/>
    <w:rsid w:val="00D54938"/>
    <w:rsid w:val="00D67604"/>
    <w:rsid w:val="00D74CFD"/>
    <w:rsid w:val="00D85C13"/>
    <w:rsid w:val="00D8675D"/>
    <w:rsid w:val="00D909DC"/>
    <w:rsid w:val="00D91BE3"/>
    <w:rsid w:val="00D94AFC"/>
    <w:rsid w:val="00DB70AE"/>
    <w:rsid w:val="00DB7231"/>
    <w:rsid w:val="00DD07FC"/>
    <w:rsid w:val="00DD5071"/>
    <w:rsid w:val="00DD5C39"/>
    <w:rsid w:val="00DE0374"/>
    <w:rsid w:val="00DE26AF"/>
    <w:rsid w:val="00DE7DB7"/>
    <w:rsid w:val="00E00A0A"/>
    <w:rsid w:val="00E07F57"/>
    <w:rsid w:val="00E35A3C"/>
    <w:rsid w:val="00E4586A"/>
    <w:rsid w:val="00E50BCE"/>
    <w:rsid w:val="00E515A6"/>
    <w:rsid w:val="00E61292"/>
    <w:rsid w:val="00E76309"/>
    <w:rsid w:val="00E77C4D"/>
    <w:rsid w:val="00E81D01"/>
    <w:rsid w:val="00E834D0"/>
    <w:rsid w:val="00E90C08"/>
    <w:rsid w:val="00E90FD1"/>
    <w:rsid w:val="00EA4F85"/>
    <w:rsid w:val="00EB7361"/>
    <w:rsid w:val="00EB7DD3"/>
    <w:rsid w:val="00EE45D8"/>
    <w:rsid w:val="00EF2A53"/>
    <w:rsid w:val="00F004CD"/>
    <w:rsid w:val="00F12507"/>
    <w:rsid w:val="00F22EDA"/>
    <w:rsid w:val="00F26555"/>
    <w:rsid w:val="00F3224D"/>
    <w:rsid w:val="00F33E0E"/>
    <w:rsid w:val="00F3723B"/>
    <w:rsid w:val="00F518AF"/>
    <w:rsid w:val="00F5664C"/>
    <w:rsid w:val="00F64613"/>
    <w:rsid w:val="00F71F8F"/>
    <w:rsid w:val="00F72B81"/>
    <w:rsid w:val="00F8462D"/>
    <w:rsid w:val="00FA1E6B"/>
    <w:rsid w:val="00FB7E80"/>
    <w:rsid w:val="00FF3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B5BEE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ListParagraph">
    <w:name w:val="List Paragraph"/>
    <w:basedOn w:val="Normal"/>
    <w:uiPriority w:val="34"/>
    <w:qFormat/>
    <w:rsid w:val="008A6D99"/>
    <w:pPr>
      <w:widowControl w:val="0"/>
      <w:ind w:left="720"/>
    </w:pPr>
    <w:rPr>
      <w:rFonts w:eastAsia="ヒラギノ角ゴ Pro W3"/>
      <w:color w:val="000000"/>
      <w:sz w:val="20"/>
      <w:lang w:eastAsia="en-US"/>
    </w:rPr>
  </w:style>
  <w:style w:type="character" w:styleId="Strong">
    <w:name w:val="Strong"/>
    <w:qFormat/>
    <w:rsid w:val="00B32DF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1326</Words>
  <Characters>6471</Characters>
  <Application>Microsoft Office Word</Application>
  <DocSecurity>0</DocSecurity>
  <Lines>53</Lines>
  <Paragraphs>15</Paragraphs>
  <ScaleCrop>false</ScaleCrop>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2018-12-12T16:55:00Z</dcterms:created>
  <dcterms:modified xsi:type="dcterms:W3CDTF">2018-12-12T16:55:00Z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