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C6015C" w:rsidRDefault="000F2B7B" w:rsidP="00F97703">
      <w:pPr>
        <w:jc w:val="center"/>
        <w:rPr>
          <w:rFonts w:ascii="Sylfaen" w:hAnsi="Sylfaen" w:cs="Arial"/>
          <w:color w:val="000000"/>
          <w:sz w:val="16"/>
          <w:szCs w:val="16"/>
        </w:rPr>
      </w:pPr>
      <w:r w:rsidRPr="00C6015C">
        <w:rPr>
          <w:rFonts w:ascii="Sylfaen" w:hAnsi="Sylfaen"/>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C6015C" w:rsidRPr="00C6015C" w:rsidRDefault="00C6015C" w:rsidP="00C6015C">
      <w:pPr>
        <w:rPr>
          <w:rFonts w:ascii="Sylfaen" w:hAnsi="Sylfaen" w:cs="Arial"/>
          <w:color w:val="000000"/>
          <w:sz w:val="16"/>
          <w:szCs w:val="16"/>
        </w:rPr>
      </w:pP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r w:rsidR="00CE2861">
        <w:rPr>
          <w:rFonts w:ascii="Sylfaen" w:hAnsi="Sylfaen" w:cs="Arial"/>
          <w:b/>
          <w:caps/>
          <w:color w:val="000000"/>
        </w:rPr>
        <w:t>pa</w:t>
      </w:r>
      <w:r w:rsidR="000F2B7B">
        <w:rPr>
          <w:rFonts w:ascii="Sylfaen" w:hAnsi="Sylfaen" w:cs="Arial"/>
          <w:b/>
          <w:caps/>
          <w:color w:val="000000"/>
        </w:rPr>
        <w:t>/06</w:t>
      </w:r>
      <w:r w:rsidR="00BA3716">
        <w:rPr>
          <w:rFonts w:ascii="Sylfaen" w:hAnsi="Sylfaen" w:cs="Arial"/>
          <w:b/>
          <w:caps/>
          <w:color w:val="000000"/>
        </w:rPr>
        <w:t>784/20</w:t>
      </w:r>
      <w:r w:rsidR="00CE2861">
        <w:rPr>
          <w:rFonts w:ascii="Sylfaen" w:hAnsi="Sylfaen" w:cs="Arial"/>
          <w:b/>
          <w:caps/>
          <w:color w:val="000000"/>
        </w:rPr>
        <w:t>16</w:t>
      </w:r>
    </w:p>
    <w:p w:rsidR="00C345E1" w:rsidRPr="00A544A8" w:rsidRDefault="00C345E1" w:rsidP="00C345E1">
      <w:pPr>
        <w:jc w:val="center"/>
        <w:rPr>
          <w:rFonts w:ascii="Sylfaen" w:hAnsi="Sylfaen" w:cs="Arial"/>
          <w:color w:val="000000"/>
        </w:rPr>
      </w:pPr>
    </w:p>
    <w:p w:rsidR="00C6015C" w:rsidRDefault="00C6015C" w:rsidP="00C345E1">
      <w:pPr>
        <w:jc w:val="center"/>
        <w:rPr>
          <w:rFonts w:ascii="Sylfaen" w:hAnsi="Sylfaen" w:cs="Arial"/>
          <w:b/>
          <w:color w:val="000000"/>
          <w:u w:val="single"/>
        </w:rPr>
      </w:pPr>
    </w:p>
    <w:p w:rsidR="00C345E1"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6015C" w:rsidRPr="00A544A8" w:rsidRDefault="00C6015C" w:rsidP="00C345E1">
      <w:pPr>
        <w:jc w:val="center"/>
        <w:rPr>
          <w:rFonts w:ascii="Sylfaen" w:hAnsi="Sylfaen" w:cs="Arial"/>
          <w:b/>
          <w:color w:val="000000"/>
          <w:u w:val="single"/>
        </w:rPr>
      </w:pP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4933"/>
        <w:gridCol w:w="4705"/>
      </w:tblGrid>
      <w:tr w:rsidR="00D22636" w:rsidRPr="007A7CEE" w:rsidTr="00713983">
        <w:tc>
          <w:tcPr>
            <w:tcW w:w="5070" w:type="dxa"/>
            <w:shd w:val="clear" w:color="auto" w:fill="auto"/>
          </w:tcPr>
          <w:p w:rsidR="00D22636" w:rsidRPr="007A7CEE" w:rsidRDefault="00BD3A9C" w:rsidP="007A7CEE">
            <w:pPr>
              <w:ind w:left="540" w:hanging="540"/>
              <w:jc w:val="both"/>
              <w:rPr>
                <w:rFonts w:ascii="Sylfaen" w:hAnsi="Sylfaen" w:cs="Arial"/>
                <w:b/>
              </w:rPr>
            </w:pPr>
            <w:r w:rsidRPr="007A7CEE">
              <w:rPr>
                <w:rFonts w:ascii="Sylfaen" w:hAnsi="Sylfaen" w:cs="Arial"/>
              </w:rPr>
              <w:t>At</w:t>
            </w:r>
            <w:r w:rsidRPr="007A7CEE">
              <w:rPr>
                <w:rFonts w:ascii="Sylfaen" w:hAnsi="Sylfaen" w:cs="Arial"/>
                <w:b/>
              </w:rPr>
              <w:t xml:space="preserve">    </w:t>
            </w:r>
            <w:r w:rsidR="00CE2861">
              <w:rPr>
                <w:rFonts w:ascii="Sylfaen" w:hAnsi="Sylfaen" w:cs="Arial"/>
                <w:b/>
              </w:rPr>
              <w:t>Royal Courts of Justice, Belfast</w:t>
            </w:r>
          </w:p>
        </w:tc>
        <w:tc>
          <w:tcPr>
            <w:tcW w:w="4758" w:type="dxa"/>
            <w:shd w:val="clear" w:color="auto" w:fill="auto"/>
          </w:tcPr>
          <w:p w:rsidR="00D22636" w:rsidRPr="007A7CEE" w:rsidRDefault="00713983" w:rsidP="007A7CEE">
            <w:pPr>
              <w:ind w:left="1872" w:hanging="1872"/>
              <w:jc w:val="both"/>
              <w:rPr>
                <w:rFonts w:ascii="Sylfaen" w:hAnsi="Sylfaen" w:cs="Arial"/>
                <w:b/>
                <w:color w:val="000000"/>
              </w:rPr>
            </w:pPr>
            <w:r>
              <w:rPr>
                <w:rFonts w:ascii="Sylfaen" w:hAnsi="Sylfaen" w:cs="Arial"/>
                <w:color w:val="000000"/>
              </w:rPr>
              <w:t>Decision &amp; Reasons Promulgated</w:t>
            </w:r>
          </w:p>
        </w:tc>
      </w:tr>
      <w:tr w:rsidR="00D22636" w:rsidRPr="007A7CEE" w:rsidTr="00713983">
        <w:tc>
          <w:tcPr>
            <w:tcW w:w="5070" w:type="dxa"/>
            <w:shd w:val="clear" w:color="auto" w:fill="auto"/>
          </w:tcPr>
          <w:p w:rsidR="00C6015C" w:rsidRDefault="00BD3A9C" w:rsidP="007A7CEE">
            <w:pPr>
              <w:jc w:val="both"/>
              <w:rPr>
                <w:rFonts w:ascii="Sylfaen" w:hAnsi="Sylfaen" w:cs="Arial"/>
                <w:b/>
              </w:rPr>
            </w:pPr>
            <w:r w:rsidRPr="007A7CEE">
              <w:rPr>
                <w:rFonts w:ascii="Sylfaen" w:hAnsi="Sylfaen" w:cs="Arial"/>
              </w:rPr>
              <w:t>on</w:t>
            </w:r>
            <w:r w:rsidRPr="007A7CEE">
              <w:rPr>
                <w:rFonts w:ascii="Sylfaen" w:hAnsi="Sylfaen" w:cs="Arial"/>
                <w:b/>
              </w:rPr>
              <w:t xml:space="preserve">    </w:t>
            </w:r>
            <w:r w:rsidR="00CE2861">
              <w:rPr>
                <w:rFonts w:ascii="Sylfaen" w:hAnsi="Sylfaen" w:cs="Arial"/>
                <w:b/>
              </w:rPr>
              <w:t>23.07.2018</w:t>
            </w:r>
            <w:r w:rsidR="00713983">
              <w:rPr>
                <w:rFonts w:ascii="Sylfaen" w:hAnsi="Sylfaen" w:cs="Arial"/>
                <w:b/>
              </w:rPr>
              <w:t xml:space="preserve"> </w:t>
            </w:r>
          </w:p>
          <w:p w:rsidR="00D22636" w:rsidRPr="007A7CEE" w:rsidRDefault="00713983" w:rsidP="007A7CEE">
            <w:pPr>
              <w:jc w:val="both"/>
              <w:rPr>
                <w:rFonts w:ascii="Sylfaen" w:hAnsi="Sylfaen" w:cs="Arial"/>
                <w:b/>
              </w:rPr>
            </w:pPr>
            <w:bookmarkStart w:id="0" w:name="_GoBack"/>
            <w:bookmarkEnd w:id="0"/>
            <w:r>
              <w:rPr>
                <w:rFonts w:ascii="Sylfaen" w:hAnsi="Sylfaen" w:cs="Arial"/>
                <w:b/>
              </w:rPr>
              <w:t>Signed 27.07.2018</w:t>
            </w:r>
          </w:p>
        </w:tc>
        <w:tc>
          <w:tcPr>
            <w:tcW w:w="4758" w:type="dxa"/>
            <w:shd w:val="clear" w:color="auto" w:fill="auto"/>
          </w:tcPr>
          <w:p w:rsidR="00D22636" w:rsidRPr="007A7CEE" w:rsidRDefault="00713983" w:rsidP="007A7CEE">
            <w:pPr>
              <w:ind w:left="1872" w:hanging="1872"/>
              <w:jc w:val="both"/>
              <w:rPr>
                <w:rFonts w:ascii="Sylfaen" w:hAnsi="Sylfaen" w:cs="Arial"/>
                <w:b/>
              </w:rPr>
            </w:pPr>
            <w:r>
              <w:rPr>
                <w:rFonts w:ascii="Sylfaen" w:hAnsi="Sylfaen" w:cs="Arial"/>
                <w:color w:val="000000"/>
              </w:rPr>
              <w:t xml:space="preserve">On </w:t>
            </w:r>
            <w:r w:rsidR="00ED360C">
              <w:rPr>
                <w:rFonts w:ascii="Sylfaen" w:hAnsi="Sylfaen" w:cs="Arial"/>
                <w:color w:val="000000"/>
              </w:rPr>
              <w:t>02</w:t>
            </w:r>
            <w:r>
              <w:rPr>
                <w:rFonts w:ascii="Sylfaen" w:hAnsi="Sylfaen" w:cs="Arial"/>
                <w:color w:val="000000"/>
              </w:rPr>
              <w:t>.08.2018</w:t>
            </w:r>
            <w:r w:rsidR="00F07170" w:rsidRPr="007A7CEE">
              <w:rPr>
                <w:rFonts w:ascii="Sylfaen" w:hAnsi="Sylfaen" w:cs="Arial"/>
                <w:b/>
                <w:color w:val="000000"/>
              </w:rPr>
              <w:t xml:space="preserve"> </w:t>
            </w:r>
          </w:p>
        </w:tc>
      </w:tr>
    </w:tbl>
    <w:p w:rsidR="00F07170" w:rsidRDefault="00F07170" w:rsidP="00BD3A9C">
      <w:pPr>
        <w:rPr>
          <w:rFonts w:ascii="Sylfaen" w:hAnsi="Sylfaen" w:cs="Arial"/>
          <w:b/>
        </w:rPr>
      </w:pPr>
    </w:p>
    <w:p w:rsidR="00C6015C" w:rsidRDefault="00C6015C" w:rsidP="00BD3A9C">
      <w:pPr>
        <w:rPr>
          <w:rFonts w:ascii="Sylfaen" w:hAnsi="Sylfaen" w:cs="Arial"/>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C6015C" w:rsidRDefault="00C6015C"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Pr="00A544A8" w:rsidRDefault="00C6015C" w:rsidP="00A15234">
      <w:pPr>
        <w:jc w:val="center"/>
        <w:rPr>
          <w:rFonts w:ascii="Sylfaen" w:hAnsi="Sylfaen" w:cs="Arial"/>
          <w:b/>
        </w:rPr>
      </w:pPr>
      <w:r>
        <w:rPr>
          <w:rFonts w:ascii="Sylfaen" w:hAnsi="Sylfaen" w:cs="Arial"/>
          <w:b/>
        </w:rPr>
        <w:t>[</w:t>
      </w:r>
      <w:r w:rsidR="00CE2861">
        <w:rPr>
          <w:rFonts w:ascii="Sylfaen" w:hAnsi="Sylfaen" w:cs="Arial"/>
          <w:b/>
        </w:rPr>
        <w:t>T</w:t>
      </w:r>
      <w:r>
        <w:rPr>
          <w:rFonts w:ascii="Sylfaen" w:hAnsi="Sylfaen" w:cs="Arial"/>
          <w:b/>
        </w:rPr>
        <w:t xml:space="preserve"> </w:t>
      </w:r>
      <w:r w:rsidR="00CE2861">
        <w:rPr>
          <w:rFonts w:ascii="Sylfaen" w:hAnsi="Sylfaen" w:cs="Arial"/>
          <w:b/>
        </w:rPr>
        <w:t>M</w:t>
      </w:r>
      <w:r>
        <w:rPr>
          <w:rFonts w:ascii="Sylfaen" w:hAnsi="Sylfaen" w:cs="Arial"/>
          <w:b/>
        </w:rPr>
        <w:t>]</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1"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714034">
        <w:rPr>
          <w:rFonts w:ascii="Sylfaen" w:hAnsi="Sylfaen" w:cs="Arial"/>
          <w:b/>
        </w:rPr>
      </w:r>
      <w:r w:rsidR="00714034">
        <w:rPr>
          <w:rFonts w:ascii="Sylfaen" w:hAnsi="Sylfaen" w:cs="Arial"/>
          <w:b/>
        </w:rPr>
        <w:fldChar w:fldCharType="separate"/>
      </w:r>
      <w:r w:rsidRPr="00A544A8">
        <w:rPr>
          <w:rFonts w:ascii="Sylfaen" w:hAnsi="Sylfaen" w:cs="Arial"/>
          <w:b/>
        </w:rPr>
        <w:fldChar w:fldCharType="end"/>
      </w:r>
      <w:bookmarkEnd w:id="1"/>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2"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2"/>
    </w:p>
    <w:p w:rsidR="00DD5071" w:rsidRPr="003860CF" w:rsidRDefault="00BD3A9C" w:rsidP="00DD5071">
      <w:pPr>
        <w:jc w:val="right"/>
        <w:rPr>
          <w:rFonts w:ascii="Sylfaen" w:hAnsi="Sylfaen" w:cs="Arial"/>
        </w:rPr>
      </w:pPr>
      <w:r w:rsidRPr="003860CF">
        <w:rPr>
          <w:rFonts w:ascii="Sylfaen" w:hAnsi="Sylfaen" w:cs="Arial"/>
        </w:rPr>
        <w:t>respondent</w:t>
      </w:r>
    </w:p>
    <w:p w:rsidR="00C6015C" w:rsidRDefault="00C6015C" w:rsidP="00DD5071">
      <w:pPr>
        <w:rPr>
          <w:rFonts w:ascii="Sylfaen" w:hAnsi="Sylfaen" w:cs="Arial"/>
          <w:u w:val="single"/>
        </w:rPr>
      </w:pPr>
    </w:p>
    <w:p w:rsidR="00C6015C" w:rsidRDefault="00C6015C"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CE2861"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CE2861">
        <w:rPr>
          <w:rFonts w:ascii="Sylfaen" w:hAnsi="Sylfaen" w:cs="Arial"/>
          <w:i/>
        </w:rPr>
        <w:t xml:space="preserve">Tim </w:t>
      </w:r>
      <w:proofErr w:type="spellStart"/>
      <w:r w:rsidR="00CE2861">
        <w:rPr>
          <w:rFonts w:ascii="Sylfaen" w:hAnsi="Sylfaen" w:cs="Arial"/>
          <w:i/>
        </w:rPr>
        <w:t>Jebb</w:t>
      </w:r>
      <w:proofErr w:type="spellEnd"/>
      <w:r w:rsidR="00CE2861">
        <w:rPr>
          <w:rFonts w:ascii="Sylfaen" w:hAnsi="Sylfaen" w:cs="Arial"/>
        </w:rPr>
        <w:t xml:space="preserve"> (counsel</w:t>
      </w:r>
      <w:r w:rsidR="00C6015C">
        <w:rPr>
          <w:rFonts w:ascii="Sylfaen" w:hAnsi="Sylfaen" w:cs="Arial"/>
        </w:rPr>
        <w:t>,</w:t>
      </w:r>
      <w:r w:rsidR="00CE2861">
        <w:rPr>
          <w:rFonts w:ascii="Sylfaen" w:hAnsi="Sylfaen" w:cs="Arial"/>
        </w:rPr>
        <w:t xml:space="preserve"> </w:t>
      </w:r>
      <w:r w:rsidR="00CE2861" w:rsidRPr="00CE2861">
        <w:rPr>
          <w:rFonts w:ascii="Sylfaen" w:hAnsi="Sylfaen" w:cs="Arial"/>
        </w:rPr>
        <w:t>instructed by</w:t>
      </w:r>
      <w:r w:rsidR="00CE2861">
        <w:rPr>
          <w:rFonts w:ascii="Sylfaen" w:hAnsi="Sylfaen" w:cs="Arial"/>
        </w:rPr>
        <w:t xml:space="preserve"> Nelson-Singleton, Dromore)</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CE2861">
        <w:rPr>
          <w:rFonts w:ascii="Sylfaen" w:hAnsi="Sylfaen" w:cs="Arial"/>
        </w:rPr>
        <w:t>Mr A Govan</w:t>
      </w:r>
    </w:p>
    <w:p w:rsidR="00DE7DB7" w:rsidRPr="00A544A8" w:rsidRDefault="00DE7DB7" w:rsidP="00402B9E">
      <w:pPr>
        <w:tabs>
          <w:tab w:val="left" w:pos="2520"/>
        </w:tabs>
        <w:jc w:val="center"/>
        <w:rPr>
          <w:rFonts w:ascii="Sylfaen" w:hAnsi="Sylfaen" w:cs="Arial"/>
        </w:rPr>
      </w:pPr>
    </w:p>
    <w:p w:rsidR="00C6015C" w:rsidRDefault="00C6015C" w:rsidP="00BD3A9C">
      <w:pPr>
        <w:tabs>
          <w:tab w:val="left" w:pos="2520"/>
        </w:tabs>
        <w:spacing w:after="120"/>
        <w:jc w:val="center"/>
        <w:rPr>
          <w:rFonts w:ascii="Sylfaen" w:hAnsi="Sylfaen" w:cs="Arial"/>
          <w:b/>
          <w:u w:val="single"/>
        </w:rPr>
      </w:pPr>
    </w:p>
    <w:p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3" w:name="Dropdown4"/>
      <w:r w:rsidR="00DE20CE">
        <w:rPr>
          <w:rFonts w:ascii="Sylfaen" w:hAnsi="Sylfaen" w:cs="Arial"/>
        </w:rPr>
        <w:fldChar w:fldCharType="begin">
          <w:ffData>
            <w:name w:val="Dropdown4"/>
            <w:enabled/>
            <w:calcOnExit w:val="0"/>
            <w:ddList>
              <w:listEntry w:val="appellant"/>
              <w:listEntry w:val="appellants"/>
              <w:listEntry w:val="respondent to the original appeal"/>
            </w:ddList>
          </w:ffData>
        </w:fldChar>
      </w:r>
      <w:r w:rsidR="00DE20CE">
        <w:rPr>
          <w:rFonts w:ascii="Sylfaen" w:hAnsi="Sylfaen" w:cs="Arial"/>
        </w:rPr>
        <w:instrText xml:space="preserve"> FORMDROPDOWN </w:instrText>
      </w:r>
      <w:r w:rsidR="00714034">
        <w:rPr>
          <w:rFonts w:ascii="Sylfaen" w:hAnsi="Sylfaen" w:cs="Arial"/>
        </w:rPr>
      </w:r>
      <w:r w:rsidR="00714034">
        <w:rPr>
          <w:rFonts w:ascii="Sylfaen" w:hAnsi="Sylfaen" w:cs="Arial"/>
        </w:rPr>
        <w:fldChar w:fldCharType="separate"/>
      </w:r>
      <w:r w:rsidR="00DE20CE">
        <w:rPr>
          <w:rFonts w:ascii="Sylfaen" w:hAnsi="Sylfaen" w:cs="Arial"/>
        </w:rPr>
        <w:fldChar w:fldCharType="end"/>
      </w:r>
      <w:bookmarkEnd w:id="3"/>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CE2861">
        <w:rPr>
          <w:rFonts w:ascii="Sylfaen" w:hAnsi="Sylfaen" w:cs="Arial"/>
        </w:rPr>
        <w:t xml:space="preserve">Francis Farrelly), </w:t>
      </w:r>
      <w:r w:rsidR="00FE4D99">
        <w:rPr>
          <w:rFonts w:ascii="Sylfaen" w:hAnsi="Sylfaen" w:cs="Arial"/>
        </w:rPr>
        <w:t xml:space="preserve">sitting at </w:t>
      </w:r>
      <w:r w:rsidR="00CE2861">
        <w:rPr>
          <w:rFonts w:ascii="Sylfaen" w:hAnsi="Sylfaen" w:cs="Arial"/>
        </w:rPr>
        <w:t>Belfast</w:t>
      </w:r>
      <w:r w:rsidR="00FE4D99">
        <w:rPr>
          <w:rFonts w:ascii="Sylfaen" w:hAnsi="Sylfaen" w:cs="Arial"/>
        </w:rPr>
        <w:t xml:space="preserve"> on </w:t>
      </w:r>
      <w:r w:rsidR="00CE2861">
        <w:rPr>
          <w:rFonts w:ascii="Sylfaen" w:hAnsi="Sylfaen" w:cs="Arial"/>
        </w:rPr>
        <w:t>14 July 2017</w:t>
      </w:r>
      <w:r w:rsidR="00FE4D99">
        <w:rPr>
          <w:rFonts w:ascii="Sylfaen" w:hAnsi="Sylfaen" w:cs="Arial"/>
        </w:rPr>
        <w:t xml:space="preserve">, to </w:t>
      </w:r>
      <w:bookmarkStart w:id="4"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714034">
        <w:rPr>
          <w:rFonts w:ascii="Sylfaen" w:hAnsi="Sylfaen" w:cs="Arial"/>
        </w:rPr>
      </w:r>
      <w:r w:rsidR="00714034">
        <w:rPr>
          <w:rFonts w:ascii="Sylfaen" w:hAnsi="Sylfaen" w:cs="Arial"/>
        </w:rPr>
        <w:fldChar w:fldCharType="separate"/>
      </w:r>
      <w:r w:rsidR="004617F0">
        <w:rPr>
          <w:rFonts w:ascii="Sylfaen" w:hAnsi="Sylfaen" w:cs="Arial"/>
        </w:rPr>
        <w:fldChar w:fldCharType="end"/>
      </w:r>
      <w:bookmarkEnd w:id="4"/>
      <w:r w:rsidR="00FE4D99">
        <w:rPr>
          <w:rFonts w:ascii="Sylfaen" w:hAnsi="Sylfaen" w:cs="Arial"/>
        </w:rPr>
        <w:t xml:space="preserve"> </w:t>
      </w:r>
      <w:r w:rsidR="00CE2861">
        <w:rPr>
          <w:rFonts w:ascii="Sylfaen" w:hAnsi="Sylfaen" w:cs="Arial"/>
        </w:rPr>
        <w:t>an asylum</w:t>
      </w:r>
      <w:r w:rsidR="00FE4D99">
        <w:rPr>
          <w:rFonts w:ascii="Sylfaen" w:hAnsi="Sylfaen" w:cs="Arial"/>
        </w:rPr>
        <w:t xml:space="preserve"> appeal by a citizen of </w:t>
      </w:r>
      <w:r w:rsidR="00CE2861">
        <w:rPr>
          <w:rFonts w:ascii="Sylfaen" w:hAnsi="Sylfaen" w:cs="Arial"/>
        </w:rPr>
        <w:t>the Sudan</w:t>
      </w:r>
      <w:r w:rsidR="00102EBC">
        <w:rPr>
          <w:rFonts w:ascii="Sylfaen" w:hAnsi="Sylfaen" w:cs="Arial"/>
        </w:rPr>
        <w:t xml:space="preserve">, born </w:t>
      </w:r>
      <w:r w:rsidR="00CE2861">
        <w:rPr>
          <w:rFonts w:ascii="Sylfaen" w:hAnsi="Sylfaen" w:cs="Arial"/>
        </w:rPr>
        <w:t>1983</w:t>
      </w:r>
      <w:r w:rsidR="00FE4D99">
        <w:rPr>
          <w:rFonts w:ascii="Sylfaen" w:hAnsi="Sylfaen" w:cs="Arial"/>
        </w:rPr>
        <w:t>.</w:t>
      </w:r>
      <w:r w:rsidR="00CE2861">
        <w:rPr>
          <w:rFonts w:ascii="Sylfaen" w:hAnsi="Sylfaen" w:cs="Arial"/>
        </w:rPr>
        <w:t xml:space="preserve"> The appellant said he had </w:t>
      </w:r>
      <w:r w:rsidR="00752319">
        <w:rPr>
          <w:rFonts w:ascii="Sylfaen" w:hAnsi="Sylfaen" w:cs="Arial"/>
        </w:rPr>
        <w:t xml:space="preserve">left that country on 18 March, and </w:t>
      </w:r>
      <w:r w:rsidR="00CE2861">
        <w:rPr>
          <w:rFonts w:ascii="Sylfaen" w:hAnsi="Sylfaen" w:cs="Arial"/>
        </w:rPr>
        <w:t xml:space="preserve">come </w:t>
      </w:r>
      <w:r w:rsidR="00CE2861">
        <w:rPr>
          <w:rFonts w:ascii="Sylfaen" w:hAnsi="Sylfaen" w:cs="Arial"/>
        </w:rPr>
        <w:lastRenderedPageBreak/>
        <w:t>here by sea, with one change of ship: he arrived on 14 April 2016, and claimed asylum on the 19</w:t>
      </w:r>
      <w:r w:rsidR="00CE2861" w:rsidRPr="00CE2861">
        <w:rPr>
          <w:rFonts w:ascii="Sylfaen" w:hAnsi="Sylfaen" w:cs="Arial"/>
          <w:vertAlign w:val="superscript"/>
        </w:rPr>
        <w:t>th</w:t>
      </w:r>
      <w:r w:rsidR="00CE2861">
        <w:rPr>
          <w:rFonts w:ascii="Sylfaen" w:hAnsi="Sylfaen" w:cs="Arial"/>
        </w:rPr>
        <w:t>, which was refused on 22 June.</w:t>
      </w:r>
    </w:p>
    <w:p w:rsidR="004617F0" w:rsidRPr="00B5798C" w:rsidRDefault="00CE2861"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 </w:t>
      </w:r>
      <w:r w:rsidRPr="00B5798C">
        <w:rPr>
          <w:rFonts w:ascii="Sylfaen" w:hAnsi="Sylfaen" w:cs="Arial"/>
        </w:rPr>
        <w:t>claimed asylum on two grounds:</w:t>
      </w:r>
    </w:p>
    <w:p w:rsidR="00CE2861" w:rsidRPr="00B5798C" w:rsidRDefault="007F4E44" w:rsidP="00C6015C">
      <w:pPr>
        <w:numPr>
          <w:ilvl w:val="0"/>
          <w:numId w:val="3"/>
        </w:numPr>
        <w:spacing w:after="120"/>
        <w:ind w:left="1134" w:hanging="567"/>
        <w:jc w:val="both"/>
        <w:rPr>
          <w:rFonts w:ascii="Sylfaen" w:hAnsi="Sylfaen" w:cs="Arial"/>
        </w:rPr>
      </w:pPr>
      <w:r w:rsidRPr="00B5798C">
        <w:rPr>
          <w:rFonts w:ascii="Sylfaen" w:hAnsi="Sylfaen" w:cs="Arial"/>
        </w:rPr>
        <w:t xml:space="preserve">he is a member of the </w:t>
      </w:r>
      <w:proofErr w:type="spellStart"/>
      <w:r w:rsidRPr="00B5798C">
        <w:rPr>
          <w:rFonts w:ascii="Sylfaen" w:hAnsi="Sylfaen" w:cs="Arial"/>
        </w:rPr>
        <w:t>Tunjur</w:t>
      </w:r>
      <w:proofErr w:type="spellEnd"/>
      <w:r w:rsidR="00136CE0">
        <w:rPr>
          <w:rFonts w:ascii="Sylfaen" w:hAnsi="Sylfaen" w:cs="Arial"/>
        </w:rPr>
        <w:t xml:space="preserve"> (or </w:t>
      </w:r>
      <w:proofErr w:type="spellStart"/>
      <w:r w:rsidR="00136CE0">
        <w:rPr>
          <w:rFonts w:ascii="Sylfaen" w:hAnsi="Sylfaen" w:cs="Arial"/>
        </w:rPr>
        <w:t>Tanjur</w:t>
      </w:r>
      <w:proofErr w:type="spellEnd"/>
      <w:r w:rsidR="00136CE0">
        <w:rPr>
          <w:rFonts w:ascii="Sylfaen" w:hAnsi="Sylfaen" w:cs="Arial"/>
        </w:rPr>
        <w:t>)</w:t>
      </w:r>
      <w:r w:rsidRPr="00B5798C">
        <w:rPr>
          <w:rFonts w:ascii="Sylfaen" w:hAnsi="Sylfaen" w:cs="Arial"/>
        </w:rPr>
        <w:t xml:space="preserve"> tribe: for the reasons given in </w:t>
      </w:r>
      <w:hyperlink r:id="rId8" w:history="1">
        <w:r w:rsidRPr="00B5798C">
          <w:rPr>
            <w:rFonts w:ascii="Sylfaen" w:hAnsi="Sylfaen"/>
            <w:i/>
          </w:rPr>
          <w:t>MM</w:t>
        </w:r>
        <w:r w:rsidRPr="00B5798C">
          <w:rPr>
            <w:rFonts w:ascii="Sylfaen" w:hAnsi="Sylfaen"/>
          </w:rPr>
          <w:t xml:space="preserve"> (Darfuris) Sudan (CG) [2015] UKUT 10 (IAC)</w:t>
        </w:r>
      </w:hyperlink>
      <w:r w:rsidR="006A740E" w:rsidRPr="00B5798C">
        <w:rPr>
          <w:rFonts w:ascii="Sylfaen" w:hAnsi="Sylfaen"/>
        </w:rPr>
        <w:t>, Mr Govan accepted that, if he showed this was true, his claim was made out; and</w:t>
      </w:r>
    </w:p>
    <w:p w:rsidR="00F223FF" w:rsidRPr="00F223FF" w:rsidRDefault="006A740E" w:rsidP="00C6015C">
      <w:pPr>
        <w:numPr>
          <w:ilvl w:val="0"/>
          <w:numId w:val="3"/>
        </w:numPr>
        <w:spacing w:after="120"/>
        <w:ind w:left="1134" w:hanging="567"/>
        <w:jc w:val="both"/>
        <w:rPr>
          <w:rFonts w:ascii="Sylfaen" w:hAnsi="Sylfaen" w:cs="Arial"/>
        </w:rPr>
      </w:pPr>
      <w:r w:rsidRPr="00B5798C">
        <w:rPr>
          <w:rFonts w:ascii="Sylfaen" w:hAnsi="Sylfaen"/>
        </w:rPr>
        <w:t xml:space="preserve">he had been detained for taking part, although he had merely been on the scene, in student demonstrations </w:t>
      </w:r>
      <w:r w:rsidR="004910CE">
        <w:rPr>
          <w:rFonts w:ascii="Sylfaen" w:hAnsi="Sylfaen"/>
        </w:rPr>
        <w:t xml:space="preserve">in Khartoum, which he said had </w:t>
      </w:r>
      <w:r w:rsidR="00F223FF" w:rsidRPr="00913DAD">
        <w:rPr>
          <w:rFonts w:ascii="Sylfaen" w:hAnsi="Sylfaen"/>
        </w:rPr>
        <w:t xml:space="preserve">taken place on 1 February 2016: </w:t>
      </w:r>
      <w:proofErr w:type="gramStart"/>
      <w:r w:rsidR="00F223FF" w:rsidRPr="00913DAD">
        <w:rPr>
          <w:rFonts w:ascii="Sylfaen" w:hAnsi="Sylfaen"/>
        </w:rPr>
        <w:t>again</w:t>
      </w:r>
      <w:proofErr w:type="gramEnd"/>
      <w:r w:rsidR="00F223FF" w:rsidRPr="00913DAD">
        <w:rPr>
          <w:rFonts w:ascii="Sylfaen" w:hAnsi="Sylfaen"/>
        </w:rPr>
        <w:t xml:space="preserve"> the issue on this is </w:t>
      </w:r>
      <w:r w:rsidR="00F223FF" w:rsidRPr="00913DAD">
        <w:rPr>
          <w:rFonts w:ascii="Sylfaen" w:hAnsi="Sylfaen" w:cs="Arial"/>
        </w:rPr>
        <w:t>credibility</w:t>
      </w:r>
      <w:r w:rsidR="00913DAD" w:rsidRPr="00913DAD">
        <w:rPr>
          <w:rFonts w:ascii="Sylfaen" w:hAnsi="Sylfaen" w:cs="Arial"/>
        </w:rPr>
        <w:t>, in particular on the date given.</w:t>
      </w:r>
    </w:p>
    <w:p w:rsidR="00CE2861" w:rsidRDefault="004910CE"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appellant’s case was supported on both grounds by a ‘country expert’ Mr Peter Verney, whose evidence, as the judge noted, had been before the Tribunal and not challenged in </w:t>
      </w:r>
      <w:r>
        <w:rPr>
          <w:rFonts w:ascii="Sylfaen" w:hAnsi="Sylfaen" w:cs="Arial"/>
          <w:i/>
        </w:rPr>
        <w:t>MM</w:t>
      </w:r>
      <w:r>
        <w:rPr>
          <w:rFonts w:ascii="Sylfaen" w:hAnsi="Sylfaen" w:cs="Arial"/>
        </w:rPr>
        <w:t xml:space="preserve">. Permission was given on the basis that the judge had failed to deal with his evidence properly: on ground (a) he gave a full summary of it at paragraphs 10 – 14, including Mr Verney’s views on </w:t>
      </w:r>
      <w:r w:rsidR="00136CE0">
        <w:rPr>
          <w:rFonts w:ascii="Sylfaen" w:hAnsi="Sylfaen" w:cs="Arial"/>
        </w:rPr>
        <w:t xml:space="preserve">how the appellant’s knowledge of the </w:t>
      </w:r>
      <w:proofErr w:type="spellStart"/>
      <w:r w:rsidR="00136CE0">
        <w:rPr>
          <w:rFonts w:ascii="Sylfaen" w:hAnsi="Sylfaen" w:cs="Arial"/>
        </w:rPr>
        <w:t>Tunjur</w:t>
      </w:r>
      <w:proofErr w:type="spellEnd"/>
      <w:r w:rsidR="00136CE0">
        <w:rPr>
          <w:rFonts w:ascii="Sylfaen" w:hAnsi="Sylfaen" w:cs="Arial"/>
        </w:rPr>
        <w:t xml:space="preserve"> showed he was a member of the tribe.</w:t>
      </w:r>
    </w:p>
    <w:p w:rsidR="00136CE0" w:rsidRDefault="00136CE0" w:rsidP="00BD3A9C">
      <w:pPr>
        <w:numPr>
          <w:ilvl w:val="0"/>
          <w:numId w:val="1"/>
        </w:numPr>
        <w:tabs>
          <w:tab w:val="clear" w:pos="757"/>
        </w:tabs>
        <w:spacing w:after="120"/>
        <w:ind w:left="540" w:hanging="540"/>
        <w:jc w:val="both"/>
        <w:rPr>
          <w:rFonts w:ascii="Sylfaen" w:hAnsi="Sylfaen" w:cs="Arial"/>
        </w:rPr>
      </w:pPr>
      <w:r>
        <w:rPr>
          <w:rFonts w:ascii="Sylfaen" w:hAnsi="Sylfaen" w:cs="Arial"/>
        </w:rPr>
        <w:t>At 15, the judge said this, by way of initial conclusions on ground</w:t>
      </w:r>
      <w:r w:rsidR="00913DAD">
        <w:rPr>
          <w:rFonts w:ascii="Sylfaen" w:hAnsi="Sylfaen" w:cs="Arial"/>
        </w:rPr>
        <w:t xml:space="preserve"> (a)</w:t>
      </w:r>
      <w:r>
        <w:rPr>
          <w:rFonts w:ascii="Sylfaen" w:hAnsi="Sylfaen" w:cs="Arial"/>
        </w:rPr>
        <w:t>:</w:t>
      </w:r>
    </w:p>
    <w:p w:rsidR="00136CE0" w:rsidRPr="00136CE0" w:rsidRDefault="00136CE0" w:rsidP="00136CE0">
      <w:pPr>
        <w:spacing w:after="120"/>
        <w:ind w:left="851"/>
        <w:jc w:val="both"/>
        <w:rPr>
          <w:rFonts w:ascii="Sylfaen" w:hAnsi="Sylfaen" w:cs="Arial"/>
          <w:sz w:val="22"/>
          <w:szCs w:val="22"/>
        </w:rPr>
      </w:pPr>
      <w:r>
        <w:rPr>
          <w:rFonts w:ascii="Sylfaen" w:hAnsi="Sylfaen" w:cs="Arial"/>
          <w:sz w:val="22"/>
          <w:szCs w:val="22"/>
        </w:rPr>
        <w:t xml:space="preserve">The respondent has made the point that the appellant is an educated person who could learn about the </w:t>
      </w:r>
      <w:proofErr w:type="spellStart"/>
      <w:r>
        <w:rPr>
          <w:rFonts w:ascii="Sylfaen" w:hAnsi="Sylfaen" w:cs="Arial"/>
          <w:sz w:val="22"/>
          <w:szCs w:val="22"/>
        </w:rPr>
        <w:t>Tanjur</w:t>
      </w:r>
      <w:proofErr w:type="spellEnd"/>
      <w:r>
        <w:rPr>
          <w:rFonts w:ascii="Sylfaen" w:hAnsi="Sylfaen" w:cs="Arial"/>
          <w:sz w:val="22"/>
          <w:szCs w:val="22"/>
        </w:rPr>
        <w:t>. Whilst bearing in mind the low standard of proof I have not found the report from Mr Verney demonstrates the appellant’s ethnicity. The reference for instance to their traditional food and the political situation is not persuasive.</w:t>
      </w:r>
    </w:p>
    <w:p w:rsidR="00913DAD" w:rsidRDefault="00913DAD" w:rsidP="00913DAD">
      <w:pPr>
        <w:numPr>
          <w:ilvl w:val="0"/>
          <w:numId w:val="1"/>
        </w:numPr>
        <w:tabs>
          <w:tab w:val="clear" w:pos="757"/>
        </w:tabs>
        <w:spacing w:after="120"/>
        <w:ind w:left="540" w:hanging="540"/>
        <w:jc w:val="both"/>
        <w:rPr>
          <w:rFonts w:ascii="Sylfaen" w:hAnsi="Sylfaen" w:cs="Arial"/>
        </w:rPr>
      </w:pPr>
      <w:r>
        <w:rPr>
          <w:rFonts w:ascii="Sylfaen" w:hAnsi="Sylfaen" w:cs="Arial"/>
        </w:rPr>
        <w:t xml:space="preserve">So far as (b) is concerned, the judge said at 16 that it was most </w:t>
      </w:r>
      <w:r w:rsidRPr="00913DAD">
        <w:rPr>
          <w:rFonts w:ascii="Sylfaen" w:hAnsi="Sylfaen" w:cs="Arial"/>
        </w:rPr>
        <w:t>significant</w:t>
      </w:r>
      <w:r>
        <w:rPr>
          <w:rFonts w:ascii="Sylfaen" w:hAnsi="Sylfaen" w:cs="Arial"/>
        </w:rPr>
        <w:t xml:space="preserve"> that </w:t>
      </w:r>
      <w:r w:rsidRPr="00913DAD">
        <w:rPr>
          <w:rFonts w:ascii="Sylfaen" w:hAnsi="Sylfaen" w:cs="Arial"/>
        </w:rPr>
        <w:t>Mr Verney</w:t>
      </w:r>
      <w:r>
        <w:rPr>
          <w:rFonts w:ascii="Sylfaen" w:hAnsi="Sylfaen" w:cs="Arial"/>
        </w:rPr>
        <w:t xml:space="preserve"> did not comment on the issue about the appellant saying the demonstration having taken place before the information relied on by the respondent suggested that it could have done. </w:t>
      </w:r>
      <w:r w:rsidR="001D29AE">
        <w:rPr>
          <w:rFonts w:ascii="Sylfaen" w:hAnsi="Sylfaen" w:cs="Arial"/>
        </w:rPr>
        <w:t>He went</w:t>
      </w:r>
      <w:r>
        <w:rPr>
          <w:rFonts w:ascii="Sylfaen" w:hAnsi="Sylfaen" w:cs="Arial"/>
        </w:rPr>
        <w:t xml:space="preserve"> on to consider the appellant’s answers at interview </w:t>
      </w:r>
      <w:r w:rsidR="001D29AE">
        <w:rPr>
          <w:rFonts w:ascii="Sylfaen" w:hAnsi="Sylfaen" w:cs="Arial"/>
        </w:rPr>
        <w:t>to that point. At 18 he set out the respondent’s information, and at 19 concludes</w:t>
      </w:r>
    </w:p>
    <w:p w:rsidR="001D29AE" w:rsidRPr="00480C91" w:rsidRDefault="00480C91" w:rsidP="00480C91">
      <w:pPr>
        <w:spacing w:after="120"/>
        <w:ind w:left="851"/>
        <w:jc w:val="both"/>
        <w:rPr>
          <w:rFonts w:ascii="Sylfaen" w:hAnsi="Sylfaen" w:cs="Arial"/>
          <w:sz w:val="22"/>
          <w:szCs w:val="22"/>
        </w:rPr>
      </w:pPr>
      <w:r>
        <w:rPr>
          <w:rFonts w:ascii="Sylfaen" w:hAnsi="Sylfaen" w:cs="Arial"/>
          <w:sz w:val="22"/>
          <w:szCs w:val="22"/>
        </w:rPr>
        <w:t xml:space="preserve">I find this country information can be relied on and does not indicate any history of protest going back to 2015. The head of the </w:t>
      </w:r>
      <w:proofErr w:type="gramStart"/>
      <w:r>
        <w:rPr>
          <w:rFonts w:ascii="Sylfaen" w:hAnsi="Sylfaen" w:cs="Arial"/>
          <w:sz w:val="22"/>
          <w:szCs w:val="22"/>
        </w:rPr>
        <w:t>students</w:t>
      </w:r>
      <w:proofErr w:type="gramEnd"/>
      <w:r>
        <w:rPr>
          <w:rFonts w:ascii="Sylfaen" w:hAnsi="Sylfaen" w:cs="Arial"/>
          <w:sz w:val="22"/>
          <w:szCs w:val="22"/>
        </w:rPr>
        <w:t xml:space="preserve"> association was not aware of this issue until April 2016.</w:t>
      </w:r>
    </w:p>
    <w:p w:rsidR="00480C91" w:rsidRDefault="00480C91" w:rsidP="00BD3A9C">
      <w:pPr>
        <w:numPr>
          <w:ilvl w:val="0"/>
          <w:numId w:val="1"/>
        </w:numPr>
        <w:tabs>
          <w:tab w:val="clear" w:pos="757"/>
        </w:tabs>
        <w:spacing w:after="120"/>
        <w:ind w:left="540" w:hanging="540"/>
        <w:jc w:val="both"/>
        <w:rPr>
          <w:rFonts w:ascii="Sylfaen" w:hAnsi="Sylfaen" w:cs="Arial"/>
        </w:rPr>
      </w:pPr>
      <w:r>
        <w:rPr>
          <w:rFonts w:ascii="Sylfaen" w:hAnsi="Sylfaen" w:cs="Arial"/>
        </w:rPr>
        <w:t>At 21 the judge concludes:</w:t>
      </w:r>
    </w:p>
    <w:p w:rsidR="00480C91" w:rsidRPr="00480C91" w:rsidRDefault="00480C91" w:rsidP="00480C91">
      <w:pPr>
        <w:spacing w:after="120"/>
        <w:ind w:left="851"/>
        <w:jc w:val="both"/>
        <w:rPr>
          <w:rFonts w:ascii="Sylfaen" w:hAnsi="Sylfaen" w:cs="Arial"/>
          <w:sz w:val="22"/>
          <w:szCs w:val="22"/>
        </w:rPr>
      </w:pPr>
      <w:r>
        <w:rPr>
          <w:rFonts w:ascii="Sylfaen" w:hAnsi="Sylfaen" w:cs="Arial"/>
          <w:sz w:val="22"/>
          <w:szCs w:val="22"/>
        </w:rPr>
        <w:t xml:space="preserve">.. the appellant has clearly been caught out in a lie on the chronology. </w:t>
      </w:r>
      <w:r w:rsidRPr="00480C91">
        <w:rPr>
          <w:rFonts w:ascii="Sylfaen" w:hAnsi="Sylfaen" w:cs="Arial"/>
          <w:sz w:val="22"/>
          <w:szCs w:val="22"/>
        </w:rPr>
        <w:t>Mr Verney</w:t>
      </w:r>
      <w:r>
        <w:rPr>
          <w:rFonts w:ascii="Sylfaen" w:hAnsi="Sylfaen" w:cs="Arial"/>
          <w:sz w:val="22"/>
          <w:szCs w:val="22"/>
        </w:rPr>
        <w:t xml:space="preserve"> raises this with the appellant at question 61. The appellant’s answer is that there were protests about cuts to student funding rather than </w:t>
      </w:r>
      <w:r w:rsidR="005071D6">
        <w:rPr>
          <w:rFonts w:ascii="Sylfaen" w:hAnsi="Sylfaen" w:cs="Arial"/>
          <w:sz w:val="22"/>
          <w:szCs w:val="22"/>
        </w:rPr>
        <w:t xml:space="preserve">the sell-off of the University property and that not all the demonstrations were reported. He is clearly changing his story. In his substantive interview and </w:t>
      </w:r>
      <w:proofErr w:type="gramStart"/>
      <w:r w:rsidR="005071D6">
        <w:rPr>
          <w:rFonts w:ascii="Sylfaen" w:hAnsi="Sylfaen" w:cs="Arial"/>
          <w:sz w:val="22"/>
          <w:szCs w:val="22"/>
        </w:rPr>
        <w:t>statement</w:t>
      </w:r>
      <w:proofErr w:type="gramEnd"/>
      <w:r w:rsidR="005071D6">
        <w:rPr>
          <w:rFonts w:ascii="Sylfaen" w:hAnsi="Sylfaen" w:cs="Arial"/>
          <w:sz w:val="22"/>
          <w:szCs w:val="22"/>
        </w:rPr>
        <w:t xml:space="preserve"> he said the protest was about the university relocating and made no mention of student budget cuts. [</w:t>
      </w:r>
      <w:r w:rsidR="005071D6" w:rsidRPr="005071D6">
        <w:rPr>
          <w:rFonts w:ascii="Sylfaen" w:hAnsi="Sylfaen" w:cs="Arial"/>
          <w:sz w:val="22"/>
          <w:szCs w:val="22"/>
        </w:rPr>
        <w:t>Mr Verney</w:t>
      </w:r>
      <w:r w:rsidR="005071D6">
        <w:rPr>
          <w:rFonts w:ascii="Sylfaen" w:hAnsi="Sylfaen" w:cs="Arial"/>
          <w:sz w:val="22"/>
          <w:szCs w:val="22"/>
        </w:rPr>
        <w:t xml:space="preserve">] does not comment on this central issue. </w:t>
      </w:r>
    </w:p>
    <w:p w:rsidR="00136CE0" w:rsidRDefault="00136CE0"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Having found the appellant was not to be believed on the facts of (b), the judge took this into account on his general credibility at 22, where he went on to deal with </w:t>
      </w:r>
      <w:r w:rsidRPr="00136CE0">
        <w:rPr>
          <w:rFonts w:ascii="Sylfaen" w:hAnsi="Sylfaen" w:cs="Arial"/>
        </w:rPr>
        <w:t>Mr Verney</w:t>
      </w:r>
      <w:r>
        <w:rPr>
          <w:rFonts w:ascii="Sylfaen" w:hAnsi="Sylfaen" w:cs="Arial"/>
        </w:rPr>
        <w:t>’s conclusions as follows:</w:t>
      </w:r>
    </w:p>
    <w:p w:rsidR="00136CE0" w:rsidRPr="00136CE0" w:rsidRDefault="00F223FF" w:rsidP="00136CE0">
      <w:pPr>
        <w:spacing w:after="120"/>
        <w:ind w:left="851"/>
        <w:jc w:val="both"/>
        <w:rPr>
          <w:rFonts w:ascii="Sylfaen" w:hAnsi="Sylfaen" w:cs="Arial"/>
          <w:sz w:val="22"/>
          <w:szCs w:val="22"/>
        </w:rPr>
      </w:pPr>
      <w:r>
        <w:rPr>
          <w:rFonts w:ascii="Sylfaen" w:hAnsi="Sylfaen" w:cs="Arial"/>
          <w:sz w:val="22"/>
          <w:szCs w:val="22"/>
        </w:rPr>
        <w:t xml:space="preserve">… his report does indicate the prevalence of false claims [of </w:t>
      </w:r>
      <w:proofErr w:type="spellStart"/>
      <w:r>
        <w:rPr>
          <w:rFonts w:ascii="Sylfaen" w:hAnsi="Sylfaen" w:cs="Arial"/>
          <w:sz w:val="22"/>
          <w:szCs w:val="22"/>
        </w:rPr>
        <w:t>Tunjur</w:t>
      </w:r>
      <w:proofErr w:type="spellEnd"/>
      <w:r>
        <w:rPr>
          <w:rFonts w:ascii="Sylfaen" w:hAnsi="Sylfaen" w:cs="Arial"/>
          <w:sz w:val="22"/>
          <w:szCs w:val="22"/>
        </w:rPr>
        <w:t xml:space="preserve"> identity] and highlights the obvious signs of ethnicity, such as language or skin colour. I appreciate that </w:t>
      </w:r>
      <w:r w:rsidRPr="00F223FF">
        <w:rPr>
          <w:rFonts w:ascii="Sylfaen" w:hAnsi="Sylfaen" w:cs="Arial"/>
          <w:sz w:val="22"/>
          <w:szCs w:val="22"/>
        </w:rPr>
        <w:t>Mr Verney</w:t>
      </w:r>
      <w:r>
        <w:rPr>
          <w:rFonts w:ascii="Sylfaen" w:hAnsi="Sylfaen" w:cs="Arial"/>
          <w:sz w:val="22"/>
          <w:szCs w:val="22"/>
        </w:rPr>
        <w:t xml:space="preserve"> is a </w:t>
      </w:r>
      <w:r>
        <w:rPr>
          <w:rFonts w:ascii="Sylfaen" w:hAnsi="Sylfaen" w:cs="Arial"/>
          <w:sz w:val="22"/>
          <w:szCs w:val="22"/>
        </w:rPr>
        <w:lastRenderedPageBreak/>
        <w:t xml:space="preserve">recognised </w:t>
      </w:r>
      <w:r w:rsidRPr="00F223FF">
        <w:rPr>
          <w:rFonts w:ascii="Sylfaen" w:hAnsi="Sylfaen" w:cs="Arial"/>
          <w:sz w:val="22"/>
          <w:szCs w:val="22"/>
        </w:rPr>
        <w:t>‘country expert’</w:t>
      </w:r>
      <w:r>
        <w:rPr>
          <w:rFonts w:ascii="Sylfaen" w:hAnsi="Sylfaen" w:cs="Arial"/>
          <w:sz w:val="22"/>
          <w:szCs w:val="22"/>
        </w:rPr>
        <w:t xml:space="preserve"> and accepts the appellant’s claimed ethnicity. I do not find the reasons advanced resolve the credibility issue about the timing of events</w:t>
      </w:r>
    </w:p>
    <w:p w:rsidR="00136CE0" w:rsidRPr="00662D18" w:rsidRDefault="005071D6" w:rsidP="00BD3A9C">
      <w:pPr>
        <w:numPr>
          <w:ilvl w:val="0"/>
          <w:numId w:val="1"/>
        </w:numPr>
        <w:tabs>
          <w:tab w:val="clear" w:pos="757"/>
        </w:tabs>
        <w:spacing w:after="120"/>
        <w:ind w:left="540" w:hanging="540"/>
        <w:jc w:val="both"/>
        <w:rPr>
          <w:rFonts w:ascii="Sylfaen" w:hAnsi="Sylfaen" w:cs="Arial"/>
        </w:rPr>
      </w:pPr>
      <w:r w:rsidRPr="00662D18">
        <w:rPr>
          <w:rFonts w:ascii="Sylfaen" w:hAnsi="Sylfaen" w:cs="Arial"/>
        </w:rPr>
        <w:t xml:space="preserve">Clearly if the judge was entitled to decide (b) as he did, then he was also entitled to take his credibility findings on it into account on his decision on (a); </w:t>
      </w:r>
      <w:proofErr w:type="gramStart"/>
      <w:r w:rsidRPr="00662D18">
        <w:rPr>
          <w:rFonts w:ascii="Sylfaen" w:hAnsi="Sylfaen" w:cs="Arial"/>
        </w:rPr>
        <w:t>so</w:t>
      </w:r>
      <w:proofErr w:type="gramEnd"/>
      <w:r w:rsidRPr="00662D18">
        <w:rPr>
          <w:rFonts w:ascii="Sylfaen" w:hAnsi="Sylfaen" w:cs="Arial"/>
        </w:rPr>
        <w:t xml:space="preserve"> I shall start by dealing with (b). He was entirely co</w:t>
      </w:r>
      <w:r w:rsidR="00662D18" w:rsidRPr="00662D18">
        <w:rPr>
          <w:rFonts w:ascii="Sylfaen" w:hAnsi="Sylfaen" w:cs="Arial"/>
        </w:rPr>
        <w:t>rrect in what he said at 21 about the change in the appellant’s account between his asylum interview, and the one Mr Verney had with him on Skype: see paragraphs 34 – 36 and 61 – 63 of that.</w:t>
      </w:r>
    </w:p>
    <w:p w:rsidR="00662D18" w:rsidRDefault="00662D18" w:rsidP="00BD3A9C">
      <w:pPr>
        <w:numPr>
          <w:ilvl w:val="0"/>
          <w:numId w:val="1"/>
        </w:numPr>
        <w:tabs>
          <w:tab w:val="clear" w:pos="757"/>
        </w:tabs>
        <w:spacing w:after="120"/>
        <w:ind w:left="540" w:hanging="540"/>
        <w:jc w:val="both"/>
        <w:rPr>
          <w:rFonts w:ascii="Sylfaen" w:hAnsi="Sylfaen" w:cs="Arial"/>
        </w:rPr>
      </w:pPr>
      <w:r w:rsidRPr="00662D18">
        <w:rPr>
          <w:rFonts w:ascii="Sylfaen" w:hAnsi="Sylfaen" w:cs="Arial"/>
        </w:rPr>
        <w:t>The grant of permission does not exclude the other grounds put forward for the appellant. So far as ground 1 (of the renewed grounds) is concerned</w:t>
      </w:r>
      <w:r>
        <w:rPr>
          <w:rFonts w:ascii="Sylfaen" w:hAnsi="Sylfaen" w:cs="Arial"/>
        </w:rPr>
        <w:t>, it</w:t>
      </w:r>
      <w:r w:rsidR="00A777FE">
        <w:rPr>
          <w:rFonts w:ascii="Sylfaen" w:hAnsi="Sylfaen" w:cs="Arial"/>
        </w:rPr>
        <w:t xml:space="preserve"> takes a point on something said by the first-tier permission judge, and not by </w:t>
      </w:r>
      <w:r w:rsidR="00A777FE" w:rsidRPr="00A777FE">
        <w:rPr>
          <w:rFonts w:ascii="Sylfaen" w:hAnsi="Sylfaen" w:cs="Arial"/>
        </w:rPr>
        <w:t>Judge Farrelly</w:t>
      </w:r>
      <w:r w:rsidR="00A777FE">
        <w:rPr>
          <w:rFonts w:ascii="Sylfaen" w:hAnsi="Sylfaen" w:cs="Arial"/>
        </w:rPr>
        <w:t xml:space="preserve"> at all. Ground 3 summarizes what had been said in the original grounds</w:t>
      </w:r>
      <w:r w:rsidRPr="00662D18">
        <w:rPr>
          <w:rFonts w:ascii="Sylfaen" w:hAnsi="Sylfaen" w:cs="Arial"/>
        </w:rPr>
        <w:t xml:space="preserve"> </w:t>
      </w:r>
      <w:r w:rsidR="00A777FE">
        <w:rPr>
          <w:rFonts w:ascii="Sylfaen" w:hAnsi="Sylfaen" w:cs="Arial"/>
        </w:rPr>
        <w:t xml:space="preserve">to the effect that the judge had been wrong to treat the Internet articles relied on by the respondent as reliable himself, without giving reasons for that. He is criticized for referring to them (at 16) as ‘country information’, on the basis that this was treating them as the </w:t>
      </w:r>
      <w:r w:rsidR="00A777FE" w:rsidRPr="00A777FE">
        <w:rPr>
          <w:rFonts w:ascii="Sylfaen" w:hAnsi="Sylfaen" w:cs="Arial"/>
          <w:szCs w:val="28"/>
        </w:rPr>
        <w:t>equivalent of</w:t>
      </w:r>
      <w:r w:rsidR="00A777FE">
        <w:rPr>
          <w:rFonts w:ascii="Sylfaen" w:hAnsi="Sylfaen" w:cs="Arial"/>
          <w:szCs w:val="28"/>
        </w:rPr>
        <w:t xml:space="preserve"> Home Office </w:t>
      </w:r>
      <w:r w:rsidR="00A777FE">
        <w:rPr>
          <w:rFonts w:ascii="Sylfaen" w:hAnsi="Sylfaen" w:cs="Arial"/>
          <w:bCs/>
          <w:color w:val="000000"/>
          <w:szCs w:val="28"/>
        </w:rPr>
        <w:t xml:space="preserve">country guidance. </w:t>
      </w:r>
      <w:r w:rsidRPr="00662D18">
        <w:rPr>
          <w:rFonts w:ascii="Sylfaen" w:hAnsi="Sylfaen" w:cs="Arial"/>
        </w:rPr>
        <w:t xml:space="preserve">               </w:t>
      </w:r>
    </w:p>
    <w:p w:rsidR="00805AE5" w:rsidRPr="00805AE5" w:rsidRDefault="00A777FE" w:rsidP="00805AE5">
      <w:pPr>
        <w:numPr>
          <w:ilvl w:val="0"/>
          <w:numId w:val="1"/>
        </w:numPr>
        <w:tabs>
          <w:tab w:val="clear" w:pos="757"/>
        </w:tabs>
        <w:spacing w:after="120"/>
        <w:ind w:left="540" w:hanging="540"/>
        <w:jc w:val="both"/>
        <w:rPr>
          <w:rFonts w:ascii="Sylfaen" w:hAnsi="Sylfaen" w:cs="Arial"/>
          <w:sz w:val="22"/>
          <w:szCs w:val="22"/>
        </w:rPr>
      </w:pPr>
      <w:r>
        <w:rPr>
          <w:rFonts w:ascii="Sylfaen" w:hAnsi="Sylfaen" w:cs="Arial"/>
        </w:rPr>
        <w:t>‘Country information’</w:t>
      </w:r>
      <w:r w:rsidR="007C7375">
        <w:rPr>
          <w:rFonts w:ascii="Sylfaen" w:hAnsi="Sylfaen" w:cs="Arial"/>
        </w:rPr>
        <w:t xml:space="preserve"> is </w:t>
      </w:r>
      <w:r>
        <w:rPr>
          <w:rFonts w:ascii="Sylfaen" w:hAnsi="Sylfaen" w:cs="Arial"/>
        </w:rPr>
        <w:t xml:space="preserve">not a term of art, and there is nothing in the judge’s use of it to suggest that he gave the articles any higher inherent value than they were entitled to. The reasons point is set out </w:t>
      </w:r>
      <w:r w:rsidR="00805AE5">
        <w:rPr>
          <w:rFonts w:ascii="Sylfaen" w:hAnsi="Sylfaen" w:cs="Arial"/>
        </w:rPr>
        <w:t xml:space="preserve">in full </w:t>
      </w:r>
      <w:r>
        <w:rPr>
          <w:rFonts w:ascii="Sylfaen" w:hAnsi="Sylfaen" w:cs="Arial"/>
        </w:rPr>
        <w:t xml:space="preserve">in the original grounds at </w:t>
      </w:r>
      <w:r w:rsidR="00805AE5">
        <w:rPr>
          <w:rFonts w:ascii="Sylfaen" w:hAnsi="Sylfaen" w:cs="Arial"/>
        </w:rPr>
        <w:t xml:space="preserve">paragraph 14, and was not enlarged on by Mr </w:t>
      </w:r>
      <w:proofErr w:type="spellStart"/>
      <w:r w:rsidR="00805AE5">
        <w:rPr>
          <w:rFonts w:ascii="Sylfaen" w:hAnsi="Sylfaen" w:cs="Arial"/>
        </w:rPr>
        <w:t>Jebb</w:t>
      </w:r>
      <w:proofErr w:type="spellEnd"/>
      <w:r w:rsidR="00805AE5">
        <w:rPr>
          <w:rFonts w:ascii="Sylfaen" w:hAnsi="Sylfaen" w:cs="Arial"/>
        </w:rPr>
        <w:t>:</w:t>
      </w:r>
    </w:p>
    <w:p w:rsidR="00805AE5" w:rsidRPr="00805AE5" w:rsidRDefault="00805AE5" w:rsidP="00805AE5">
      <w:pPr>
        <w:spacing w:after="120"/>
        <w:ind w:left="851"/>
        <w:jc w:val="both"/>
        <w:rPr>
          <w:rFonts w:ascii="Sylfaen" w:hAnsi="Sylfaen" w:cs="Arial"/>
          <w:sz w:val="22"/>
          <w:szCs w:val="22"/>
        </w:rPr>
      </w:pPr>
      <w:r>
        <w:rPr>
          <w:rFonts w:ascii="Sylfaen" w:hAnsi="Sylfaen" w:cs="Arial"/>
          <w:sz w:val="22"/>
          <w:szCs w:val="22"/>
        </w:rPr>
        <w:t>While the articles are sourced, no information is provided as to the quality of those sources. For example, are they local publications?</w:t>
      </w:r>
    </w:p>
    <w:p w:rsidR="00805AE5" w:rsidRDefault="00805AE5"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Looking at the articles (E, F and G in the respondent’s bundle), all three are date-lined Khartoum: E and F are from the web-site of Radio </w:t>
      </w:r>
      <w:proofErr w:type="spellStart"/>
      <w:r>
        <w:rPr>
          <w:rFonts w:ascii="Sylfaen" w:hAnsi="Sylfaen" w:cs="Arial"/>
        </w:rPr>
        <w:t>Dabanga</w:t>
      </w:r>
      <w:proofErr w:type="spellEnd"/>
      <w:r>
        <w:rPr>
          <w:rFonts w:ascii="Sylfaen" w:hAnsi="Sylfaen" w:cs="Arial"/>
        </w:rPr>
        <w:t xml:space="preserve">, which </w:t>
      </w:r>
      <w:r w:rsidR="00DC33F1">
        <w:rPr>
          <w:rFonts w:ascii="Sylfaen" w:hAnsi="Sylfaen" w:cs="Arial"/>
        </w:rPr>
        <w:t>may reasonably be assumed from</w:t>
      </w:r>
      <w:r>
        <w:rPr>
          <w:rFonts w:ascii="Sylfaen" w:hAnsi="Sylfaen" w:cs="Arial"/>
        </w:rPr>
        <w:t xml:space="preserve"> the text of F (paragraph 4: “Yesterday </w:t>
      </w:r>
      <w:r w:rsidR="00DC33F1">
        <w:rPr>
          <w:rFonts w:ascii="Sylfaen" w:hAnsi="Sylfaen" w:cs="Arial"/>
        </w:rPr>
        <w:t xml:space="preserve">several students told Radio </w:t>
      </w:r>
      <w:proofErr w:type="spellStart"/>
      <w:r w:rsidR="00DC33F1">
        <w:rPr>
          <w:rFonts w:ascii="Sylfaen" w:hAnsi="Sylfaen" w:cs="Arial"/>
        </w:rPr>
        <w:t>Dabanga</w:t>
      </w:r>
      <w:proofErr w:type="spellEnd"/>
      <w:r w:rsidR="00DC33F1">
        <w:rPr>
          <w:rFonts w:ascii="Sylfaen" w:hAnsi="Sylfaen" w:cs="Arial"/>
        </w:rPr>
        <w:t xml:space="preserve"> …”) to be a local station. G is from the web-site of an all-African organization, though it credits the copyright to ‘</w:t>
      </w:r>
      <w:proofErr w:type="spellStart"/>
      <w:r w:rsidR="00DC33F1">
        <w:rPr>
          <w:rFonts w:ascii="Sylfaen" w:hAnsi="Sylfaen" w:cs="Arial"/>
        </w:rPr>
        <w:t>SudaNow</w:t>
      </w:r>
      <w:proofErr w:type="spellEnd"/>
      <w:r w:rsidR="00DC33F1">
        <w:rPr>
          <w:rFonts w:ascii="Sylfaen" w:hAnsi="Sylfaen" w:cs="Arial"/>
        </w:rPr>
        <w:t xml:space="preserve"> (Khartoum)’. The all-African date on the download of G is 22 June 2016, so the statement that “… the university unrest [</w:t>
      </w:r>
      <w:r w:rsidR="00DC33F1" w:rsidRPr="00DC33F1">
        <w:rPr>
          <w:rFonts w:ascii="Sylfaen" w:hAnsi="Sylfaen" w:cs="Arial"/>
          <w:i/>
        </w:rPr>
        <w:t>specifically about the planned selling-off of the buildings</w:t>
      </w:r>
      <w:r w:rsidR="00DC33F1">
        <w:rPr>
          <w:rFonts w:ascii="Sylfaen" w:hAnsi="Sylfaen" w:cs="Arial"/>
        </w:rPr>
        <w:t>] has started three weeks ago …” does not give a specific date for that.</w:t>
      </w:r>
    </w:p>
    <w:p w:rsidR="00DC33F1" w:rsidRDefault="00752319" w:rsidP="00BD3A9C">
      <w:pPr>
        <w:numPr>
          <w:ilvl w:val="0"/>
          <w:numId w:val="1"/>
        </w:numPr>
        <w:tabs>
          <w:tab w:val="clear" w:pos="757"/>
        </w:tabs>
        <w:spacing w:after="120"/>
        <w:ind w:left="540" w:hanging="540"/>
        <w:jc w:val="both"/>
        <w:rPr>
          <w:rFonts w:ascii="Sylfaen" w:hAnsi="Sylfaen" w:cs="Arial"/>
        </w:rPr>
      </w:pPr>
      <w:proofErr w:type="gramStart"/>
      <w:r>
        <w:rPr>
          <w:rFonts w:ascii="Sylfaen" w:hAnsi="Sylfaen" w:cs="Arial"/>
        </w:rPr>
        <w:t>However</w:t>
      </w:r>
      <w:proofErr w:type="gramEnd"/>
      <w:r>
        <w:rPr>
          <w:rFonts w:ascii="Sylfaen" w:hAnsi="Sylfaen" w:cs="Arial"/>
        </w:rPr>
        <w:t xml:space="preserve"> </w:t>
      </w:r>
      <w:r w:rsidR="00DC33F1">
        <w:rPr>
          <w:rFonts w:ascii="Sylfaen" w:hAnsi="Sylfaen" w:cs="Arial"/>
        </w:rPr>
        <w:t xml:space="preserve">E (dated 12 April) and F (28 April) </w:t>
      </w:r>
      <w:r w:rsidR="007C7375">
        <w:rPr>
          <w:rFonts w:ascii="Sylfaen" w:hAnsi="Sylfaen" w:cs="Arial"/>
        </w:rPr>
        <w:t xml:space="preserve">do both give specific dates for the demonstrations about the sell-off. </w:t>
      </w:r>
      <w:proofErr w:type="spellStart"/>
      <w:r w:rsidR="007C7375">
        <w:rPr>
          <w:rFonts w:ascii="Sylfaen" w:hAnsi="Sylfaen" w:cs="Arial"/>
        </w:rPr>
        <w:t>E</w:t>
      </w:r>
      <w:proofErr w:type="spellEnd"/>
      <w:r w:rsidR="007C7375">
        <w:rPr>
          <w:rFonts w:ascii="Sylfaen" w:hAnsi="Sylfaen" w:cs="Arial"/>
        </w:rPr>
        <w:t xml:space="preserve"> refers to one on Monday 11 April, and goes on to quote the head of the Darfur Students Association at the university as saying they found out about it ‘last Wednesday’, which in context must mean on 6 April. While F refers to protests on this point starting on the 13</w:t>
      </w:r>
      <w:r w:rsidR="007C7375" w:rsidRPr="007C7375">
        <w:rPr>
          <w:rFonts w:ascii="Sylfaen" w:hAnsi="Sylfaen" w:cs="Arial"/>
          <w:vertAlign w:val="superscript"/>
        </w:rPr>
        <w:t>th</w:t>
      </w:r>
      <w:r w:rsidR="007C7375">
        <w:rPr>
          <w:rFonts w:ascii="Sylfaen" w:hAnsi="Sylfaen" w:cs="Arial"/>
        </w:rPr>
        <w:t>, followed by a strike on the 18</w:t>
      </w:r>
      <w:r w:rsidR="007C7375" w:rsidRPr="007C7375">
        <w:rPr>
          <w:rFonts w:ascii="Sylfaen" w:hAnsi="Sylfaen" w:cs="Arial"/>
          <w:vertAlign w:val="superscript"/>
        </w:rPr>
        <w:t>th</w:t>
      </w:r>
      <w:r w:rsidR="007C7375">
        <w:rPr>
          <w:rFonts w:ascii="Sylfaen" w:hAnsi="Sylfaen" w:cs="Arial"/>
        </w:rPr>
        <w:t>, there were clearly a series of continuing demonstrations</w:t>
      </w:r>
      <w:r>
        <w:rPr>
          <w:rFonts w:ascii="Sylfaen" w:hAnsi="Sylfaen" w:cs="Arial"/>
        </w:rPr>
        <w:t xml:space="preserve"> about the sell-off</w:t>
      </w:r>
      <w:r w:rsidR="007C7375">
        <w:rPr>
          <w:rFonts w:ascii="Sylfaen" w:hAnsi="Sylfaen" w:cs="Arial"/>
        </w:rPr>
        <w:t xml:space="preserve">, which, if the student leader was correctly quoted, could not have happened before 6 April 2016. </w:t>
      </w:r>
      <w:r>
        <w:rPr>
          <w:rFonts w:ascii="Sylfaen" w:hAnsi="Sylfaen" w:cs="Arial"/>
        </w:rPr>
        <w:t>That directly contradicted what the appellant had said at his interview about the demonstration over which he was arrested taking place on 1 February, followed by</w:t>
      </w:r>
    </w:p>
    <w:p w:rsidR="007C7375" w:rsidRDefault="007C7375"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While </w:t>
      </w:r>
      <w:r w:rsidRPr="007C7375">
        <w:rPr>
          <w:rFonts w:ascii="Sylfaen" w:hAnsi="Sylfaen" w:cs="Arial"/>
        </w:rPr>
        <w:t>Mr Verney</w:t>
      </w:r>
      <w:r>
        <w:rPr>
          <w:rFonts w:ascii="Sylfaen" w:hAnsi="Sylfaen" w:cs="Arial"/>
        </w:rPr>
        <w:t xml:space="preserve">, as the judge noted, referred to continuing demonstrations starting well before this, he was fully aware (see his 62) of the specific point made by the respondent, and has nothing to say about it, or the articles, of his own. </w:t>
      </w:r>
      <w:r w:rsidR="00752319">
        <w:rPr>
          <w:rFonts w:ascii="Sylfaen" w:hAnsi="Sylfaen" w:cs="Arial"/>
        </w:rPr>
        <w:t xml:space="preserve">It may reasonably be assumed that if </w:t>
      </w:r>
      <w:r w:rsidR="00752319">
        <w:rPr>
          <w:rFonts w:ascii="Sylfaen" w:hAnsi="Sylfaen" w:cs="Arial"/>
        </w:rPr>
        <w:lastRenderedPageBreak/>
        <w:t>he did, he would have mentioned it: failing that, the appellant’s solicitors could have asked him about it.</w:t>
      </w:r>
    </w:p>
    <w:p w:rsidR="00752319" w:rsidRDefault="00752319"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Given the information about sources contained in the articles themselves (see </w:t>
      </w:r>
      <w:r>
        <w:rPr>
          <w:rFonts w:ascii="Sylfaen" w:hAnsi="Sylfaen" w:cs="Arial"/>
          <w:b/>
        </w:rPr>
        <w:t>11</w:t>
      </w:r>
      <w:r>
        <w:rPr>
          <w:rFonts w:ascii="Sylfaen" w:hAnsi="Sylfaen" w:cs="Arial"/>
        </w:rPr>
        <w:t xml:space="preserve">), and the lack of any comment on them, or on their contents, by </w:t>
      </w:r>
      <w:r w:rsidRPr="00752319">
        <w:rPr>
          <w:rFonts w:ascii="Sylfaen" w:hAnsi="Sylfaen" w:cs="Arial"/>
        </w:rPr>
        <w:t>Mr Verney</w:t>
      </w:r>
      <w:r>
        <w:rPr>
          <w:rFonts w:ascii="Sylfaen" w:hAnsi="Sylfaen" w:cs="Arial"/>
        </w:rPr>
        <w:t xml:space="preserve">, it seems to me that the judge was fully entitled to deal with question (a) (was the </w:t>
      </w:r>
      <w:r w:rsidRPr="00752319">
        <w:rPr>
          <w:rFonts w:ascii="Sylfaen" w:hAnsi="Sylfaen" w:cs="Arial"/>
        </w:rPr>
        <w:t xml:space="preserve">appellant a </w:t>
      </w:r>
      <w:proofErr w:type="spellStart"/>
      <w:r w:rsidRPr="00752319">
        <w:rPr>
          <w:rFonts w:ascii="Sylfaen" w:hAnsi="Sylfaen" w:cs="Arial"/>
        </w:rPr>
        <w:t>Tunjur</w:t>
      </w:r>
      <w:proofErr w:type="spellEnd"/>
      <w:r w:rsidRPr="00752319">
        <w:rPr>
          <w:rFonts w:ascii="Sylfaen" w:hAnsi="Sylfaen" w:cs="Arial"/>
        </w:rPr>
        <w:t xml:space="preserve">?), on the basis that his credibility had </w:t>
      </w:r>
      <w:proofErr w:type="gramStart"/>
      <w:r w:rsidRPr="00752319">
        <w:rPr>
          <w:rFonts w:ascii="Sylfaen" w:hAnsi="Sylfaen" w:cs="Arial"/>
        </w:rPr>
        <w:t>been  seriously</w:t>
      </w:r>
      <w:proofErr w:type="gramEnd"/>
      <w:r w:rsidRPr="00752319">
        <w:rPr>
          <w:rFonts w:ascii="Sylfaen" w:hAnsi="Sylfaen" w:cs="Arial"/>
        </w:rPr>
        <w:t xml:space="preserve"> damaged by the evidence on (b)</w:t>
      </w:r>
      <w:r>
        <w:rPr>
          <w:rFonts w:ascii="Sylfaen" w:hAnsi="Sylfaen" w:cs="Arial"/>
        </w:rPr>
        <w:t xml:space="preserve">. He rightly made clear at 20 that he had “… looked at all the evidence in the </w:t>
      </w:r>
      <w:r w:rsidR="009F4F75">
        <w:rPr>
          <w:rFonts w:ascii="Sylfaen" w:hAnsi="Sylfaen" w:cs="Arial"/>
        </w:rPr>
        <w:t>round before reaching a conclusion”, so could not be criticized on that point.</w:t>
      </w:r>
    </w:p>
    <w:p w:rsidR="006D703F" w:rsidRDefault="009F4F75" w:rsidP="006D703F">
      <w:pPr>
        <w:numPr>
          <w:ilvl w:val="0"/>
          <w:numId w:val="1"/>
        </w:numPr>
        <w:tabs>
          <w:tab w:val="clear" w:pos="757"/>
        </w:tabs>
        <w:spacing w:after="120"/>
        <w:ind w:left="540" w:hanging="540"/>
        <w:jc w:val="both"/>
        <w:rPr>
          <w:rFonts w:ascii="Sylfaen" w:hAnsi="Sylfaen" w:cs="Arial"/>
        </w:rPr>
      </w:pPr>
      <w:r>
        <w:rPr>
          <w:rFonts w:ascii="Sylfaen" w:hAnsi="Sylfaen" w:cs="Arial"/>
        </w:rPr>
        <w:t xml:space="preserve">Returning to point (a), </w:t>
      </w:r>
      <w:r w:rsidR="006D703F">
        <w:rPr>
          <w:rFonts w:ascii="Sylfaen" w:hAnsi="Sylfaen" w:cs="Arial"/>
        </w:rPr>
        <w:t xml:space="preserve">there had been detailed criticism of the judge on this in the original grounds, which </w:t>
      </w:r>
      <w:r w:rsidR="006D703F" w:rsidRPr="006D703F">
        <w:rPr>
          <w:rFonts w:ascii="Sylfaen" w:hAnsi="Sylfaen" w:cs="Arial"/>
        </w:rPr>
        <w:t xml:space="preserve">Mr </w:t>
      </w:r>
      <w:proofErr w:type="spellStart"/>
      <w:r w:rsidR="006D703F" w:rsidRPr="006D703F">
        <w:rPr>
          <w:rFonts w:ascii="Sylfaen" w:hAnsi="Sylfaen" w:cs="Arial"/>
        </w:rPr>
        <w:t>Jebb</w:t>
      </w:r>
      <w:proofErr w:type="spellEnd"/>
      <w:r w:rsidR="006D703F">
        <w:rPr>
          <w:rFonts w:ascii="Sylfaen" w:hAnsi="Sylfaen" w:cs="Arial"/>
        </w:rPr>
        <w:t xml:space="preserve"> enlarged on before me. </w:t>
      </w:r>
      <w:r w:rsidR="006D703F" w:rsidRPr="006D703F">
        <w:rPr>
          <w:rFonts w:ascii="Sylfaen" w:hAnsi="Sylfaen" w:cs="Arial"/>
        </w:rPr>
        <w:t>Mr Verney</w:t>
      </w:r>
      <w:r w:rsidR="006D703F">
        <w:rPr>
          <w:rFonts w:ascii="Sylfaen" w:hAnsi="Sylfaen" w:cs="Arial"/>
        </w:rPr>
        <w:t xml:space="preserve">’s status as an expert witness is not in doubt, and was specifically accepted by the judge. The criticism of the judge’s treatment of his evidence is centred on what he said, or did not say about it at paragraph 15 (see </w:t>
      </w:r>
      <w:r w:rsidR="006D703F">
        <w:rPr>
          <w:rFonts w:ascii="Sylfaen" w:hAnsi="Sylfaen" w:cs="Arial"/>
          <w:b/>
        </w:rPr>
        <w:t xml:space="preserve">4 </w:t>
      </w:r>
      <w:r w:rsidR="006D703F">
        <w:rPr>
          <w:rFonts w:ascii="Sylfaen" w:hAnsi="Sylfaen" w:cs="Arial"/>
        </w:rPr>
        <w:t xml:space="preserve">above). </w:t>
      </w:r>
    </w:p>
    <w:p w:rsidR="006D703F" w:rsidRDefault="006D703F" w:rsidP="006D703F">
      <w:pPr>
        <w:numPr>
          <w:ilvl w:val="0"/>
          <w:numId w:val="1"/>
        </w:numPr>
        <w:tabs>
          <w:tab w:val="clear" w:pos="757"/>
        </w:tabs>
        <w:spacing w:after="120"/>
        <w:ind w:left="540" w:hanging="540"/>
        <w:jc w:val="both"/>
        <w:rPr>
          <w:rFonts w:ascii="Sylfaen" w:hAnsi="Sylfaen" w:cs="Arial"/>
        </w:rPr>
      </w:pPr>
      <w:r>
        <w:rPr>
          <w:rFonts w:ascii="Sylfaen" w:hAnsi="Sylfaen" w:cs="Arial"/>
        </w:rPr>
        <w:t xml:space="preserve">What the appellant had told </w:t>
      </w:r>
      <w:r w:rsidRPr="006D703F">
        <w:rPr>
          <w:rFonts w:ascii="Sylfaen" w:hAnsi="Sylfaen" w:cs="Arial"/>
        </w:rPr>
        <w:t xml:space="preserve">Mr </w:t>
      </w:r>
      <w:proofErr w:type="spellStart"/>
      <w:r w:rsidRPr="006D703F">
        <w:rPr>
          <w:rFonts w:ascii="Sylfaen" w:hAnsi="Sylfaen" w:cs="Arial"/>
        </w:rPr>
        <w:t>Verney</w:t>
      </w:r>
      <w:proofErr w:type="spellEnd"/>
      <w:r>
        <w:rPr>
          <w:rFonts w:ascii="Sylfaen" w:hAnsi="Sylfaen" w:cs="Arial"/>
        </w:rPr>
        <w:t xml:space="preserve"> about the </w:t>
      </w:r>
      <w:proofErr w:type="spellStart"/>
      <w:r>
        <w:rPr>
          <w:rFonts w:ascii="Sylfaen" w:hAnsi="Sylfaen" w:cs="Arial"/>
        </w:rPr>
        <w:t>Tunjur</w:t>
      </w:r>
      <w:proofErr w:type="spellEnd"/>
      <w:r>
        <w:rPr>
          <w:rFonts w:ascii="Sylfaen" w:hAnsi="Sylfaen" w:cs="Arial"/>
        </w:rPr>
        <w:t xml:space="preserve"> is summarized at his paragraph 223: “I asked him about traditional food, tribal relations [and the political situation in Khartoum University] and was satisfied with his answers”. As </w:t>
      </w:r>
      <w:r w:rsidRPr="006D703F">
        <w:rPr>
          <w:rFonts w:ascii="Sylfaen" w:hAnsi="Sylfaen" w:cs="Arial"/>
        </w:rPr>
        <w:t xml:space="preserve">Mr </w:t>
      </w:r>
      <w:proofErr w:type="spellStart"/>
      <w:r w:rsidRPr="006D703F">
        <w:rPr>
          <w:rFonts w:ascii="Sylfaen" w:hAnsi="Sylfaen" w:cs="Arial"/>
        </w:rPr>
        <w:t>Jebb</w:t>
      </w:r>
      <w:proofErr w:type="spellEnd"/>
      <w:r>
        <w:rPr>
          <w:rFonts w:ascii="Sylfaen" w:hAnsi="Sylfaen" w:cs="Arial"/>
        </w:rPr>
        <w:t xml:space="preserve"> acknowledged before me, </w:t>
      </w:r>
      <w:r w:rsidR="00BA0850">
        <w:rPr>
          <w:rFonts w:ascii="Sylfaen" w:hAnsi="Sylfaen" w:cs="Arial"/>
        </w:rPr>
        <w:t>if that general conclusion had been all, then the judge’s paragraph 15 could not have been criticized as a treatment of it.</w:t>
      </w:r>
    </w:p>
    <w:p w:rsidR="00BA0850" w:rsidRDefault="00BA0850" w:rsidP="006D703F">
      <w:pPr>
        <w:numPr>
          <w:ilvl w:val="0"/>
          <w:numId w:val="1"/>
        </w:numPr>
        <w:tabs>
          <w:tab w:val="clear" w:pos="757"/>
        </w:tabs>
        <w:spacing w:after="120"/>
        <w:ind w:left="540" w:hanging="540"/>
        <w:jc w:val="both"/>
        <w:rPr>
          <w:rFonts w:ascii="Sylfaen" w:hAnsi="Sylfaen" w:cs="Arial"/>
        </w:rPr>
      </w:pPr>
      <w:r>
        <w:rPr>
          <w:rFonts w:ascii="Sylfaen" w:hAnsi="Sylfaen" w:cs="Arial"/>
        </w:rPr>
        <w:t xml:space="preserve">However, it was not: the appellant had given specific answers to specific questions, to which </w:t>
      </w:r>
      <w:r w:rsidRPr="00BA0850">
        <w:rPr>
          <w:rFonts w:ascii="Sylfaen" w:hAnsi="Sylfaen" w:cs="Arial"/>
        </w:rPr>
        <w:t xml:space="preserve">Mr </w:t>
      </w:r>
      <w:proofErr w:type="spellStart"/>
      <w:r w:rsidRPr="00BA0850">
        <w:rPr>
          <w:rFonts w:ascii="Sylfaen" w:hAnsi="Sylfaen" w:cs="Arial"/>
        </w:rPr>
        <w:t>Jebb</w:t>
      </w:r>
      <w:proofErr w:type="spellEnd"/>
      <w:r>
        <w:rPr>
          <w:rFonts w:ascii="Sylfaen" w:hAnsi="Sylfaen" w:cs="Arial"/>
        </w:rPr>
        <w:t xml:space="preserve"> had referred the judge, who dealt with them in general terms at 14, by saying that </w:t>
      </w:r>
      <w:r w:rsidRPr="00BA0850">
        <w:rPr>
          <w:rFonts w:ascii="Sylfaen" w:hAnsi="Sylfaen" w:cs="Arial"/>
        </w:rPr>
        <w:t>Mr Verney</w:t>
      </w:r>
      <w:r>
        <w:rPr>
          <w:rFonts w:ascii="Sylfaen" w:hAnsi="Sylfaen" w:cs="Arial"/>
        </w:rPr>
        <w:t xml:space="preserve"> had given correct answers about the </w:t>
      </w:r>
      <w:proofErr w:type="spellStart"/>
      <w:r>
        <w:rPr>
          <w:rFonts w:ascii="Sylfaen" w:hAnsi="Sylfaen" w:cs="Arial"/>
        </w:rPr>
        <w:t>Tunjur</w:t>
      </w:r>
      <w:proofErr w:type="spellEnd"/>
      <w:r>
        <w:rPr>
          <w:rFonts w:ascii="Sylfaen" w:hAnsi="Sylfaen" w:cs="Arial"/>
        </w:rPr>
        <w:t xml:space="preserve">, their culture and traditions, which the respondent had acknowledged. </w:t>
      </w:r>
      <w:r w:rsidR="002E78B6">
        <w:rPr>
          <w:rFonts w:ascii="Sylfaen" w:hAnsi="Sylfaen" w:cs="Arial"/>
        </w:rPr>
        <w:t xml:space="preserve">At 84 the appellant had named traditional places of the </w:t>
      </w:r>
      <w:proofErr w:type="spellStart"/>
      <w:r w:rsidR="002E78B6">
        <w:rPr>
          <w:rFonts w:ascii="Sylfaen" w:hAnsi="Sylfaen" w:cs="Arial"/>
        </w:rPr>
        <w:t>Tunjur</w:t>
      </w:r>
      <w:proofErr w:type="spellEnd"/>
      <w:r w:rsidR="002E78B6">
        <w:rPr>
          <w:rFonts w:ascii="Sylfaen" w:hAnsi="Sylfaen" w:cs="Arial"/>
        </w:rPr>
        <w:t xml:space="preserve">, which at 85 </w:t>
      </w:r>
      <w:r w:rsidR="002E78B6" w:rsidRPr="002E78B6">
        <w:rPr>
          <w:rFonts w:ascii="Sylfaen" w:hAnsi="Sylfaen" w:cs="Arial"/>
        </w:rPr>
        <w:t>Mr Verney</w:t>
      </w:r>
      <w:r w:rsidR="002E78B6">
        <w:rPr>
          <w:rFonts w:ascii="Sylfaen" w:hAnsi="Sylfaen" w:cs="Arial"/>
        </w:rPr>
        <w:t xml:space="preserve"> had confirmed as ‘correct and </w:t>
      </w:r>
      <w:r w:rsidR="002E78B6" w:rsidRPr="002E78B6">
        <w:rPr>
          <w:rFonts w:ascii="Sylfaen" w:hAnsi="Sylfaen" w:cs="Arial"/>
        </w:rPr>
        <w:t>significant</w:t>
      </w:r>
      <w:r w:rsidR="002E78B6">
        <w:rPr>
          <w:rFonts w:ascii="Sylfaen" w:hAnsi="Sylfaen" w:cs="Arial"/>
        </w:rPr>
        <w:t>’; at 89 – 96 and 100 – 101 he had named prominent individuals, with the same result.</w:t>
      </w:r>
    </w:p>
    <w:p w:rsidR="002E78B6" w:rsidRDefault="002E78B6" w:rsidP="006D703F">
      <w:pPr>
        <w:numPr>
          <w:ilvl w:val="0"/>
          <w:numId w:val="1"/>
        </w:numPr>
        <w:tabs>
          <w:tab w:val="clear" w:pos="757"/>
        </w:tabs>
        <w:spacing w:after="120"/>
        <w:ind w:left="540" w:hanging="540"/>
        <w:jc w:val="both"/>
        <w:rPr>
          <w:rFonts w:ascii="Sylfaen" w:hAnsi="Sylfaen" w:cs="Arial"/>
        </w:rPr>
      </w:pPr>
      <w:r>
        <w:rPr>
          <w:rFonts w:ascii="Sylfaen" w:hAnsi="Sylfaen" w:cs="Arial"/>
        </w:rPr>
        <w:t xml:space="preserve">While </w:t>
      </w:r>
      <w:r w:rsidRPr="002E78B6">
        <w:rPr>
          <w:rFonts w:ascii="Sylfaen" w:hAnsi="Sylfaen" w:cs="Arial"/>
        </w:rPr>
        <w:t>Mr Verney</w:t>
      </w:r>
      <w:r>
        <w:rPr>
          <w:rFonts w:ascii="Sylfaen" w:hAnsi="Sylfaen" w:cs="Arial"/>
        </w:rPr>
        <w:t xml:space="preserve"> had said a good deal (see for example</w:t>
      </w:r>
      <w:r w:rsidR="009271D3">
        <w:rPr>
          <w:rFonts w:ascii="Sylfaen" w:hAnsi="Sylfaen" w:cs="Arial"/>
        </w:rPr>
        <w:t xml:space="preserve"> at</w:t>
      </w:r>
      <w:r>
        <w:rPr>
          <w:rFonts w:ascii="Sylfaen" w:hAnsi="Sylfaen" w:cs="Arial"/>
        </w:rPr>
        <w:t xml:space="preserve"> 222, 224 and 225</w:t>
      </w:r>
      <w:r w:rsidR="009271D3">
        <w:rPr>
          <w:rFonts w:ascii="Sylfaen" w:hAnsi="Sylfaen" w:cs="Arial"/>
        </w:rPr>
        <w:t>, and his general explanations of his own approach at 206 - 211</w:t>
      </w:r>
      <w:r>
        <w:rPr>
          <w:rFonts w:ascii="Sylfaen" w:hAnsi="Sylfaen" w:cs="Arial"/>
        </w:rPr>
        <w:t xml:space="preserve">) about the way in which the appellant had answered his questions, dealt with by the judge  </w:t>
      </w:r>
      <w:r w:rsidR="009271D3">
        <w:rPr>
          <w:rFonts w:ascii="Sylfaen" w:hAnsi="Sylfaen" w:cs="Arial"/>
        </w:rPr>
        <w:t xml:space="preserve">at 14 as “He refers to his demeanour”, the really </w:t>
      </w:r>
      <w:r w:rsidR="009271D3" w:rsidRPr="009271D3">
        <w:rPr>
          <w:rFonts w:ascii="Sylfaen" w:hAnsi="Sylfaen" w:cs="Arial"/>
        </w:rPr>
        <w:t>significant</w:t>
      </w:r>
      <w:r w:rsidR="009271D3">
        <w:rPr>
          <w:rFonts w:ascii="Sylfaen" w:hAnsi="Sylfaen" w:cs="Arial"/>
        </w:rPr>
        <w:t xml:space="preserve"> point in his treatment of the appellant’s evidence, in my view, was his exploration of the main point taken by the respondent on this aspect of his case, which was that the information he had given was available, to an educated person such as the appellant, in the public domain. </w:t>
      </w:r>
    </w:p>
    <w:p w:rsidR="009271D3" w:rsidRDefault="009271D3" w:rsidP="006D703F">
      <w:pPr>
        <w:numPr>
          <w:ilvl w:val="0"/>
          <w:numId w:val="1"/>
        </w:numPr>
        <w:tabs>
          <w:tab w:val="clear" w:pos="757"/>
        </w:tabs>
        <w:spacing w:after="120"/>
        <w:ind w:left="540" w:hanging="540"/>
        <w:jc w:val="both"/>
        <w:rPr>
          <w:rFonts w:ascii="Sylfaen" w:hAnsi="Sylfaen" w:cs="Arial"/>
        </w:rPr>
      </w:pPr>
      <w:r>
        <w:rPr>
          <w:rFonts w:ascii="Sylfaen" w:hAnsi="Sylfaen" w:cs="Arial"/>
        </w:rPr>
        <w:t xml:space="preserve">At 104 and 107 </w:t>
      </w:r>
      <w:r w:rsidRPr="009271D3">
        <w:rPr>
          <w:rFonts w:ascii="Sylfaen" w:hAnsi="Sylfaen" w:cs="Arial"/>
        </w:rPr>
        <w:t>Mr Verney</w:t>
      </w:r>
      <w:r>
        <w:rPr>
          <w:rFonts w:ascii="Sylfaen" w:hAnsi="Sylfaen" w:cs="Arial"/>
        </w:rPr>
        <w:t>, whose expertise appears to qualify him to give an opinion on the point, confirms that the information the appellant had given him would not be available in universities in the Sudan. He goes on:</w:t>
      </w:r>
    </w:p>
    <w:p w:rsidR="009271D3" w:rsidRPr="009271D3" w:rsidRDefault="00C227A7" w:rsidP="009271D3">
      <w:pPr>
        <w:spacing w:after="120"/>
        <w:ind w:left="851"/>
        <w:jc w:val="both"/>
        <w:rPr>
          <w:rFonts w:ascii="Sylfaen" w:hAnsi="Sylfaen" w:cs="Arial"/>
          <w:sz w:val="22"/>
          <w:szCs w:val="22"/>
        </w:rPr>
      </w:pPr>
      <w:r>
        <w:rPr>
          <w:rFonts w:ascii="Sylfaen" w:hAnsi="Sylfaen" w:cs="Arial"/>
          <w:sz w:val="22"/>
          <w:szCs w:val="22"/>
        </w:rPr>
        <w:t xml:space="preserve">This information is obscure and highly localised. It is more likely to be passed on by word of mouth through </w:t>
      </w:r>
      <w:proofErr w:type="spellStart"/>
      <w:r>
        <w:rPr>
          <w:rFonts w:ascii="Sylfaen" w:hAnsi="Sylfaen" w:cs="Arial"/>
          <w:sz w:val="22"/>
          <w:szCs w:val="22"/>
        </w:rPr>
        <w:t>Tunjur</w:t>
      </w:r>
      <w:proofErr w:type="spellEnd"/>
      <w:r>
        <w:rPr>
          <w:rFonts w:ascii="Sylfaen" w:hAnsi="Sylfaen" w:cs="Arial"/>
          <w:sz w:val="22"/>
          <w:szCs w:val="22"/>
        </w:rPr>
        <w:t xml:space="preserve"> families than by academic research – and there is no interest among Arab scholars in research into the non-Arab tribes of Sudan.</w:t>
      </w:r>
    </w:p>
    <w:p w:rsidR="009271D3" w:rsidRDefault="00C227A7" w:rsidP="006D703F">
      <w:pPr>
        <w:numPr>
          <w:ilvl w:val="0"/>
          <w:numId w:val="1"/>
        </w:numPr>
        <w:tabs>
          <w:tab w:val="clear" w:pos="757"/>
        </w:tabs>
        <w:spacing w:after="120"/>
        <w:ind w:left="540" w:hanging="540"/>
        <w:jc w:val="both"/>
        <w:rPr>
          <w:rFonts w:ascii="Sylfaen" w:hAnsi="Sylfaen" w:cs="Arial"/>
        </w:rPr>
      </w:pPr>
      <w:r>
        <w:rPr>
          <w:rFonts w:ascii="Sylfaen" w:hAnsi="Sylfaen" w:cs="Arial"/>
        </w:rPr>
        <w:t xml:space="preserve">It seems to me that the judge did need to deal with this point in a more detailed way than he did at 15. There were points (see for example at </w:t>
      </w:r>
      <w:r w:rsidRPr="00C227A7">
        <w:rPr>
          <w:rFonts w:ascii="Sylfaen" w:hAnsi="Sylfaen" w:cs="Arial"/>
        </w:rPr>
        <w:t>Mr Verney</w:t>
      </w:r>
      <w:r>
        <w:rPr>
          <w:rFonts w:ascii="Sylfaen" w:hAnsi="Sylfaen" w:cs="Arial"/>
        </w:rPr>
        <w:t xml:space="preserve">’s 73 – 74) on which the correctness of the appellant’s answers depended on his assertion that he had not said what he was recorded as saying at interview. On the other hand, he had given mainly correct </w:t>
      </w:r>
      <w:r>
        <w:rPr>
          <w:rFonts w:ascii="Sylfaen" w:hAnsi="Sylfaen" w:cs="Arial"/>
        </w:rPr>
        <w:lastRenderedPageBreak/>
        <w:t xml:space="preserve">answers throughout, which in </w:t>
      </w:r>
      <w:r w:rsidRPr="00C227A7">
        <w:rPr>
          <w:rFonts w:ascii="Sylfaen" w:hAnsi="Sylfaen" w:cs="Arial"/>
        </w:rPr>
        <w:t>Mr Verney</w:t>
      </w:r>
      <w:r>
        <w:rPr>
          <w:rFonts w:ascii="Sylfaen" w:hAnsi="Sylfaen" w:cs="Arial"/>
        </w:rPr>
        <w:t xml:space="preserve">’s opinion he could not have got from </w:t>
      </w:r>
      <w:r w:rsidR="00636515">
        <w:rPr>
          <w:rFonts w:ascii="Sylfaen" w:hAnsi="Sylfaen" w:cs="Arial"/>
        </w:rPr>
        <w:t>published sources, and this needed either to be explained, or at least weighed against the judge’s entirely justifiable findings on (b).</w:t>
      </w:r>
    </w:p>
    <w:p w:rsidR="00636515" w:rsidRPr="006D703F" w:rsidRDefault="00636515" w:rsidP="006D703F">
      <w:pPr>
        <w:numPr>
          <w:ilvl w:val="0"/>
          <w:numId w:val="1"/>
        </w:numPr>
        <w:tabs>
          <w:tab w:val="clear" w:pos="757"/>
        </w:tabs>
        <w:spacing w:after="120"/>
        <w:ind w:left="540" w:hanging="540"/>
        <w:jc w:val="both"/>
        <w:rPr>
          <w:rFonts w:ascii="Sylfaen" w:hAnsi="Sylfaen" w:cs="Arial"/>
        </w:rPr>
      </w:pPr>
      <w:r>
        <w:rPr>
          <w:rFonts w:ascii="Sylfaen" w:hAnsi="Sylfaen" w:cs="Arial"/>
        </w:rPr>
        <w:t xml:space="preserve">I see no reason to interfere with the judge’s findings on (b); but what he needed to do was first to recognize that, whatever the appellant’s credibility or otherwise on that point, he might be telling the truth as to whether he was a </w:t>
      </w:r>
      <w:proofErr w:type="spellStart"/>
      <w:r>
        <w:rPr>
          <w:rFonts w:ascii="Sylfaen" w:hAnsi="Sylfaen" w:cs="Arial"/>
        </w:rPr>
        <w:t>Tunjur</w:t>
      </w:r>
      <w:proofErr w:type="spellEnd"/>
      <w:r>
        <w:rPr>
          <w:rFonts w:ascii="Sylfaen" w:hAnsi="Sylfaen" w:cs="Arial"/>
        </w:rPr>
        <w:t xml:space="preserve">, and deal specifically with </w:t>
      </w:r>
      <w:r w:rsidRPr="00636515">
        <w:rPr>
          <w:rFonts w:ascii="Sylfaen" w:hAnsi="Sylfaen" w:cs="Arial"/>
        </w:rPr>
        <w:t>Mr Verney</w:t>
      </w:r>
      <w:r>
        <w:rPr>
          <w:rFonts w:ascii="Sylfaen" w:hAnsi="Sylfaen" w:cs="Arial"/>
        </w:rPr>
        <w:t>’s reasons for accepting that. For those reasons the judge’s decision on (a) is set aside, with a direction for him to continue the hearing on it, on the basis I have just set out.</w:t>
      </w:r>
    </w:p>
    <w:p w:rsidR="009F5220" w:rsidRDefault="008F23F4" w:rsidP="00780F86">
      <w:pPr>
        <w:ind w:left="540" w:hanging="540"/>
        <w:jc w:val="both"/>
        <w:rPr>
          <w:rFonts w:ascii="Sylfaen" w:hAnsi="Sylfaen" w:cs="Arial"/>
          <w:b/>
        </w:rPr>
      </w:pPr>
      <w:r>
        <w:rPr>
          <w:rFonts w:ascii="Sylfaen" w:hAnsi="Sylfaen" w:cs="Arial"/>
          <w:b/>
        </w:rPr>
        <w:t xml:space="preserve">Appeal </w:t>
      </w:r>
      <w:r w:rsidR="00636515">
        <w:rPr>
          <w:rFonts w:ascii="Sylfaen" w:hAnsi="Sylfaen" w:cs="Arial"/>
          <w:b/>
        </w:rPr>
        <w:fldChar w:fldCharType="begin">
          <w:ffData>
            <w:name w:val="Dropdown3"/>
            <w:enabled/>
            <w:calcOnExit w:val="0"/>
            <w:ddList>
              <w:listEntry w:val="allowed"/>
              <w:listEntry w:val="dismissed"/>
            </w:ddList>
          </w:ffData>
        </w:fldChar>
      </w:r>
      <w:bookmarkStart w:id="5" w:name="Dropdown3"/>
      <w:r w:rsidR="00636515">
        <w:rPr>
          <w:rFonts w:ascii="Sylfaen" w:hAnsi="Sylfaen" w:cs="Arial"/>
          <w:b/>
        </w:rPr>
        <w:instrText xml:space="preserve"> FORMDROPDOWN </w:instrText>
      </w:r>
      <w:r w:rsidR="00714034">
        <w:rPr>
          <w:rFonts w:ascii="Sylfaen" w:hAnsi="Sylfaen" w:cs="Arial"/>
          <w:b/>
        </w:rPr>
      </w:r>
      <w:r w:rsidR="00714034">
        <w:rPr>
          <w:rFonts w:ascii="Sylfaen" w:hAnsi="Sylfaen" w:cs="Arial"/>
          <w:b/>
        </w:rPr>
        <w:fldChar w:fldCharType="separate"/>
      </w:r>
      <w:r w:rsidR="00636515">
        <w:rPr>
          <w:rFonts w:ascii="Sylfaen" w:hAnsi="Sylfaen" w:cs="Arial"/>
          <w:b/>
        </w:rPr>
        <w:fldChar w:fldCharType="end"/>
      </w:r>
      <w:bookmarkEnd w:id="5"/>
      <w:r w:rsidR="00636515">
        <w:rPr>
          <w:rFonts w:ascii="Sylfaen" w:hAnsi="Sylfaen" w:cs="Arial"/>
          <w:b/>
        </w:rPr>
        <w:t>:: first-tier decision set aside</w:t>
      </w:r>
    </w:p>
    <w:p w:rsidR="00636515" w:rsidRPr="008F23F4" w:rsidRDefault="00636515" w:rsidP="00780F86">
      <w:pPr>
        <w:ind w:left="540" w:hanging="540"/>
        <w:jc w:val="both"/>
        <w:rPr>
          <w:rFonts w:ascii="Sylfaen" w:hAnsi="Sylfaen" w:cs="Arial"/>
          <w:b/>
        </w:rPr>
      </w:pPr>
      <w:r>
        <w:rPr>
          <w:rFonts w:ascii="Sylfaen" w:hAnsi="Sylfaen" w:cs="Arial"/>
          <w:b/>
        </w:rPr>
        <w:t xml:space="preserve">Direction for renewed hearing at Belfast, before </w:t>
      </w:r>
      <w:r w:rsidRPr="00636515">
        <w:rPr>
          <w:rFonts w:ascii="Sylfaen" w:hAnsi="Sylfaen" w:cs="Arial"/>
          <w:b/>
        </w:rPr>
        <w:t>Judge Farrelly</w:t>
      </w:r>
    </w:p>
    <w:p w:rsidR="00B95326" w:rsidRPr="00A544A8" w:rsidRDefault="000F2B7B" w:rsidP="00F07170">
      <w:pPr>
        <w:ind w:left="4508" w:hanging="539"/>
        <w:rPr>
          <w:rFonts w:ascii="Sylfaen" w:hAnsi="Sylfaen" w:cs="Arial"/>
          <w:color w:val="000000"/>
        </w:rPr>
      </w:pPr>
      <w:r w:rsidRPr="00A544A8">
        <w:rPr>
          <w:rFonts w:ascii="Sylfaen" w:hAnsi="Sylfaen" w:cs="Arial"/>
          <w:b/>
          <w:noProof/>
        </w:rPr>
        <w:drawing>
          <wp:inline distT="0" distB="0" distL="0" distR="0">
            <wp:extent cx="2141855"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104140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r w:rsidR="00636515">
        <w:rPr>
          <w:rFonts w:ascii="Sylfaen" w:hAnsi="Sylfaen" w:cs="Arial"/>
          <w:color w:val="000000"/>
        </w:rPr>
        <w:t xml:space="preserve">: </w:t>
      </w:r>
    </w:p>
    <w:sectPr w:rsidR="00B95326" w:rsidRPr="00A544A8"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67E" w:rsidRDefault="000C267E">
      <w:r>
        <w:separator/>
      </w:r>
    </w:p>
  </w:endnote>
  <w:endnote w:type="continuationSeparator" w:id="0">
    <w:p w:rsidR="000C267E" w:rsidRDefault="000C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A24685" w:rsidRDefault="00374981" w:rsidP="00593795">
    <w:pPr>
      <w:pStyle w:val="Footer"/>
      <w:jc w:val="center"/>
      <w:rPr>
        <w:rFonts w:ascii="Sylfaen" w:hAnsi="Sylfaen" w:cs="Arial"/>
        <w:sz w:val="20"/>
        <w:szCs w:val="22"/>
      </w:rPr>
    </w:pPr>
    <w:r w:rsidRPr="00A24685">
      <w:rPr>
        <w:rStyle w:val="PageNumber"/>
        <w:rFonts w:ascii="Sylfaen" w:hAnsi="Sylfaen" w:cs="Arial"/>
        <w:sz w:val="20"/>
        <w:szCs w:val="22"/>
      </w:rPr>
      <w:fldChar w:fldCharType="begin"/>
    </w:r>
    <w:r w:rsidRPr="00A24685">
      <w:rPr>
        <w:rStyle w:val="PageNumber"/>
        <w:rFonts w:ascii="Sylfaen" w:hAnsi="Sylfaen" w:cs="Arial"/>
        <w:sz w:val="20"/>
        <w:szCs w:val="22"/>
      </w:rPr>
      <w:instrText xml:space="preserve"> PAGE </w:instrText>
    </w:r>
    <w:r w:rsidRPr="00A24685">
      <w:rPr>
        <w:rStyle w:val="PageNumber"/>
        <w:rFonts w:ascii="Sylfaen" w:hAnsi="Sylfaen" w:cs="Arial"/>
        <w:sz w:val="20"/>
        <w:szCs w:val="22"/>
      </w:rPr>
      <w:fldChar w:fldCharType="separate"/>
    </w:r>
    <w:r w:rsidR="00714034">
      <w:rPr>
        <w:rStyle w:val="PageNumber"/>
        <w:rFonts w:ascii="Sylfaen" w:hAnsi="Sylfaen" w:cs="Arial"/>
        <w:noProof/>
        <w:sz w:val="20"/>
        <w:szCs w:val="22"/>
      </w:rPr>
      <w:t>5</w:t>
    </w:r>
    <w:r w:rsidRPr="00A24685">
      <w:rPr>
        <w:rStyle w:val="PageNumber"/>
        <w:rFonts w:ascii="Sylfaen" w:hAnsi="Sylfaen" w:cs="Arial"/>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7E3863" w:rsidRDefault="007E3863" w:rsidP="00090CF9">
    <w:pPr>
      <w:jc w:val="center"/>
      <w:rPr>
        <w:rFonts w:ascii="Sylfaen" w:hAnsi="Sylfaen" w:cs="Arial"/>
        <w:i/>
        <w:spacing w:val="-6"/>
        <w:sz w:val="22"/>
        <w:szCs w:val="22"/>
      </w:rPr>
    </w:pPr>
  </w:p>
  <w:p w:rsidR="00374981" w:rsidRPr="007E3863" w:rsidRDefault="00374981" w:rsidP="00090CF9">
    <w:pPr>
      <w:jc w:val="center"/>
      <w:rPr>
        <w:rFonts w:ascii="Sylfaen" w:hAnsi="Sylfaen" w:cs="Arial"/>
        <w:b/>
        <w:i/>
        <w:sz w:val="22"/>
        <w:szCs w:val="22"/>
      </w:rPr>
    </w:pPr>
    <w:r w:rsidRPr="007E3863">
      <w:rPr>
        <w:rFonts w:ascii="Sylfaen" w:hAnsi="Sylfaen" w:cs="Arial"/>
        <w:b/>
        <w:i/>
        <w:spacing w:val="-6"/>
        <w:sz w:val="22"/>
        <w:szCs w:val="22"/>
      </w:rPr>
      <w:t>©</w:t>
    </w:r>
    <w:r w:rsidRPr="007E3863">
      <w:rPr>
        <w:rFonts w:ascii="Sylfaen" w:hAnsi="Sylfaen" w:cs="Arial"/>
        <w:b/>
        <w:i/>
        <w:sz w:val="22"/>
        <w:szCs w:val="22"/>
      </w:rPr>
      <w:t xml:space="preserve"> CROWN COPYRIGHT 201</w:t>
    </w:r>
    <w:r w:rsidR="00990B37" w:rsidRPr="007E3863">
      <w:rPr>
        <w:rFonts w:ascii="Sylfaen" w:hAnsi="Sylfaen" w:cs="Arial"/>
        <w:b/>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67E" w:rsidRDefault="000C267E">
      <w:r>
        <w:separator/>
      </w:r>
    </w:p>
  </w:footnote>
  <w:footnote w:type="continuationSeparator" w:id="0">
    <w:p w:rsidR="000C267E" w:rsidRDefault="000C2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37" w:rsidRPr="00A24685" w:rsidRDefault="00923104" w:rsidP="00923104">
    <w:pPr>
      <w:pStyle w:val="Header"/>
      <w:jc w:val="right"/>
      <w:rPr>
        <w:sz w:val="20"/>
        <w:szCs w:val="20"/>
      </w:rPr>
    </w:pPr>
    <w:r w:rsidRPr="00A24685">
      <w:rPr>
        <w:sz w:val="20"/>
        <w:szCs w:val="20"/>
      </w:rPr>
      <w:t>PA/0</w:t>
    </w:r>
    <w:r w:rsidR="00A24685" w:rsidRPr="00A24685">
      <w:rPr>
        <w:sz w:val="20"/>
        <w:szCs w:val="20"/>
      </w:rPr>
      <w:t>6</w:t>
    </w:r>
    <w:r w:rsidRPr="00A24685">
      <w:rPr>
        <w:sz w:val="20"/>
        <w:szCs w:val="20"/>
      </w:rPr>
      <w:t>784/2016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B411786"/>
    <w:multiLevelType w:val="hybridMultilevel"/>
    <w:tmpl w:val="72E89056"/>
    <w:lvl w:ilvl="0" w:tplc="B18A8C5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61"/>
    <w:rsid w:val="00000621"/>
    <w:rsid w:val="000036C2"/>
    <w:rsid w:val="00033D3D"/>
    <w:rsid w:val="00057601"/>
    <w:rsid w:val="00062F02"/>
    <w:rsid w:val="00071A7E"/>
    <w:rsid w:val="000746C0"/>
    <w:rsid w:val="00074D1D"/>
    <w:rsid w:val="000857AF"/>
    <w:rsid w:val="00090CF9"/>
    <w:rsid w:val="00092580"/>
    <w:rsid w:val="00093D4D"/>
    <w:rsid w:val="000A1210"/>
    <w:rsid w:val="000B2183"/>
    <w:rsid w:val="000C267E"/>
    <w:rsid w:val="000D5D94"/>
    <w:rsid w:val="000F1A0E"/>
    <w:rsid w:val="000F2B7B"/>
    <w:rsid w:val="00102EBC"/>
    <w:rsid w:val="001165A7"/>
    <w:rsid w:val="00117FD8"/>
    <w:rsid w:val="00136CE0"/>
    <w:rsid w:val="001435AF"/>
    <w:rsid w:val="00167D3A"/>
    <w:rsid w:val="00194E6E"/>
    <w:rsid w:val="001A3082"/>
    <w:rsid w:val="001A5D86"/>
    <w:rsid w:val="001B186A"/>
    <w:rsid w:val="001B2F75"/>
    <w:rsid w:val="001D29AE"/>
    <w:rsid w:val="001E6DE8"/>
    <w:rsid w:val="001F114E"/>
    <w:rsid w:val="001F2716"/>
    <w:rsid w:val="00206F6B"/>
    <w:rsid w:val="00207617"/>
    <w:rsid w:val="0023134B"/>
    <w:rsid w:val="0026015E"/>
    <w:rsid w:val="002667BE"/>
    <w:rsid w:val="00270E13"/>
    <w:rsid w:val="00283659"/>
    <w:rsid w:val="002B5149"/>
    <w:rsid w:val="002C6BD4"/>
    <w:rsid w:val="002D68BF"/>
    <w:rsid w:val="002E78B6"/>
    <w:rsid w:val="002F6B98"/>
    <w:rsid w:val="00310B90"/>
    <w:rsid w:val="00336CBF"/>
    <w:rsid w:val="003375DC"/>
    <w:rsid w:val="00343FE3"/>
    <w:rsid w:val="003546C8"/>
    <w:rsid w:val="00374981"/>
    <w:rsid w:val="003860CF"/>
    <w:rsid w:val="003A3DA7"/>
    <w:rsid w:val="003A7CF2"/>
    <w:rsid w:val="003C5CE5"/>
    <w:rsid w:val="003E267B"/>
    <w:rsid w:val="003E5773"/>
    <w:rsid w:val="003E7CD1"/>
    <w:rsid w:val="003F2E3F"/>
    <w:rsid w:val="00402B9E"/>
    <w:rsid w:val="00420643"/>
    <w:rsid w:val="004249CB"/>
    <w:rsid w:val="0044127D"/>
    <w:rsid w:val="004448DB"/>
    <w:rsid w:val="00446C9A"/>
    <w:rsid w:val="00452F2B"/>
    <w:rsid w:val="004617F0"/>
    <w:rsid w:val="00473EEA"/>
    <w:rsid w:val="00477193"/>
    <w:rsid w:val="00480C91"/>
    <w:rsid w:val="00480D87"/>
    <w:rsid w:val="004910CE"/>
    <w:rsid w:val="004A1848"/>
    <w:rsid w:val="004A6F4A"/>
    <w:rsid w:val="004C5C63"/>
    <w:rsid w:val="004E4717"/>
    <w:rsid w:val="005035E7"/>
    <w:rsid w:val="005071D6"/>
    <w:rsid w:val="00507FEC"/>
    <w:rsid w:val="00510F0E"/>
    <w:rsid w:val="00531929"/>
    <w:rsid w:val="005479E1"/>
    <w:rsid w:val="00553E0A"/>
    <w:rsid w:val="005570FD"/>
    <w:rsid w:val="005575EA"/>
    <w:rsid w:val="00574E42"/>
    <w:rsid w:val="0057790C"/>
    <w:rsid w:val="005829AB"/>
    <w:rsid w:val="00593795"/>
    <w:rsid w:val="00593821"/>
    <w:rsid w:val="00597008"/>
    <w:rsid w:val="005A549B"/>
    <w:rsid w:val="005A75FF"/>
    <w:rsid w:val="005D10AB"/>
    <w:rsid w:val="005D721A"/>
    <w:rsid w:val="005F1F19"/>
    <w:rsid w:val="00601D8F"/>
    <w:rsid w:val="00611011"/>
    <w:rsid w:val="00636515"/>
    <w:rsid w:val="00653E97"/>
    <w:rsid w:val="00662D18"/>
    <w:rsid w:val="00676204"/>
    <w:rsid w:val="00684A74"/>
    <w:rsid w:val="00686C0C"/>
    <w:rsid w:val="00690B8A"/>
    <w:rsid w:val="0069160E"/>
    <w:rsid w:val="00696018"/>
    <w:rsid w:val="00696D3B"/>
    <w:rsid w:val="006A740E"/>
    <w:rsid w:val="006B058B"/>
    <w:rsid w:val="006D703F"/>
    <w:rsid w:val="006F2CF1"/>
    <w:rsid w:val="007038ED"/>
    <w:rsid w:val="00703BC3"/>
    <w:rsid w:val="00704B61"/>
    <w:rsid w:val="00713983"/>
    <w:rsid w:val="00714034"/>
    <w:rsid w:val="007334B3"/>
    <w:rsid w:val="00741157"/>
    <w:rsid w:val="007420F1"/>
    <w:rsid w:val="00742454"/>
    <w:rsid w:val="00750745"/>
    <w:rsid w:val="00752319"/>
    <w:rsid w:val="007552A9"/>
    <w:rsid w:val="00761858"/>
    <w:rsid w:val="00767D59"/>
    <w:rsid w:val="00776E97"/>
    <w:rsid w:val="00780F86"/>
    <w:rsid w:val="007912AD"/>
    <w:rsid w:val="007A37E8"/>
    <w:rsid w:val="007A7CEE"/>
    <w:rsid w:val="007B0824"/>
    <w:rsid w:val="007B5D3C"/>
    <w:rsid w:val="007B67B0"/>
    <w:rsid w:val="007C7375"/>
    <w:rsid w:val="007E3863"/>
    <w:rsid w:val="007F4E44"/>
    <w:rsid w:val="00805AE5"/>
    <w:rsid w:val="00821B72"/>
    <w:rsid w:val="00823EF2"/>
    <w:rsid w:val="008303B8"/>
    <w:rsid w:val="00833DCE"/>
    <w:rsid w:val="00871D34"/>
    <w:rsid w:val="008A414E"/>
    <w:rsid w:val="008B270C"/>
    <w:rsid w:val="008B382D"/>
    <w:rsid w:val="008B5078"/>
    <w:rsid w:val="008C3D3D"/>
    <w:rsid w:val="008D4131"/>
    <w:rsid w:val="008F0697"/>
    <w:rsid w:val="008F1932"/>
    <w:rsid w:val="008F23F4"/>
    <w:rsid w:val="00913DAD"/>
    <w:rsid w:val="00921062"/>
    <w:rsid w:val="00923104"/>
    <w:rsid w:val="00923B15"/>
    <w:rsid w:val="00925AB2"/>
    <w:rsid w:val="009271D3"/>
    <w:rsid w:val="009722BC"/>
    <w:rsid w:val="009727A3"/>
    <w:rsid w:val="00977EB3"/>
    <w:rsid w:val="00987774"/>
    <w:rsid w:val="00990B37"/>
    <w:rsid w:val="00996FBB"/>
    <w:rsid w:val="009A11E8"/>
    <w:rsid w:val="009C5F92"/>
    <w:rsid w:val="009E30EE"/>
    <w:rsid w:val="009F3381"/>
    <w:rsid w:val="009F4F75"/>
    <w:rsid w:val="009F5220"/>
    <w:rsid w:val="00A11F19"/>
    <w:rsid w:val="00A15234"/>
    <w:rsid w:val="00A201AB"/>
    <w:rsid w:val="00A240AA"/>
    <w:rsid w:val="00A24685"/>
    <w:rsid w:val="00A253BF"/>
    <w:rsid w:val="00A31C8B"/>
    <w:rsid w:val="00A509FA"/>
    <w:rsid w:val="00A544A8"/>
    <w:rsid w:val="00A777FE"/>
    <w:rsid w:val="00A845DC"/>
    <w:rsid w:val="00A8721C"/>
    <w:rsid w:val="00AA6641"/>
    <w:rsid w:val="00AD016D"/>
    <w:rsid w:val="00AE226C"/>
    <w:rsid w:val="00B20636"/>
    <w:rsid w:val="00B26AA2"/>
    <w:rsid w:val="00B3524D"/>
    <w:rsid w:val="00B40F69"/>
    <w:rsid w:val="00B46616"/>
    <w:rsid w:val="00B5798C"/>
    <w:rsid w:val="00B7040A"/>
    <w:rsid w:val="00B83391"/>
    <w:rsid w:val="00B95326"/>
    <w:rsid w:val="00BA0850"/>
    <w:rsid w:val="00BA334F"/>
    <w:rsid w:val="00BA3716"/>
    <w:rsid w:val="00BB3FC4"/>
    <w:rsid w:val="00BB7997"/>
    <w:rsid w:val="00BC481C"/>
    <w:rsid w:val="00BC4DE5"/>
    <w:rsid w:val="00BD2083"/>
    <w:rsid w:val="00BD3A9C"/>
    <w:rsid w:val="00BD4196"/>
    <w:rsid w:val="00BF22CA"/>
    <w:rsid w:val="00BF23BB"/>
    <w:rsid w:val="00C12F97"/>
    <w:rsid w:val="00C217AF"/>
    <w:rsid w:val="00C227A7"/>
    <w:rsid w:val="00C26032"/>
    <w:rsid w:val="00C345E1"/>
    <w:rsid w:val="00C43BFD"/>
    <w:rsid w:val="00C45496"/>
    <w:rsid w:val="00C6015C"/>
    <w:rsid w:val="00CB6E35"/>
    <w:rsid w:val="00CC0CC9"/>
    <w:rsid w:val="00CE1A46"/>
    <w:rsid w:val="00CE2861"/>
    <w:rsid w:val="00D20757"/>
    <w:rsid w:val="00D22636"/>
    <w:rsid w:val="00D40FD9"/>
    <w:rsid w:val="00D50A21"/>
    <w:rsid w:val="00D53769"/>
    <w:rsid w:val="00D85C13"/>
    <w:rsid w:val="00D9111A"/>
    <w:rsid w:val="00D91BE3"/>
    <w:rsid w:val="00D94AFC"/>
    <w:rsid w:val="00DB1EA9"/>
    <w:rsid w:val="00DB70AE"/>
    <w:rsid w:val="00DC33F1"/>
    <w:rsid w:val="00DD5071"/>
    <w:rsid w:val="00DD5C39"/>
    <w:rsid w:val="00DD6918"/>
    <w:rsid w:val="00DE20CE"/>
    <w:rsid w:val="00DE65C8"/>
    <w:rsid w:val="00DE7DB7"/>
    <w:rsid w:val="00DF2161"/>
    <w:rsid w:val="00DF392C"/>
    <w:rsid w:val="00E00A0A"/>
    <w:rsid w:val="00E066DE"/>
    <w:rsid w:val="00E07F57"/>
    <w:rsid w:val="00E30683"/>
    <w:rsid w:val="00E453D8"/>
    <w:rsid w:val="00E50BCE"/>
    <w:rsid w:val="00E574BF"/>
    <w:rsid w:val="00E61292"/>
    <w:rsid w:val="00E74B5A"/>
    <w:rsid w:val="00E77C4D"/>
    <w:rsid w:val="00E80AD9"/>
    <w:rsid w:val="00E81D01"/>
    <w:rsid w:val="00E862ED"/>
    <w:rsid w:val="00ED360C"/>
    <w:rsid w:val="00EE43F3"/>
    <w:rsid w:val="00EE45D8"/>
    <w:rsid w:val="00F07170"/>
    <w:rsid w:val="00F118C6"/>
    <w:rsid w:val="00F223FF"/>
    <w:rsid w:val="00F22EDA"/>
    <w:rsid w:val="00F556F2"/>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A67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uk/cases/UKUT/IAC/2015/10.html&amp;query=(title:(+m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1992</Words>
  <Characters>9465</Characters>
  <Application>Microsoft Office Word</Application>
  <DocSecurity>0</DocSecurity>
  <Lines>78</Lines>
  <Paragraphs>22</Paragraphs>
  <ScaleCrop>false</ScaleCrop>
  <Company/>
  <LinksUpToDate>false</LinksUpToDate>
  <CharactersWithSpaces>11435</CharactersWithSpaces>
  <SharedDoc>false</SharedDoc>
  <HLinks>
    <vt:vector size="6" baseType="variant">
      <vt:variant>
        <vt:i4>1835009</vt:i4>
      </vt:variant>
      <vt:variant>
        <vt:i4>12</vt:i4>
      </vt:variant>
      <vt:variant>
        <vt:i4>0</vt:i4>
      </vt:variant>
      <vt:variant>
        <vt:i4>5</vt:i4>
      </vt:variant>
      <vt:variant>
        <vt:lpwstr>http://www.bailii.org/cgi-bin/format.cgi?doc=/uk/cases/UKUT/IAC/2015/10.html&amp;query=(title:(+mm+))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2018-08-20T12:14:00Z</dcterms:created>
  <dcterms:modified xsi:type="dcterms:W3CDTF">2018-08-20T12:14:00Z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