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9C6100" w:rsidRDefault="00244F43" w:rsidP="00C321B5">
      <w:pPr>
        <w:jc w:val="center"/>
        <w:rPr>
          <w:rFonts w:ascii="Book Antiqua" w:hAnsi="Book Antiqua" w:cs="Arial"/>
          <w:sz w:val="16"/>
          <w:szCs w:val="16"/>
        </w:rPr>
      </w:pPr>
      <w:r w:rsidRPr="009C6100">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9C6100" w:rsidRPr="009C6100" w:rsidRDefault="009C6100" w:rsidP="00B626FA">
      <w:pPr>
        <w:tabs>
          <w:tab w:val="right" w:pos="9639"/>
        </w:tabs>
        <w:rPr>
          <w:rFonts w:ascii="Book Antiqua" w:hAnsi="Book Antiqua" w:cs="Arial"/>
          <w:b/>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005E4D">
        <w:rPr>
          <w:rFonts w:ascii="Book Antiqua" w:hAnsi="Book Antiqua" w:cs="Arial"/>
          <w:b/>
          <w:caps/>
        </w:rPr>
        <w:t>PA</w:t>
      </w:r>
      <w:r w:rsidR="001B67F3" w:rsidRPr="007A3ED6">
        <w:rPr>
          <w:rFonts w:ascii="Book Antiqua" w:hAnsi="Book Antiqua" w:cs="Arial"/>
          <w:b/>
          <w:caps/>
        </w:rPr>
        <w:t>/</w:t>
      </w:r>
      <w:r w:rsidR="00760859">
        <w:rPr>
          <w:rFonts w:ascii="Book Antiqua" w:hAnsi="Book Antiqua" w:cs="Arial"/>
          <w:b/>
          <w:caps/>
        </w:rPr>
        <w:t>07016</w:t>
      </w:r>
      <w:r w:rsidR="00FB050B" w:rsidRPr="007A3ED6">
        <w:rPr>
          <w:rFonts w:ascii="Book Antiqua" w:hAnsi="Book Antiqua" w:cs="Arial"/>
          <w:b/>
          <w:caps/>
        </w:rPr>
        <w:t>/201</w:t>
      </w:r>
      <w:r w:rsidR="00424A72">
        <w:rPr>
          <w:rFonts w:ascii="Book Antiqua" w:hAnsi="Book Antiqua" w:cs="Arial"/>
          <w:b/>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2"/>
        <w:gridCol w:w="3896"/>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E246FD">
              <w:rPr>
                <w:rFonts w:ascii="Book Antiqua" w:hAnsi="Book Antiqua" w:cs="Arial"/>
                <w:b/>
              </w:rPr>
              <w:t>Liverpool</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E9793C">
              <w:rPr>
                <w:rFonts w:ascii="Book Antiqua" w:hAnsi="Book Antiqua" w:cs="Arial"/>
                <w:b/>
              </w:rPr>
              <w:t>11</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244F43" w:rsidP="00337EBB">
            <w:pPr>
              <w:jc w:val="both"/>
              <w:rPr>
                <w:rFonts w:ascii="Book Antiqua" w:hAnsi="Book Antiqua" w:cs="Arial"/>
                <w:b/>
              </w:rPr>
            </w:pPr>
            <w:r>
              <w:rPr>
                <w:rFonts w:ascii="Book Antiqua" w:hAnsi="Book Antiqua" w:cs="Arial"/>
                <w:b/>
              </w:rPr>
              <w:t>On July 16, 2018</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005E4D" w:rsidRDefault="00760859" w:rsidP="00E9793C">
      <w:pPr>
        <w:jc w:val="center"/>
        <w:rPr>
          <w:rFonts w:ascii="Book Antiqua" w:hAnsi="Book Antiqua" w:cs="Arial"/>
          <w:b/>
          <w:caps/>
        </w:rPr>
      </w:pPr>
      <w:r>
        <w:rPr>
          <w:rFonts w:ascii="Book Antiqua" w:hAnsi="Book Antiqua" w:cs="Arial"/>
          <w:b/>
          <w:caps/>
        </w:rPr>
        <w:t xml:space="preserve">HASHMATULLAH </w:t>
      </w:r>
      <w:r w:rsidR="009C6100">
        <w:rPr>
          <w:rFonts w:ascii="Book Antiqua" w:hAnsi="Book Antiqua" w:cs="Arial"/>
          <w:b/>
          <w:caps/>
        </w:rPr>
        <w:t>[</w:t>
      </w:r>
      <w:r>
        <w:rPr>
          <w:rFonts w:ascii="Book Antiqua" w:hAnsi="Book Antiqua" w:cs="Arial"/>
          <w:b/>
          <w:caps/>
        </w:rPr>
        <w:t>Z</w:t>
      </w:r>
      <w:r w:rsidR="009C6100">
        <w:rPr>
          <w:rFonts w:ascii="Book Antiqua" w:hAnsi="Book Antiqua" w:cs="Arial"/>
          <w:b/>
          <w:caps/>
        </w:rPr>
        <w:t>]</w:t>
      </w:r>
    </w:p>
    <w:p w:rsidR="00887B2E" w:rsidRPr="009C6100" w:rsidRDefault="00005E4D" w:rsidP="00E9793C">
      <w:pPr>
        <w:jc w:val="center"/>
        <w:rPr>
          <w:rFonts w:ascii="Book Antiqua" w:hAnsi="Book Antiqua" w:cs="Arial"/>
          <w:b/>
          <w:caps/>
          <w:sz w:val="22"/>
        </w:rPr>
      </w:pPr>
      <w:r w:rsidRPr="009C6100">
        <w:rPr>
          <w:rFonts w:ascii="Book Antiqua" w:hAnsi="Book Antiqua" w:cs="Arial"/>
          <w:b/>
          <w:caps/>
          <w:sz w:val="22"/>
        </w:rPr>
        <w:t>(</w:t>
      </w:r>
      <w:r w:rsidR="00424A72" w:rsidRPr="009C6100">
        <w:rPr>
          <w:rFonts w:ascii="Book Antiqua" w:hAnsi="Book Antiqua" w:cs="Arial"/>
          <w:b/>
          <w:caps/>
          <w:sz w:val="22"/>
        </w:rPr>
        <w:t xml:space="preserve">no </w:t>
      </w:r>
      <w:r w:rsidR="00E9793C" w:rsidRPr="009C6100">
        <w:rPr>
          <w:rFonts w:ascii="Book Antiqua" w:hAnsi="Book Antiqua" w:cs="Arial"/>
          <w:b/>
          <w:caps/>
          <w:sz w:val="22"/>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9793C" w:rsidRDefault="00E9793C" w:rsidP="00704B61">
      <w:pPr>
        <w:jc w:val="center"/>
        <w:rPr>
          <w:rFonts w:ascii="Book Antiqua" w:hAnsi="Book Antiqua" w:cs="Arial"/>
          <w:b/>
        </w:rPr>
      </w:pPr>
      <w:r>
        <w:rPr>
          <w:rFonts w:ascii="Book Antiqua" w:hAnsi="Book Antiqua" w:cs="Arial"/>
          <w:b/>
          <w:caps/>
        </w:rPr>
        <w:t xml:space="preserve">the </w:t>
      </w:r>
      <w:r w:rsidR="00005E4D">
        <w:rPr>
          <w:rFonts w:ascii="Book Antiqua" w:hAnsi="Book Antiqua" w:cs="Arial"/>
          <w:b/>
          <w:caps/>
        </w:rPr>
        <w:t>SECRETARY OF STATE FOR THE HOME DEPARTMENR</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241367" w:rsidRDefault="00DE7DB7" w:rsidP="007A3ED6">
      <w:pPr>
        <w:tabs>
          <w:tab w:val="left" w:pos="2520"/>
        </w:tabs>
        <w:rPr>
          <w:rFonts w:ascii="Book Antiqua" w:hAnsi="Book Antiqua"/>
        </w:rPr>
      </w:pPr>
      <w:r w:rsidRPr="00F5664C">
        <w:rPr>
          <w:rFonts w:ascii="Book Antiqua" w:hAnsi="Book Antiqua" w:cs="Arial"/>
        </w:rPr>
        <w:t>For the Appellant:</w:t>
      </w:r>
      <w:r w:rsidRPr="00F5664C">
        <w:rPr>
          <w:rFonts w:ascii="Book Antiqua" w:hAnsi="Book Antiqua" w:cs="Arial"/>
        </w:rPr>
        <w:tab/>
      </w:r>
      <w:r w:rsidR="00241367">
        <w:rPr>
          <w:rFonts w:ascii="Book Antiqua" w:hAnsi="Book Antiqua"/>
        </w:rPr>
        <w:t xml:space="preserve">Mr Greer, Counsel, instructed by </w:t>
      </w:r>
      <w:proofErr w:type="spellStart"/>
      <w:r w:rsidR="00241367">
        <w:rPr>
          <w:rFonts w:ascii="Book Antiqua" w:hAnsi="Book Antiqua"/>
        </w:rPr>
        <w:t>Broudie</w:t>
      </w:r>
      <w:proofErr w:type="spellEnd"/>
      <w:r w:rsidR="00241367">
        <w:rPr>
          <w:rFonts w:ascii="Book Antiqua" w:hAnsi="Book Antiqua"/>
        </w:rPr>
        <w:t xml:space="preserve"> Jackson and Canter </w:t>
      </w:r>
    </w:p>
    <w:p w:rsidR="00DE7DB7" w:rsidRPr="00F5664C" w:rsidRDefault="00241367" w:rsidP="007A3ED6">
      <w:pPr>
        <w:tabs>
          <w:tab w:val="left" w:pos="2520"/>
        </w:tabs>
        <w:rPr>
          <w:rFonts w:ascii="Book Antiqua" w:hAnsi="Book Antiqua" w:cs="Arial"/>
        </w:rPr>
      </w:pPr>
      <w:r>
        <w:rPr>
          <w:rFonts w:ascii="Book Antiqua" w:hAnsi="Book Antiqua"/>
        </w:rPr>
        <w:tab/>
        <w:t>Solicitors</w:t>
      </w:r>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41367">
        <w:rPr>
          <w:rFonts w:ascii="Book Antiqua" w:hAnsi="Book Antiqua" w:cs="Arial"/>
        </w:rPr>
        <w:t xml:space="preserve">Mr </w:t>
      </w:r>
      <w:proofErr w:type="spellStart"/>
      <w:r w:rsidR="00241367">
        <w:rPr>
          <w:rFonts w:ascii="Book Antiqua" w:hAnsi="Book Antiqua" w:cs="Arial"/>
        </w:rPr>
        <w:t>McVeety</w:t>
      </w:r>
      <w:proofErr w:type="spellEnd"/>
      <w:r w:rsidR="00E9793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E9793C"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5A3251" w:rsidRDefault="00641A27" w:rsidP="00892884">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w:t>
      </w:r>
      <w:r w:rsidR="00760859">
        <w:rPr>
          <w:rFonts w:ascii="Book Antiqua" w:hAnsi="Book Antiqua" w:cs="Arial"/>
        </w:rPr>
        <w:t xml:space="preserve"> Afghanistan</w:t>
      </w:r>
      <w:r w:rsidRPr="00D1444B">
        <w:rPr>
          <w:rFonts w:ascii="Book Antiqua" w:hAnsi="Book Antiqua" w:cs="Arial"/>
        </w:rPr>
        <w:t xml:space="preserve">.  </w:t>
      </w:r>
      <w:r w:rsidR="00424A72">
        <w:rPr>
          <w:rFonts w:ascii="Book Antiqua" w:hAnsi="Book Antiqua" w:cs="Arial"/>
        </w:rPr>
        <w:t xml:space="preserve">The appellant entered the United Kingdom on </w:t>
      </w:r>
      <w:r w:rsidR="00760859">
        <w:rPr>
          <w:rFonts w:ascii="Book Antiqua" w:hAnsi="Book Antiqua" w:cs="Arial"/>
        </w:rPr>
        <w:t>July 11, 2016</w:t>
      </w:r>
      <w:r w:rsidR="00424A72">
        <w:rPr>
          <w:rFonts w:ascii="Book Antiqua" w:hAnsi="Book Antiqua" w:cs="Arial"/>
        </w:rPr>
        <w:t xml:space="preserve"> and claimed asylum the same day. The appellant attended</w:t>
      </w:r>
      <w:r w:rsidR="005A3251">
        <w:rPr>
          <w:rFonts w:ascii="Book Antiqua" w:hAnsi="Book Antiqua" w:cs="Arial"/>
        </w:rPr>
        <w:t xml:space="preserve"> a substantive </w:t>
      </w:r>
      <w:r w:rsidR="00424A72">
        <w:rPr>
          <w:rFonts w:ascii="Book Antiqua" w:hAnsi="Book Antiqua" w:cs="Arial"/>
        </w:rPr>
        <w:t>interview on</w:t>
      </w:r>
      <w:r w:rsidR="005A3251">
        <w:rPr>
          <w:rFonts w:ascii="Book Antiqua" w:hAnsi="Book Antiqua" w:cs="Arial"/>
        </w:rPr>
        <w:t xml:space="preserve"> December 15, 2016.</w:t>
      </w:r>
      <w:r w:rsidR="009C6100">
        <w:rPr>
          <w:rFonts w:ascii="Book Antiqua" w:hAnsi="Book Antiqua" w:cs="Arial"/>
        </w:rPr>
        <w:t xml:space="preserve"> </w:t>
      </w:r>
      <w:r w:rsidR="005A3251">
        <w:rPr>
          <w:rFonts w:ascii="Book Antiqua" w:hAnsi="Book Antiqua" w:cs="Arial"/>
        </w:rPr>
        <w:t>T</w:t>
      </w:r>
      <w:r w:rsidR="00424A72">
        <w:rPr>
          <w:rFonts w:ascii="Book Antiqua" w:hAnsi="Book Antiqua" w:cs="Arial"/>
        </w:rPr>
        <w:t xml:space="preserve">he respondent refused the appellant’s application on July </w:t>
      </w:r>
      <w:r w:rsidR="005A3251">
        <w:rPr>
          <w:rFonts w:ascii="Book Antiqua" w:hAnsi="Book Antiqua" w:cs="Arial"/>
        </w:rPr>
        <w:t>10</w:t>
      </w:r>
      <w:r w:rsidR="00424A72">
        <w:rPr>
          <w:rFonts w:ascii="Book Antiqua" w:hAnsi="Book Antiqua" w:cs="Arial"/>
        </w:rPr>
        <w:t xml:space="preserve">, </w:t>
      </w:r>
      <w:r w:rsidR="005A3251">
        <w:rPr>
          <w:rFonts w:ascii="Book Antiqua" w:hAnsi="Book Antiqua" w:cs="Arial"/>
        </w:rPr>
        <w:t>2017 under paragraph 336 HC 395.</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grounds of appeal </w:t>
      </w:r>
      <w:r w:rsidR="00E07601">
        <w:rPr>
          <w:rFonts w:ascii="Book Antiqua" w:hAnsi="Book Antiqua" w:cs="Arial"/>
        </w:rPr>
        <w:t xml:space="preserve">on </w:t>
      </w:r>
      <w:r w:rsidR="005A3251">
        <w:rPr>
          <w:rFonts w:ascii="Book Antiqua" w:hAnsi="Book Antiqua" w:cs="Arial"/>
        </w:rPr>
        <w:t>July 26</w:t>
      </w:r>
      <w:r w:rsidR="00424A72">
        <w:rPr>
          <w:rFonts w:ascii="Book Antiqua" w:hAnsi="Book Antiqua" w:cs="Arial"/>
        </w:rPr>
        <w:t xml:space="preserve">, 2017 </w:t>
      </w:r>
      <w:r w:rsidR="00E07601">
        <w:rPr>
          <w:rFonts w:ascii="Book Antiqua" w:hAnsi="Book Antiqua" w:cs="Arial"/>
        </w:rPr>
        <w:t xml:space="preserve">under Section 82(1) of the Nationality, Immigration and Asylum Act 2002.  </w:t>
      </w:r>
      <w:r w:rsidR="00657E4E">
        <w:rPr>
          <w:rFonts w:ascii="Book Antiqua" w:hAnsi="Book Antiqua" w:cs="Arial"/>
        </w:rPr>
        <w:t>His</w:t>
      </w:r>
      <w:r w:rsidR="00E246FD">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5A3251">
        <w:rPr>
          <w:rFonts w:ascii="Book Antiqua" w:hAnsi="Book Antiqua" w:cs="Arial"/>
        </w:rPr>
        <w:t>Holmes</w:t>
      </w:r>
      <w:r w:rsidR="00C51FC5">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5A3251">
        <w:rPr>
          <w:rFonts w:ascii="Book Antiqua" w:hAnsi="Book Antiqua" w:cs="Arial"/>
        </w:rPr>
        <w:t>January 9</w:t>
      </w:r>
      <w:r w:rsidR="00C51FC5">
        <w:rPr>
          <w:rFonts w:ascii="Book Antiqua" w:hAnsi="Book Antiqua" w:cs="Arial"/>
        </w:rPr>
        <w:t>, 2018</w:t>
      </w:r>
      <w:r w:rsidR="00657E4E">
        <w:rPr>
          <w:rFonts w:ascii="Book Antiqua" w:hAnsi="Book Antiqua" w:cs="Arial"/>
        </w:rPr>
        <w:t xml:space="preserve"> </w:t>
      </w:r>
      <w:r w:rsidR="00E07601">
        <w:rPr>
          <w:rFonts w:ascii="Book Antiqua" w:hAnsi="Book Antiqua" w:cs="Arial"/>
        </w:rPr>
        <w:t>and in a decision pro</w:t>
      </w:r>
      <w:r w:rsidR="00F90160">
        <w:rPr>
          <w:rFonts w:ascii="Book Antiqua" w:hAnsi="Book Antiqua" w:cs="Arial"/>
        </w:rPr>
        <w:t xml:space="preserve">mulgated on </w:t>
      </w:r>
      <w:r w:rsidR="005A3251">
        <w:rPr>
          <w:rFonts w:ascii="Book Antiqua" w:hAnsi="Book Antiqua" w:cs="Arial"/>
        </w:rPr>
        <w:t>February 15</w:t>
      </w:r>
      <w:r w:rsidR="00657E4E">
        <w:rPr>
          <w:rFonts w:ascii="Book Antiqua" w:hAnsi="Book Antiqua" w:cs="Arial"/>
        </w:rPr>
        <w:t>, 201</w:t>
      </w:r>
      <w:r w:rsidR="00C51FC5">
        <w:rPr>
          <w:rFonts w:ascii="Book Antiqua" w:hAnsi="Book Antiqua" w:cs="Arial"/>
        </w:rPr>
        <w:t>8</w:t>
      </w:r>
      <w:r w:rsidR="00E246FD">
        <w:rPr>
          <w:rFonts w:ascii="Book Antiqua" w:hAnsi="Book Antiqua" w:cs="Arial"/>
        </w:rPr>
        <w:t xml:space="preserve"> </w:t>
      </w:r>
      <w:r w:rsidR="00F90160">
        <w:rPr>
          <w:rFonts w:ascii="Book Antiqua" w:hAnsi="Book Antiqua" w:cs="Arial"/>
        </w:rPr>
        <w:t xml:space="preserve">the </w:t>
      </w:r>
      <w:r w:rsidR="00E1324B">
        <w:rPr>
          <w:rFonts w:ascii="Book Antiqua" w:hAnsi="Book Antiqua" w:cs="Arial"/>
        </w:rPr>
        <w:t>Judge</w:t>
      </w:r>
      <w:r w:rsidR="00657E4E">
        <w:rPr>
          <w:rFonts w:ascii="Book Antiqua" w:hAnsi="Book Antiqua" w:cs="Arial"/>
        </w:rPr>
        <w:t xml:space="preserve"> dismissed the appellant’s appeal on </w:t>
      </w:r>
      <w:r w:rsidR="00C51FC5">
        <w:rPr>
          <w:rFonts w:ascii="Book Antiqua" w:hAnsi="Book Antiqua" w:cs="Arial"/>
        </w:rPr>
        <w:t xml:space="preserve">protection and </w:t>
      </w:r>
      <w:r w:rsidR="00657E4E">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657E4E">
        <w:rPr>
          <w:rFonts w:ascii="Book Antiqua" w:hAnsi="Book Antiqua" w:cs="Arial"/>
        </w:rPr>
        <w:t xml:space="preserve">appellant </w:t>
      </w:r>
      <w:r>
        <w:rPr>
          <w:rFonts w:ascii="Book Antiqua" w:hAnsi="Book Antiqua" w:cs="Arial"/>
        </w:rPr>
        <w:t xml:space="preserve">appealed this decision on </w:t>
      </w:r>
      <w:r w:rsidR="005A3251">
        <w:rPr>
          <w:rFonts w:ascii="Book Antiqua" w:hAnsi="Book Antiqua" w:cs="Arial"/>
        </w:rPr>
        <w:t>February 20</w:t>
      </w:r>
      <w:r w:rsidR="00C51FC5">
        <w:rPr>
          <w:rFonts w:ascii="Book Antiqua" w:hAnsi="Book Antiqua" w:cs="Arial"/>
        </w:rPr>
        <w:t>, 2018</w:t>
      </w:r>
      <w:r w:rsidR="00442A49">
        <w:rPr>
          <w:rFonts w:ascii="Book Antiqua" w:hAnsi="Book Antiqua" w:cs="Arial"/>
        </w:rPr>
        <w:t xml:space="preserve">. </w:t>
      </w:r>
      <w:r w:rsidR="00B35843">
        <w:rPr>
          <w:rFonts w:ascii="Book Antiqua" w:hAnsi="Book Antiqua" w:cs="Arial"/>
        </w:rPr>
        <w:t xml:space="preserve">The </w:t>
      </w:r>
      <w:r w:rsidR="00657E4E">
        <w:rPr>
          <w:rFonts w:ascii="Book Antiqua" w:hAnsi="Book Antiqua" w:cs="Arial"/>
        </w:rPr>
        <w:t>appellant’s grounds included</w:t>
      </w:r>
      <w:r w:rsidR="00B35843">
        <w:rPr>
          <w:rFonts w:ascii="Book Antiqua" w:hAnsi="Book Antiqua" w:cs="Arial"/>
        </w:rPr>
        <w:t xml:space="preserve"> that the Judge</w:t>
      </w:r>
      <w:r w:rsidR="00657E4E">
        <w:rPr>
          <w:rFonts w:ascii="Book Antiqua" w:hAnsi="Book Antiqua" w:cs="Arial"/>
        </w:rPr>
        <w:t xml:space="preserve"> had erred</w:t>
      </w:r>
      <w:r w:rsidR="00904F26">
        <w:rPr>
          <w:rFonts w:ascii="Book Antiqua" w:hAnsi="Book Antiqua" w:cs="Arial"/>
        </w:rPr>
        <w:t>:</w:t>
      </w:r>
    </w:p>
    <w:p w:rsidR="00904F26" w:rsidRDefault="005A3251" w:rsidP="00904F26">
      <w:pPr>
        <w:numPr>
          <w:ilvl w:val="1"/>
          <w:numId w:val="3"/>
        </w:numPr>
        <w:spacing w:before="240"/>
        <w:jc w:val="both"/>
        <w:rPr>
          <w:rFonts w:ascii="Book Antiqua" w:hAnsi="Book Antiqua" w:cs="Arial"/>
        </w:rPr>
      </w:pPr>
      <w:r>
        <w:rPr>
          <w:rFonts w:ascii="Book Antiqua" w:hAnsi="Book Antiqua" w:cs="Arial"/>
        </w:rPr>
        <w:t xml:space="preserve">By requiring the appellant to produce corroborative evidence. During the hearing the absence of such evidence was not put to the appellant and to </w:t>
      </w:r>
      <w:r w:rsidR="009C6100">
        <w:rPr>
          <w:rFonts w:ascii="Book Antiqua" w:hAnsi="Book Antiqua" w:cs="Arial"/>
        </w:rPr>
        <w:t>c</w:t>
      </w:r>
      <w:r>
        <w:rPr>
          <w:rFonts w:ascii="Book Antiqua" w:hAnsi="Book Antiqua" w:cs="Arial"/>
        </w:rPr>
        <w:t>ount the absence of such evidence against the appellant is improper and arguably an error in law.</w:t>
      </w:r>
    </w:p>
    <w:p w:rsidR="005A3251" w:rsidRDefault="005A3251" w:rsidP="00904F26">
      <w:pPr>
        <w:numPr>
          <w:ilvl w:val="1"/>
          <w:numId w:val="3"/>
        </w:numPr>
        <w:spacing w:before="240"/>
        <w:jc w:val="both"/>
        <w:rPr>
          <w:rFonts w:ascii="Book Antiqua" w:hAnsi="Book Antiqua" w:cs="Arial"/>
        </w:rPr>
      </w:pPr>
      <w:r>
        <w:rPr>
          <w:rFonts w:ascii="Book Antiqua" w:hAnsi="Book Antiqua" w:cs="Arial"/>
        </w:rPr>
        <w:t xml:space="preserve">By failing to have full regard to the report of Tim </w:t>
      </w:r>
      <w:proofErr w:type="spellStart"/>
      <w:r>
        <w:rPr>
          <w:rFonts w:ascii="Book Antiqua" w:hAnsi="Book Antiqua" w:cs="Arial"/>
        </w:rPr>
        <w:t>Foxley</w:t>
      </w:r>
      <w:proofErr w:type="spellEnd"/>
      <w:r>
        <w:rPr>
          <w:rFonts w:ascii="Book Antiqua" w:hAnsi="Book Antiqua" w:cs="Arial"/>
        </w:rPr>
        <w:t xml:space="preserve"> MBE which supported his claim that someone of the appellant’s background could be associated as being in league with the Americans even though the appellant worked with the United Nations.</w:t>
      </w:r>
    </w:p>
    <w:p w:rsidR="005A3251" w:rsidRDefault="005A3251" w:rsidP="00904F26">
      <w:pPr>
        <w:numPr>
          <w:ilvl w:val="1"/>
          <w:numId w:val="3"/>
        </w:numPr>
        <w:spacing w:before="240"/>
        <w:jc w:val="both"/>
        <w:rPr>
          <w:rFonts w:ascii="Book Antiqua" w:hAnsi="Book Antiqua" w:cs="Arial"/>
        </w:rPr>
      </w:pPr>
      <w:r>
        <w:rPr>
          <w:rFonts w:ascii="Book Antiqua" w:hAnsi="Book Antiqua" w:cs="Arial"/>
        </w:rPr>
        <w:t xml:space="preserve">By failing to have regard to answers given both in interview and cross examination concerning the amount of times he was contacted by the Taliban by telephone. </w:t>
      </w:r>
    </w:p>
    <w:p w:rsidR="005A3251" w:rsidRDefault="005A3251" w:rsidP="00904F26">
      <w:pPr>
        <w:numPr>
          <w:ilvl w:val="1"/>
          <w:numId w:val="3"/>
        </w:numPr>
        <w:spacing w:before="240"/>
        <w:jc w:val="both"/>
        <w:rPr>
          <w:rFonts w:ascii="Book Antiqua" w:hAnsi="Book Antiqua" w:cs="Arial"/>
        </w:rPr>
      </w:pPr>
      <w:r>
        <w:rPr>
          <w:rFonts w:ascii="Book Antiqua" w:hAnsi="Book Antiqua" w:cs="Arial"/>
        </w:rPr>
        <w:t>By failing to have regard to the objective evidence that demonstrated a person with the appellant’s profile would be at risk.</w:t>
      </w:r>
    </w:p>
    <w:p w:rsidR="005A3251" w:rsidRDefault="005A3251" w:rsidP="00904F26">
      <w:pPr>
        <w:numPr>
          <w:ilvl w:val="1"/>
          <w:numId w:val="3"/>
        </w:numPr>
        <w:spacing w:before="240"/>
        <w:jc w:val="both"/>
        <w:rPr>
          <w:rFonts w:ascii="Book Antiqua" w:hAnsi="Book Antiqua" w:cs="Arial"/>
        </w:rPr>
      </w:pPr>
      <w:r>
        <w:rPr>
          <w:rFonts w:ascii="Book Antiqua" w:hAnsi="Book Antiqua" w:cs="Arial"/>
        </w:rPr>
        <w:t xml:space="preserve">By failing to depart from </w:t>
      </w:r>
      <w:r>
        <w:rPr>
          <w:rFonts w:ascii="Book Antiqua" w:hAnsi="Book Antiqua" w:cs="Arial"/>
          <w:u w:val="single"/>
        </w:rPr>
        <w:t>AK (Afghanistan) CG</w:t>
      </w:r>
      <w:r>
        <w:rPr>
          <w:rFonts w:ascii="Book Antiqua" w:hAnsi="Book Antiqua" w:cs="Arial"/>
        </w:rPr>
        <w:t xml:space="preserve"> [2012] UKUT 163 (IAC).</w:t>
      </w:r>
    </w:p>
    <w:p w:rsidR="00657E4E" w:rsidRPr="00C51FC5" w:rsidRDefault="00442A49" w:rsidP="00C51FC5">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5A3251">
        <w:rPr>
          <w:rFonts w:ascii="Book Antiqua" w:hAnsi="Book Antiqua" w:cs="Arial"/>
        </w:rPr>
        <w:t>Bird</w:t>
      </w:r>
      <w:r w:rsidR="00C51FC5">
        <w:rPr>
          <w:rFonts w:ascii="Book Antiqua" w:hAnsi="Book Antiqua" w:cs="Arial"/>
        </w:rPr>
        <w:t xml:space="preserve"> </w:t>
      </w:r>
      <w:r w:rsidR="00DE4868">
        <w:rPr>
          <w:rFonts w:ascii="Book Antiqua" w:hAnsi="Book Antiqua" w:cs="Arial"/>
        </w:rPr>
        <w:t xml:space="preserve">on </w:t>
      </w:r>
      <w:r w:rsidR="005A3251">
        <w:rPr>
          <w:rFonts w:ascii="Book Antiqua" w:hAnsi="Book Antiqua" w:cs="Arial"/>
        </w:rPr>
        <w:t>March 9</w:t>
      </w:r>
      <w:r w:rsidR="00E246FD">
        <w:rPr>
          <w:rFonts w:ascii="Book Antiqua" w:hAnsi="Book Antiqua" w:cs="Arial"/>
        </w:rPr>
        <w:t>, 2018</w:t>
      </w:r>
      <w:r w:rsidR="00DE4868">
        <w:rPr>
          <w:rFonts w:ascii="Book Antiqua" w:hAnsi="Book Antiqua" w:cs="Arial"/>
        </w:rPr>
        <w:t xml:space="preserve"> </w:t>
      </w:r>
      <w:bookmarkEnd w:id="1"/>
      <w:r w:rsidR="00657E4E">
        <w:rPr>
          <w:rFonts w:ascii="Book Antiqua" w:hAnsi="Book Antiqua" w:cs="Arial"/>
        </w:rPr>
        <w:t xml:space="preserve">who found </w:t>
      </w:r>
      <w:r w:rsidR="00C51FC5">
        <w:rPr>
          <w:rFonts w:ascii="Book Antiqua" w:hAnsi="Book Antiqua" w:cs="Arial"/>
        </w:rPr>
        <w:t>it arguable that the Judge had erred</w:t>
      </w:r>
      <w:r w:rsidR="00904F26">
        <w:rPr>
          <w:rFonts w:ascii="Book Antiqua" w:hAnsi="Book Antiqua" w:cs="Arial"/>
        </w:rPr>
        <w:t xml:space="preserve"> by </w:t>
      </w:r>
      <w:r w:rsidR="005A3251">
        <w:rPr>
          <w:rFonts w:ascii="Book Antiqua" w:hAnsi="Book Antiqua" w:cs="Arial"/>
        </w:rPr>
        <w:t xml:space="preserve">requiring corroboration and failing to have regard to the guidance given by the Court of Appeal in </w:t>
      </w:r>
      <w:r w:rsidR="005A3251">
        <w:rPr>
          <w:rFonts w:ascii="Book Antiqua" w:hAnsi="Book Antiqua" w:cs="Arial"/>
          <w:u w:val="single"/>
        </w:rPr>
        <w:t>TK (Burundi)</w:t>
      </w:r>
      <w:r w:rsidR="005A3251">
        <w:rPr>
          <w:rFonts w:ascii="Book Antiqua" w:hAnsi="Book Antiqua" w:cs="Arial"/>
        </w:rPr>
        <w:t xml:space="preserve"> [2009] EWCA </w:t>
      </w:r>
      <w:proofErr w:type="spellStart"/>
      <w:r w:rsidR="005A3251">
        <w:rPr>
          <w:rFonts w:ascii="Book Antiqua" w:hAnsi="Book Antiqua" w:cs="Arial"/>
        </w:rPr>
        <w:t>Civ</w:t>
      </w:r>
      <w:proofErr w:type="spellEnd"/>
      <w:r w:rsidR="005A3251">
        <w:rPr>
          <w:rFonts w:ascii="Book Antiqua" w:hAnsi="Book Antiqua" w:cs="Arial"/>
        </w:rPr>
        <w:t xml:space="preserve"> 40. </w:t>
      </w:r>
      <w:r w:rsidR="00200C42">
        <w:rPr>
          <w:rFonts w:ascii="Book Antiqua" w:hAnsi="Book Antiqua" w:cs="Arial"/>
        </w:rPr>
        <w:t>An adverse finding under section 8 of the Asylum and Immigration (Treatment of Claimants etc.) Act 2004 was made when no reliance had been placed on this by the respondent.</w:t>
      </w:r>
    </w:p>
    <w:p w:rsidR="00EC2927" w:rsidRDefault="005A3251" w:rsidP="00716F72">
      <w:pPr>
        <w:numPr>
          <w:ilvl w:val="0"/>
          <w:numId w:val="3"/>
        </w:numPr>
        <w:spacing w:before="240"/>
        <w:jc w:val="both"/>
        <w:rPr>
          <w:rFonts w:ascii="Book Antiqua" w:hAnsi="Book Antiqua" w:cs="Arial"/>
        </w:rPr>
      </w:pPr>
      <w:r>
        <w:rPr>
          <w:rFonts w:ascii="Book Antiqua" w:hAnsi="Book Antiqua" w:cs="Arial"/>
        </w:rPr>
        <w:t xml:space="preserve">The respondent lodged a Rule 24 letter dated March 28, 2018 in which he opposed the grounds of appeal. The respondent argued that the Judge was not seeking corroboration but noted that he had been unable to produce documents from Afghanistan </w:t>
      </w:r>
      <w:r w:rsidR="0018291D">
        <w:rPr>
          <w:rFonts w:ascii="Book Antiqua" w:hAnsi="Book Antiqua" w:cs="Arial"/>
        </w:rPr>
        <w:t>but</w:t>
      </w:r>
      <w:r>
        <w:rPr>
          <w:rFonts w:ascii="Book Antiqua" w:hAnsi="Book Antiqua" w:cs="Arial"/>
        </w:rPr>
        <w:t xml:space="preserve"> had been able to produce other</w:t>
      </w:r>
      <w:r w:rsidR="0018291D">
        <w:rPr>
          <w:rFonts w:ascii="Book Antiqua" w:hAnsi="Book Antiqua" w:cs="Arial"/>
        </w:rPr>
        <w:t xml:space="preserve"> important documents</w:t>
      </w:r>
      <w:r>
        <w:rPr>
          <w:rFonts w:ascii="Book Antiqua" w:hAnsi="Book Antiqua" w:cs="Arial"/>
        </w:rPr>
        <w:t>. However, no adverse finding had been made</w:t>
      </w:r>
      <w:r w:rsidR="00200C42">
        <w:rPr>
          <w:rFonts w:ascii="Book Antiqua" w:hAnsi="Book Antiqua" w:cs="Arial"/>
        </w:rPr>
        <w:t xml:space="preserve"> on the missing documents. Whilst an adverse finding was made under section 8 this was not material in light of the other credibility findings raised.</w:t>
      </w:r>
    </w:p>
    <w:p w:rsidR="003A3D1C" w:rsidRDefault="003A3D1C" w:rsidP="00716F72">
      <w:pPr>
        <w:numPr>
          <w:ilvl w:val="0"/>
          <w:numId w:val="3"/>
        </w:numPr>
        <w:spacing w:before="240"/>
        <w:jc w:val="both"/>
        <w:rPr>
          <w:rFonts w:ascii="Book Antiqua" w:hAnsi="Book Antiqua" w:cs="Arial"/>
        </w:rPr>
      </w:pPr>
      <w:r>
        <w:rPr>
          <w:rFonts w:ascii="Book Antiqua" w:hAnsi="Book Antiqua" w:cs="Arial"/>
        </w:rPr>
        <w:t xml:space="preserve">Prior to taking submissions Mr Greer conceded that his final ground (see paragraph 4(e) above) had no merit in light of the recent country guidance of </w:t>
      </w:r>
      <w:r>
        <w:rPr>
          <w:rFonts w:ascii="Book Antiqua" w:hAnsi="Book Antiqua" w:cs="Arial"/>
          <w:u w:val="single"/>
        </w:rPr>
        <w:t>AS (Safety of Kabul) CG</w:t>
      </w:r>
      <w:r>
        <w:rPr>
          <w:rFonts w:ascii="Book Antiqua" w:hAnsi="Book Antiqua" w:cs="Arial"/>
        </w:rPr>
        <w:t xml:space="preserve"> [2018] UKUT 118 and he would not be pursuing the section 8 point highlighted by the Judge who granted permission.</w:t>
      </w:r>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lastRenderedPageBreak/>
        <w:t>SUBMISSIONS</w:t>
      </w:r>
    </w:p>
    <w:p w:rsidR="00F7535E" w:rsidRPr="00F7535E" w:rsidRDefault="003A3D1C" w:rsidP="00FC377D">
      <w:pPr>
        <w:numPr>
          <w:ilvl w:val="0"/>
          <w:numId w:val="3"/>
        </w:numPr>
        <w:spacing w:before="240"/>
        <w:jc w:val="both"/>
        <w:rPr>
          <w:rFonts w:ascii="Book Antiqua" w:hAnsi="Book Antiqua" w:cs="Arial"/>
        </w:rPr>
      </w:pPr>
      <w:r>
        <w:rPr>
          <w:rFonts w:ascii="Book Antiqua" w:hAnsi="Book Antiqua"/>
        </w:rPr>
        <w:t>Mr Greer submitted there had been a number of errors in law. In paragraph 15 of his decision the Judge appeared to conclude that the appellant’s credibility was damaged by a failure to adduce corroborative evidence. He reminded the Tribunal that in protection claims corroboration was not required an</w:t>
      </w:r>
      <w:r w:rsidR="00F7535E">
        <w:rPr>
          <w:rFonts w:ascii="Book Antiqua" w:hAnsi="Book Antiqua"/>
        </w:rPr>
        <w:t>d</w:t>
      </w:r>
      <w:r>
        <w:rPr>
          <w:rFonts w:ascii="Book Antiqua" w:hAnsi="Book Antiqua"/>
        </w:rPr>
        <w:t xml:space="preserve"> adverse findings should only be drawn if such evidence was readily available and no excuse had been provided for not providing such evidence. Mr Greer submitted that not only did the Judge appear to hold against the appellant his failure to provide corroborative material</w:t>
      </w:r>
      <w:r w:rsidR="00F7535E">
        <w:rPr>
          <w:rFonts w:ascii="Book Antiqua" w:hAnsi="Book Antiqua"/>
        </w:rPr>
        <w:t>,</w:t>
      </w:r>
      <w:r>
        <w:rPr>
          <w:rFonts w:ascii="Book Antiqua" w:hAnsi="Book Antiqua"/>
        </w:rPr>
        <w:t xml:space="preserve"> but he failed to give the appellant the opportunity to respond to his concern. </w:t>
      </w:r>
    </w:p>
    <w:p w:rsidR="00F7535E" w:rsidRPr="00F7535E" w:rsidRDefault="003A3D1C" w:rsidP="00FC377D">
      <w:pPr>
        <w:numPr>
          <w:ilvl w:val="0"/>
          <w:numId w:val="3"/>
        </w:numPr>
        <w:spacing w:before="240"/>
        <w:jc w:val="both"/>
        <w:rPr>
          <w:rFonts w:ascii="Book Antiqua" w:hAnsi="Book Antiqua" w:cs="Arial"/>
        </w:rPr>
      </w:pPr>
      <w:r>
        <w:rPr>
          <w:rFonts w:ascii="Book Antiqua" w:hAnsi="Book Antiqua"/>
        </w:rPr>
        <w:t xml:space="preserve">Mr Greer further submitted that the Judge had wrongly placed no weight on the “night letter” from the Taliban and failed to give weight to the expert report of Mr </w:t>
      </w:r>
      <w:proofErr w:type="spellStart"/>
      <w:r>
        <w:rPr>
          <w:rFonts w:ascii="Book Antiqua" w:hAnsi="Book Antiqua"/>
        </w:rPr>
        <w:t>Foxley</w:t>
      </w:r>
      <w:proofErr w:type="spellEnd"/>
      <w:r>
        <w:rPr>
          <w:rFonts w:ascii="Book Antiqua" w:hAnsi="Book Antiqua"/>
        </w:rPr>
        <w:t xml:space="preserve"> MBE. Although he noted the report he failed to apply the findings. </w:t>
      </w:r>
    </w:p>
    <w:p w:rsidR="00F7535E" w:rsidRPr="00F7535E" w:rsidRDefault="003A3D1C" w:rsidP="00FC377D">
      <w:pPr>
        <w:numPr>
          <w:ilvl w:val="0"/>
          <w:numId w:val="3"/>
        </w:numPr>
        <w:spacing w:before="240"/>
        <w:jc w:val="both"/>
        <w:rPr>
          <w:rFonts w:ascii="Book Antiqua" w:hAnsi="Book Antiqua" w:cs="Arial"/>
        </w:rPr>
      </w:pPr>
      <w:r>
        <w:rPr>
          <w:rFonts w:ascii="Book Antiqua" w:hAnsi="Book Antiqua"/>
        </w:rPr>
        <w:t xml:space="preserve">The third ground of appeal centred around a finding in paragraph 19 that the appellant had been inconsistent about calls received. He submitted the Judge had erred in finding there was a major inconsistency as he argued the evidence in his interview and other evidence was that he had received 10 or more calls. Such an inconsistency, if it existed was minor and was insufficient undermine the plausibility of his account. </w:t>
      </w:r>
    </w:p>
    <w:p w:rsidR="00BB5B56" w:rsidRPr="002448DD" w:rsidRDefault="003A3D1C" w:rsidP="00FC377D">
      <w:pPr>
        <w:numPr>
          <w:ilvl w:val="0"/>
          <w:numId w:val="3"/>
        </w:numPr>
        <w:spacing w:before="240"/>
        <w:jc w:val="both"/>
        <w:rPr>
          <w:rFonts w:ascii="Book Antiqua" w:hAnsi="Book Antiqua" w:cs="Arial"/>
        </w:rPr>
      </w:pPr>
      <w:r>
        <w:rPr>
          <w:rFonts w:ascii="Book Antiqua" w:hAnsi="Book Antiqua"/>
        </w:rPr>
        <w:t>The final ground centred around the Judge</w:t>
      </w:r>
      <w:r w:rsidR="00F7535E">
        <w:rPr>
          <w:rFonts w:ascii="Book Antiqua" w:hAnsi="Book Antiqua"/>
        </w:rPr>
        <w:t>’</w:t>
      </w:r>
      <w:r>
        <w:rPr>
          <w:rFonts w:ascii="Book Antiqua" w:hAnsi="Book Antiqua"/>
        </w:rPr>
        <w:t>s finding in paragraph 20 there was no evidence of attacks against “small fry”. He referred to the appellant’s bundle (page 214) and paragraph 3.21 which set out attacks on areas similar to those worked</w:t>
      </w:r>
      <w:r w:rsidR="002448DD">
        <w:rPr>
          <w:rFonts w:ascii="Book Antiqua" w:hAnsi="Book Antiqua"/>
        </w:rPr>
        <w:t xml:space="preserve"> by the appellant.</w:t>
      </w:r>
    </w:p>
    <w:p w:rsidR="00F7535E" w:rsidRDefault="002448DD" w:rsidP="00FC37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adopted the </w:t>
      </w:r>
      <w:r w:rsidR="00F7535E">
        <w:rPr>
          <w:rFonts w:ascii="Book Antiqua" w:hAnsi="Book Antiqua" w:cs="Arial"/>
        </w:rPr>
        <w:t>R</w:t>
      </w:r>
      <w:r>
        <w:rPr>
          <w:rFonts w:ascii="Book Antiqua" w:hAnsi="Book Antiqua" w:cs="Arial"/>
        </w:rPr>
        <w:t xml:space="preserve">ule 24 letter and submitted the Judge had not required corroboration but had commented that the appellant had been able bring with him evidence but </w:t>
      </w:r>
      <w:r w:rsidR="00F7535E">
        <w:rPr>
          <w:rFonts w:ascii="Book Antiqua" w:hAnsi="Book Antiqua" w:cs="Arial"/>
        </w:rPr>
        <w:t xml:space="preserve">had since </w:t>
      </w:r>
      <w:r>
        <w:rPr>
          <w:rFonts w:ascii="Book Antiqua" w:hAnsi="Book Antiqua" w:cs="Arial"/>
        </w:rPr>
        <w:t>obtain</w:t>
      </w:r>
      <w:r w:rsidR="00F7535E">
        <w:rPr>
          <w:rFonts w:ascii="Book Antiqua" w:hAnsi="Book Antiqua" w:cs="Arial"/>
        </w:rPr>
        <w:t xml:space="preserve">ed </w:t>
      </w:r>
      <w:r>
        <w:rPr>
          <w:rFonts w:ascii="Book Antiqua" w:hAnsi="Book Antiqua" w:cs="Arial"/>
        </w:rPr>
        <w:t xml:space="preserve">evidence from the United Nations that not only had he worked for them that he was a good worker. It was telling therefore that there was no evidence produced that he personally had received any threats. The Judge was entitled to draw that finding and it was not an error to have to raise that point with the appellant. </w:t>
      </w:r>
    </w:p>
    <w:p w:rsidR="00F7535E" w:rsidRDefault="002448DD" w:rsidP="00FC377D">
      <w:pPr>
        <w:numPr>
          <w:ilvl w:val="0"/>
          <w:numId w:val="3"/>
        </w:numPr>
        <w:spacing w:before="240"/>
        <w:jc w:val="both"/>
        <w:rPr>
          <w:rFonts w:ascii="Book Antiqua" w:hAnsi="Book Antiqua" w:cs="Arial"/>
        </w:rPr>
      </w:pPr>
      <w:r>
        <w:rPr>
          <w:rFonts w:ascii="Book Antiqua" w:hAnsi="Book Antiqua" w:cs="Arial"/>
        </w:rPr>
        <w:t xml:space="preserve">Turning to the issue of targeting he accepted that certain people were targeted but the evidence adduced before the Judge did not convince the Judge that he had been targeted or would be targeted. He no longer worked for them and there was no evidence adduced that he had been threatened apart from the oral evidence of the appellant. The objective evidence was therefore a document that could be considered but was not a deciding factor as to whether this appellant had been targeted or would be targeted. </w:t>
      </w:r>
    </w:p>
    <w:p w:rsidR="002448DD" w:rsidRDefault="002448DD" w:rsidP="00FC377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accepted that the distinction </w:t>
      </w:r>
      <w:r w:rsidR="00F7535E">
        <w:rPr>
          <w:rFonts w:ascii="Book Antiqua" w:hAnsi="Book Antiqua" w:cs="Arial"/>
        </w:rPr>
        <w:t xml:space="preserve">on the “night letter” </w:t>
      </w:r>
      <w:r>
        <w:rPr>
          <w:rFonts w:ascii="Book Antiqua" w:hAnsi="Book Antiqua" w:cs="Arial"/>
        </w:rPr>
        <w:t xml:space="preserve">was a minor point and not something he personally would have taken but the appeal had not been dismissed for this reason alone. At paragraph 19 the Judge made numerous findings that were </w:t>
      </w:r>
      <w:proofErr w:type="gramStart"/>
      <w:r>
        <w:rPr>
          <w:rFonts w:ascii="Book Antiqua" w:hAnsi="Book Antiqua" w:cs="Arial"/>
        </w:rPr>
        <w:t>adverse</w:t>
      </w:r>
      <w:proofErr w:type="gramEnd"/>
      <w:r>
        <w:rPr>
          <w:rFonts w:ascii="Book Antiqua" w:hAnsi="Book Antiqua" w:cs="Arial"/>
        </w:rPr>
        <w:t xml:space="preserve"> to the appellant and concluded that he would not be persecuted or face serious harm.</w:t>
      </w:r>
    </w:p>
    <w:p w:rsidR="002448DD" w:rsidRPr="00FC377D" w:rsidRDefault="002448DD" w:rsidP="00FC377D">
      <w:pPr>
        <w:numPr>
          <w:ilvl w:val="0"/>
          <w:numId w:val="3"/>
        </w:numPr>
        <w:spacing w:before="240"/>
        <w:jc w:val="both"/>
        <w:rPr>
          <w:rFonts w:ascii="Book Antiqua" w:hAnsi="Book Antiqua" w:cs="Arial"/>
        </w:rPr>
      </w:pPr>
      <w:r>
        <w:rPr>
          <w:rFonts w:ascii="Book Antiqua" w:hAnsi="Book Antiqua" w:cs="Arial"/>
        </w:rPr>
        <w:lastRenderedPageBreak/>
        <w:t>Having heard the respective submissions</w:t>
      </w:r>
      <w:r w:rsidR="00F7535E">
        <w:rPr>
          <w:rFonts w:ascii="Book Antiqua" w:hAnsi="Book Antiqua" w:cs="Arial"/>
        </w:rPr>
        <w:t>,</w:t>
      </w:r>
      <w:r>
        <w:rPr>
          <w:rFonts w:ascii="Book Antiqua" w:hAnsi="Book Antiqua" w:cs="Arial"/>
        </w:rPr>
        <w:t xml:space="preserve"> I reserved my decision.</w:t>
      </w:r>
    </w:p>
    <w:p w:rsidR="007F2507" w:rsidRPr="007F2507" w:rsidRDefault="007F2507" w:rsidP="007F2507">
      <w:pPr>
        <w:spacing w:before="240"/>
        <w:ind w:left="567"/>
        <w:jc w:val="both"/>
        <w:rPr>
          <w:rFonts w:ascii="Book Antiqua" w:hAnsi="Book Antiqua" w:cs="Arial"/>
          <w:b/>
          <w:u w:val="single"/>
        </w:rPr>
      </w:pPr>
      <w:r>
        <w:rPr>
          <w:rFonts w:ascii="Book Antiqua" w:hAnsi="Book Antiqua" w:cs="Arial"/>
          <w:b/>
          <w:u w:val="single"/>
        </w:rPr>
        <w:t>FINDINGS</w:t>
      </w:r>
    </w:p>
    <w:p w:rsidR="005F03F6" w:rsidRDefault="002448DD" w:rsidP="00892884">
      <w:pPr>
        <w:numPr>
          <w:ilvl w:val="0"/>
          <w:numId w:val="3"/>
        </w:numPr>
        <w:spacing w:before="240"/>
        <w:jc w:val="both"/>
        <w:rPr>
          <w:rFonts w:ascii="Book Antiqua" w:hAnsi="Book Antiqua" w:cs="Arial"/>
        </w:rPr>
      </w:pPr>
      <w:r>
        <w:rPr>
          <w:rFonts w:ascii="Book Antiqua" w:hAnsi="Book Antiqua" w:cs="Arial"/>
        </w:rPr>
        <w:t xml:space="preserve">The appellant had applied for protection on the grounds that </w:t>
      </w:r>
      <w:r w:rsidR="00F7535E">
        <w:rPr>
          <w:rFonts w:ascii="Book Antiqua" w:hAnsi="Book Antiqua" w:cs="Arial"/>
        </w:rPr>
        <w:t xml:space="preserve">through </w:t>
      </w:r>
      <w:r>
        <w:rPr>
          <w:rFonts w:ascii="Book Antiqua" w:hAnsi="Book Antiqua" w:cs="Arial"/>
        </w:rPr>
        <w:t xml:space="preserve">his former employment in Afghanistan he would face a real risk of persecution from the Taliban if he was returned. </w:t>
      </w:r>
    </w:p>
    <w:p w:rsidR="00F7535E" w:rsidRDefault="00F21EB8" w:rsidP="00892884">
      <w:pPr>
        <w:numPr>
          <w:ilvl w:val="0"/>
          <w:numId w:val="3"/>
        </w:numPr>
        <w:spacing w:before="240"/>
        <w:jc w:val="both"/>
        <w:rPr>
          <w:rFonts w:ascii="Book Antiqua" w:hAnsi="Book Antiqua" w:cs="Arial"/>
        </w:rPr>
      </w:pPr>
      <w:r>
        <w:rPr>
          <w:rFonts w:ascii="Book Antiqua" w:hAnsi="Book Antiqua" w:cs="Arial"/>
        </w:rPr>
        <w:t>In considering the appellant’s claim</w:t>
      </w:r>
      <w:r w:rsidR="00F7535E">
        <w:rPr>
          <w:rFonts w:ascii="Book Antiqua" w:hAnsi="Book Antiqua" w:cs="Arial"/>
        </w:rPr>
        <w:t>,</w:t>
      </w:r>
      <w:r>
        <w:rPr>
          <w:rFonts w:ascii="Book Antiqua" w:hAnsi="Book Antiqua" w:cs="Arial"/>
        </w:rPr>
        <w:t xml:space="preserve"> the Judge had regard to his oral and written evidence and at paragraph 15 of his decision the Judge made the point that he had to consider the account “without the benefit of any corroborative evidence from other factual witnesses”. </w:t>
      </w:r>
    </w:p>
    <w:p w:rsidR="00F7535E" w:rsidRDefault="00F21EB8" w:rsidP="00892884">
      <w:pPr>
        <w:numPr>
          <w:ilvl w:val="0"/>
          <w:numId w:val="3"/>
        </w:numPr>
        <w:spacing w:before="240"/>
        <w:jc w:val="both"/>
        <w:rPr>
          <w:rFonts w:ascii="Book Antiqua" w:hAnsi="Book Antiqua" w:cs="Arial"/>
        </w:rPr>
      </w:pPr>
      <w:r>
        <w:rPr>
          <w:rFonts w:ascii="Book Antiqua" w:hAnsi="Book Antiqua" w:cs="Arial"/>
        </w:rPr>
        <w:t xml:space="preserve">This was not a requirement that the appellant should have produced corroborative evidence but simply a statement of fact that there was no such evidence despite the fact that he had reported incidents not only to his employer but also to the police. The Court of Appeal gave guidance in </w:t>
      </w:r>
      <w:r>
        <w:rPr>
          <w:rFonts w:ascii="Book Antiqua" w:hAnsi="Book Antiqua" w:cs="Arial"/>
          <w:u w:val="single"/>
        </w:rPr>
        <w:t>TK (Burundi)</w:t>
      </w:r>
      <w:r w:rsidRPr="00F21EB8">
        <w:rPr>
          <w:rFonts w:ascii="Book Antiqua" w:hAnsi="Book Antiqua" w:cs="Arial"/>
        </w:rPr>
        <w:t xml:space="preserve"> about how evidence should be</w:t>
      </w:r>
      <w:r>
        <w:rPr>
          <w:rFonts w:ascii="Book Antiqua" w:hAnsi="Book Antiqua" w:cs="Arial"/>
        </w:rPr>
        <w:t xml:space="preserve"> approached and both Mr Greer and Mr </w:t>
      </w:r>
      <w:proofErr w:type="spellStart"/>
      <w:r>
        <w:rPr>
          <w:rFonts w:ascii="Book Antiqua" w:hAnsi="Book Antiqua" w:cs="Arial"/>
        </w:rPr>
        <w:t>McVeety</w:t>
      </w:r>
      <w:proofErr w:type="spellEnd"/>
      <w:r>
        <w:rPr>
          <w:rFonts w:ascii="Book Antiqua" w:hAnsi="Book Antiqua" w:cs="Arial"/>
        </w:rPr>
        <w:t xml:space="preserve"> acknowledged that where evidence was potentially readily available then the absence of such evidence was a factor the Tribunal could have regard to. </w:t>
      </w:r>
    </w:p>
    <w:p w:rsidR="00F21EB8" w:rsidRDefault="00F21EB8" w:rsidP="00892884">
      <w:pPr>
        <w:numPr>
          <w:ilvl w:val="0"/>
          <w:numId w:val="3"/>
        </w:numPr>
        <w:spacing w:before="240"/>
        <w:jc w:val="both"/>
        <w:rPr>
          <w:rFonts w:ascii="Book Antiqua" w:hAnsi="Book Antiqua" w:cs="Arial"/>
        </w:rPr>
      </w:pPr>
      <w:r>
        <w:rPr>
          <w:rFonts w:ascii="Book Antiqua" w:hAnsi="Book Antiqua" w:cs="Arial"/>
        </w:rPr>
        <w:t>The Judge noted that he had brought with him numerous documents from his employer and had remained in constant contact with relatives. Mr Greer submitted the Judge erred by drawing an adverse finding without challenging the appellant over this.</w:t>
      </w:r>
    </w:p>
    <w:p w:rsidR="00F7535E" w:rsidRDefault="00F21EB8" w:rsidP="00892884">
      <w:pPr>
        <w:numPr>
          <w:ilvl w:val="0"/>
          <w:numId w:val="3"/>
        </w:numPr>
        <w:spacing w:before="240"/>
        <w:jc w:val="both"/>
        <w:rPr>
          <w:rFonts w:ascii="Book Antiqua" w:hAnsi="Book Antiqua" w:cs="Arial"/>
        </w:rPr>
      </w:pPr>
      <w:r>
        <w:rPr>
          <w:rFonts w:ascii="Book Antiqua" w:hAnsi="Book Antiqua" w:cs="Arial"/>
        </w:rPr>
        <w:t>The Judge’s role is to assess all the evidence and in doing so, in this case, the Judge concluded that other evidence could have been obtained and that no steps had been taken to obtain that evidence</w:t>
      </w:r>
      <w:r w:rsidR="00F7535E">
        <w:rPr>
          <w:rFonts w:ascii="Book Antiqua" w:hAnsi="Book Antiqua" w:cs="Arial"/>
        </w:rPr>
        <w:t>.</w:t>
      </w:r>
      <w:r>
        <w:rPr>
          <w:rFonts w:ascii="Book Antiqua" w:hAnsi="Book Antiqua" w:cs="Arial"/>
        </w:rPr>
        <w:t xml:space="preserve"> The Judge did not reject the appellant’s account because he failed to obtain </w:t>
      </w:r>
      <w:r w:rsidR="00F7535E">
        <w:rPr>
          <w:rFonts w:ascii="Book Antiqua" w:hAnsi="Book Antiqua" w:cs="Arial"/>
        </w:rPr>
        <w:t xml:space="preserve">those </w:t>
      </w:r>
      <w:r>
        <w:rPr>
          <w:rFonts w:ascii="Book Antiqua" w:hAnsi="Book Antiqua" w:cs="Arial"/>
        </w:rPr>
        <w:t xml:space="preserve">documents but he did express concern that such evidence, which in his view would have been readily available, had not been obtained. </w:t>
      </w:r>
    </w:p>
    <w:p w:rsidR="00F21EB8" w:rsidRDefault="00F21EB8" w:rsidP="00892884">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took up this point in his submissions and whilst I take on board Mr Greer’s submission I do not accept </w:t>
      </w:r>
      <w:r w:rsidR="00F7535E">
        <w:rPr>
          <w:rFonts w:ascii="Book Antiqua" w:hAnsi="Book Antiqua" w:cs="Arial"/>
        </w:rPr>
        <w:t>a</w:t>
      </w:r>
      <w:r>
        <w:rPr>
          <w:rFonts w:ascii="Book Antiqua" w:hAnsi="Book Antiqua" w:cs="Arial"/>
        </w:rPr>
        <w:t xml:space="preserve"> Judge errs by not putting one of his findings to the appellant. It had of course been open to the appellant </w:t>
      </w:r>
      <w:r w:rsidR="0018291D">
        <w:rPr>
          <w:rFonts w:ascii="Book Antiqua" w:hAnsi="Book Antiqua" w:cs="Arial"/>
        </w:rPr>
        <w:t xml:space="preserve">or his representative </w:t>
      </w:r>
      <w:r>
        <w:rPr>
          <w:rFonts w:ascii="Book Antiqua" w:hAnsi="Book Antiqua" w:cs="Arial"/>
        </w:rPr>
        <w:t xml:space="preserve">to anticipate what the Judge may think about his failure to provide letters from </w:t>
      </w:r>
      <w:r w:rsidR="0018291D">
        <w:rPr>
          <w:rFonts w:ascii="Book Antiqua" w:hAnsi="Book Antiqua" w:cs="Arial"/>
        </w:rPr>
        <w:t xml:space="preserve">the appellant’s </w:t>
      </w:r>
      <w:r>
        <w:rPr>
          <w:rFonts w:ascii="Book Antiqua" w:hAnsi="Book Antiqua" w:cs="Arial"/>
        </w:rPr>
        <w:t>employer in circumstances where he had demonstrated an ability to obtain evidence both before he left the country and after.</w:t>
      </w:r>
    </w:p>
    <w:p w:rsidR="00F21EB8" w:rsidRDefault="00F21EB8" w:rsidP="00892884">
      <w:pPr>
        <w:numPr>
          <w:ilvl w:val="0"/>
          <w:numId w:val="3"/>
        </w:numPr>
        <w:spacing w:before="240"/>
        <w:jc w:val="both"/>
        <w:rPr>
          <w:rFonts w:ascii="Book Antiqua" w:hAnsi="Book Antiqua" w:cs="Arial"/>
        </w:rPr>
      </w:pPr>
      <w:r>
        <w:rPr>
          <w:rFonts w:ascii="Book Antiqua" w:hAnsi="Book Antiqua" w:cs="Arial"/>
        </w:rPr>
        <w:t xml:space="preserve">Both Mr </w:t>
      </w:r>
      <w:proofErr w:type="spellStart"/>
      <w:r>
        <w:rPr>
          <w:rFonts w:ascii="Book Antiqua" w:hAnsi="Book Antiqua" w:cs="Arial"/>
        </w:rPr>
        <w:t>McVeety</w:t>
      </w:r>
      <w:proofErr w:type="spellEnd"/>
      <w:r>
        <w:rPr>
          <w:rFonts w:ascii="Book Antiqua" w:hAnsi="Book Antiqua" w:cs="Arial"/>
        </w:rPr>
        <w:t xml:space="preserve"> and Mr Greer agreed that the distinction between “Americans” and “UN personnel” was minor and </w:t>
      </w:r>
      <w:r w:rsidR="002F2A38">
        <w:rPr>
          <w:rFonts w:ascii="Book Antiqua" w:hAnsi="Book Antiqua" w:cs="Arial"/>
        </w:rPr>
        <w:t xml:space="preserve">Mr </w:t>
      </w:r>
      <w:proofErr w:type="spellStart"/>
      <w:r w:rsidR="002F2A38">
        <w:rPr>
          <w:rFonts w:ascii="Book Antiqua" w:hAnsi="Book Antiqua" w:cs="Arial"/>
        </w:rPr>
        <w:t>McVeety</w:t>
      </w:r>
      <w:proofErr w:type="spellEnd"/>
      <w:r w:rsidR="002F2A38">
        <w:rPr>
          <w:rFonts w:ascii="Book Antiqua" w:hAnsi="Book Antiqua" w:cs="Arial"/>
        </w:rPr>
        <w:t xml:space="preserve"> accepted there was merit to this ground of appeal but </w:t>
      </w:r>
      <w:r w:rsidR="00F7535E">
        <w:rPr>
          <w:rFonts w:ascii="Book Antiqua" w:hAnsi="Book Antiqua" w:cs="Arial"/>
        </w:rPr>
        <w:t xml:space="preserve">he </w:t>
      </w:r>
      <w:r w:rsidR="002F2A38">
        <w:rPr>
          <w:rFonts w:ascii="Book Antiqua" w:hAnsi="Book Antiqua" w:cs="Arial"/>
        </w:rPr>
        <w:t>submitted that it was not a material error because the Judge rejected the appeal on other grounds.</w:t>
      </w:r>
    </w:p>
    <w:p w:rsidR="002F2A38" w:rsidRDefault="002F2A38" w:rsidP="00892884">
      <w:pPr>
        <w:numPr>
          <w:ilvl w:val="0"/>
          <w:numId w:val="3"/>
        </w:numPr>
        <w:spacing w:before="240"/>
        <w:jc w:val="both"/>
        <w:rPr>
          <w:rFonts w:ascii="Book Antiqua" w:hAnsi="Book Antiqua" w:cs="Arial"/>
        </w:rPr>
      </w:pPr>
      <w:r>
        <w:rPr>
          <w:rFonts w:ascii="Book Antiqua" w:hAnsi="Book Antiqua" w:cs="Arial"/>
        </w:rPr>
        <w:t xml:space="preserve">In paragraph 19 of his decision the Judge made adverse findings (a) about the Taliban letter; (b) about telephone calls which appears to be an erroneous finding of fact and (c) the timing of the sending the letter was inconsistent with his claim that the Taliban </w:t>
      </w:r>
      <w:r>
        <w:rPr>
          <w:rFonts w:ascii="Book Antiqua" w:hAnsi="Book Antiqua" w:cs="Arial"/>
        </w:rPr>
        <w:lastRenderedPageBreak/>
        <w:t xml:space="preserve">knew where he was working because he had already left and ceased work at the compound. </w:t>
      </w:r>
    </w:p>
    <w:p w:rsidR="002F2A38" w:rsidRDefault="0018291D" w:rsidP="00892884">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submitted that any error over the Taliban letter was not material because </w:t>
      </w:r>
      <w:r w:rsidR="002F2A38">
        <w:rPr>
          <w:rFonts w:ascii="Book Antiqua" w:hAnsi="Book Antiqua" w:cs="Arial"/>
        </w:rPr>
        <w:t xml:space="preserve">the appeal </w:t>
      </w:r>
      <w:r>
        <w:rPr>
          <w:rFonts w:ascii="Book Antiqua" w:hAnsi="Book Antiqua" w:cs="Arial"/>
        </w:rPr>
        <w:t xml:space="preserve">had been </w:t>
      </w:r>
      <w:r w:rsidR="002F2A38">
        <w:rPr>
          <w:rFonts w:ascii="Book Antiqua" w:hAnsi="Book Antiqua" w:cs="Arial"/>
        </w:rPr>
        <w:t xml:space="preserve">rejected for numerous reasons but ultimately those reasons, contained in paragraph 19, contained two inaccurate findings. This was a case based on credibility and if at least two important findings are erroneous then this is likely to affect the weight </w:t>
      </w:r>
      <w:r>
        <w:rPr>
          <w:rFonts w:ascii="Book Antiqua" w:hAnsi="Book Antiqua" w:cs="Arial"/>
        </w:rPr>
        <w:t xml:space="preserve">the Judge </w:t>
      </w:r>
      <w:r w:rsidR="002F2A38">
        <w:rPr>
          <w:rFonts w:ascii="Book Antiqua" w:hAnsi="Book Antiqua" w:cs="Arial"/>
        </w:rPr>
        <w:t xml:space="preserve">attached to the remaining </w:t>
      </w:r>
      <w:r>
        <w:rPr>
          <w:rFonts w:ascii="Book Antiqua" w:hAnsi="Book Antiqua" w:cs="Arial"/>
        </w:rPr>
        <w:t>evidence</w:t>
      </w:r>
      <w:r w:rsidR="002F2A38">
        <w:rPr>
          <w:rFonts w:ascii="Book Antiqua" w:hAnsi="Book Antiqua" w:cs="Arial"/>
        </w:rPr>
        <w:t xml:space="preserve">. </w:t>
      </w:r>
    </w:p>
    <w:p w:rsidR="002F2A38" w:rsidRDefault="002F2A38" w:rsidP="00892884">
      <w:pPr>
        <w:numPr>
          <w:ilvl w:val="0"/>
          <w:numId w:val="3"/>
        </w:numPr>
        <w:spacing w:before="240"/>
        <w:jc w:val="both"/>
        <w:rPr>
          <w:rFonts w:ascii="Book Antiqua" w:hAnsi="Book Antiqua" w:cs="Arial"/>
        </w:rPr>
      </w:pPr>
      <w:r>
        <w:rPr>
          <w:rFonts w:ascii="Book Antiqua" w:hAnsi="Book Antiqua" w:cs="Arial"/>
        </w:rPr>
        <w:t xml:space="preserve">In order to assess the risk of persecution it is imperative that the assessment on credibility is carried out on the correct facts and whilst the </w:t>
      </w:r>
      <w:r w:rsidR="00F7535E">
        <w:rPr>
          <w:rFonts w:ascii="Book Antiqua" w:hAnsi="Book Antiqua" w:cs="Arial"/>
        </w:rPr>
        <w:t xml:space="preserve">Judge’s </w:t>
      </w:r>
      <w:r>
        <w:rPr>
          <w:rFonts w:ascii="Book Antiqua" w:hAnsi="Book Antiqua" w:cs="Arial"/>
        </w:rPr>
        <w:t xml:space="preserve">reasons for rejecting the appeal are well </w:t>
      </w:r>
      <w:r w:rsidR="00F7535E">
        <w:rPr>
          <w:rFonts w:ascii="Book Antiqua" w:hAnsi="Book Antiqua" w:cs="Arial"/>
        </w:rPr>
        <w:t>reasoned</w:t>
      </w:r>
      <w:r>
        <w:rPr>
          <w:rFonts w:ascii="Book Antiqua" w:hAnsi="Book Antiqua" w:cs="Arial"/>
        </w:rPr>
        <w:t xml:space="preserve"> the fact remains those </w:t>
      </w:r>
      <w:r w:rsidR="00F7535E">
        <w:rPr>
          <w:rFonts w:ascii="Book Antiqua" w:hAnsi="Book Antiqua" w:cs="Arial"/>
        </w:rPr>
        <w:t xml:space="preserve">reasons </w:t>
      </w:r>
      <w:r>
        <w:rPr>
          <w:rFonts w:ascii="Book Antiqua" w:hAnsi="Book Antiqua" w:cs="Arial"/>
        </w:rPr>
        <w:t xml:space="preserve">are based on at least two inaccurate findings and in those </w:t>
      </w:r>
      <w:proofErr w:type="gramStart"/>
      <w:r>
        <w:rPr>
          <w:rFonts w:ascii="Book Antiqua" w:hAnsi="Book Antiqua" w:cs="Arial"/>
        </w:rPr>
        <w:t>circumstances</w:t>
      </w:r>
      <w:proofErr w:type="gramEnd"/>
      <w:r>
        <w:rPr>
          <w:rFonts w:ascii="Book Antiqua" w:hAnsi="Book Antiqua" w:cs="Arial"/>
        </w:rPr>
        <w:t xml:space="preserve"> I find there is an error in law</w:t>
      </w:r>
      <w:r w:rsidR="00F7535E">
        <w:rPr>
          <w:rFonts w:ascii="Book Antiqua" w:hAnsi="Book Antiqua" w:cs="Arial"/>
        </w:rPr>
        <w:t xml:space="preserve"> </w:t>
      </w:r>
      <w:r w:rsidR="0018291D">
        <w:rPr>
          <w:rFonts w:ascii="Book Antiqua" w:hAnsi="Book Antiqua" w:cs="Arial"/>
        </w:rPr>
        <w:t xml:space="preserve">and the error does </w:t>
      </w:r>
      <w:r w:rsidR="00F7535E">
        <w:rPr>
          <w:rFonts w:ascii="Book Antiqua" w:hAnsi="Book Antiqua" w:cs="Arial"/>
        </w:rPr>
        <w:t xml:space="preserve">go to the materiality of the decision. </w:t>
      </w:r>
    </w:p>
    <w:p w:rsidR="00541707" w:rsidRPr="0018291D" w:rsidRDefault="002F2A38" w:rsidP="00391039">
      <w:pPr>
        <w:numPr>
          <w:ilvl w:val="0"/>
          <w:numId w:val="3"/>
        </w:numPr>
        <w:spacing w:before="240"/>
        <w:jc w:val="both"/>
        <w:rPr>
          <w:rFonts w:ascii="Book Antiqua" w:hAnsi="Book Antiqua" w:cs="Arial"/>
        </w:rPr>
      </w:pPr>
      <w:r w:rsidRPr="0018291D">
        <w:rPr>
          <w:rFonts w:ascii="Book Antiqua" w:hAnsi="Book Antiqua" w:cs="Arial"/>
        </w:rPr>
        <w:t xml:space="preserve">As this case is based on findings and credibility it is not a matter I felt able to retain in the Upper Tribunal as oral evidence will once again be necessary. </w:t>
      </w:r>
      <w:r w:rsidR="0018291D" w:rsidRPr="0018291D">
        <w:rPr>
          <w:rFonts w:ascii="Book Antiqua" w:hAnsi="Book Antiqua" w:cs="Arial"/>
        </w:rPr>
        <w:t>I</w:t>
      </w:r>
      <w:r w:rsidR="00541707" w:rsidRPr="0018291D">
        <w:rPr>
          <w:rFonts w:ascii="Book Antiqua" w:hAnsi="Book Antiqua" w:cs="Arial"/>
        </w:rPr>
        <w:t>t seems that the core issue is whether the appellant’s account of what happened to him is credible. His employment seems accepted and it therefore will be a credibility assessment and a risk on return assessment.</w:t>
      </w:r>
      <w:r w:rsidRPr="0018291D">
        <w:rPr>
          <w:rFonts w:ascii="Book Antiqua" w:hAnsi="Book Antiqua" w:cs="Arial"/>
        </w:rPr>
        <w:t xml:space="preserve"> </w:t>
      </w:r>
    </w:p>
    <w:p w:rsidR="007E0EEA" w:rsidRPr="007E0EEA" w:rsidRDefault="002F2A38" w:rsidP="00DD1DD9">
      <w:pPr>
        <w:numPr>
          <w:ilvl w:val="0"/>
          <w:numId w:val="3"/>
        </w:numPr>
        <w:spacing w:before="240"/>
        <w:jc w:val="both"/>
        <w:rPr>
          <w:rFonts w:ascii="Book Antiqua" w:hAnsi="Book Antiqua" w:cs="Arial"/>
        </w:rPr>
      </w:pPr>
      <w:r w:rsidRPr="007E0EEA">
        <w:rPr>
          <w:rFonts w:ascii="Book Antiqua" w:hAnsi="Book Antiqua" w:cs="Arial"/>
        </w:rPr>
        <w:t>I believe it is a matter for the Judge hearing the appeal to decide for him/herself what is accepted or rejected and the case should be remitted back to the First-tier Tribunal under Section 12 of the Tribunals, Courts and Enforcement Act 2007 for a de novo hearing.</w:t>
      </w:r>
      <w:r w:rsidR="007E0EEA" w:rsidRPr="007E0EEA">
        <w:rPr>
          <w:rFonts w:ascii="Book Antiqua" w:hAnsi="Book Antiqua" w:cs="Arial"/>
        </w:rPr>
        <w:t xml:space="preserve"> </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2F2A38">
        <w:rPr>
          <w:rFonts w:ascii="Book Antiqua" w:hAnsi="Book Antiqua" w:cs="Arial"/>
        </w:rPr>
        <w:t>an</w:t>
      </w:r>
      <w:r>
        <w:rPr>
          <w:rFonts w:ascii="Book Antiqua" w:hAnsi="Book Antiqua" w:cs="Arial"/>
        </w:rPr>
        <w:t xml:space="preserve"> error in law and the original decision</w:t>
      </w:r>
      <w:r w:rsidR="002F2A38">
        <w:rPr>
          <w:rFonts w:ascii="Book Antiqua" w:hAnsi="Book Antiqua" w:cs="Arial"/>
        </w:rPr>
        <w:t xml:space="preserve"> is set aside</w:t>
      </w:r>
      <w:r>
        <w:rPr>
          <w:rFonts w:ascii="Book Antiqua" w:hAnsi="Book Antiqua" w:cs="Arial"/>
        </w:rPr>
        <w:t xml:space="preserve">. </w:t>
      </w:r>
    </w:p>
    <w:p w:rsidR="002F2A38" w:rsidRDefault="002F2A38" w:rsidP="00911478">
      <w:pPr>
        <w:numPr>
          <w:ilvl w:val="0"/>
          <w:numId w:val="3"/>
        </w:numPr>
        <w:spacing w:before="240"/>
        <w:jc w:val="both"/>
        <w:rPr>
          <w:rFonts w:ascii="Book Antiqua" w:hAnsi="Book Antiqua" w:cs="Arial"/>
        </w:rPr>
      </w:pPr>
      <w:r>
        <w:rPr>
          <w:rFonts w:ascii="Book Antiqua" w:hAnsi="Book Antiqua" w:cs="Arial"/>
        </w:rPr>
        <w:t>I direct that a Dari interpreter be booked and that any further evidence be lodged</w:t>
      </w:r>
      <w:r w:rsidR="007E0EEA">
        <w:rPr>
          <w:rFonts w:ascii="Book Antiqua" w:hAnsi="Book Antiqua" w:cs="Arial"/>
        </w:rPr>
        <w:t xml:space="preserve"> in accordance with the 2014 Procedure Rules.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7E0EEA">
        <w:rPr>
          <w:rFonts w:ascii="Book Antiqua" w:hAnsi="Book Antiqua" w:cs="Arial"/>
        </w:rPr>
        <w:t>11</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244F43"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864126" w:rsidP="00BC6D9E">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039" w:rsidRDefault="00391039">
      <w:r>
        <w:separator/>
      </w:r>
    </w:p>
  </w:endnote>
  <w:endnote w:type="continuationSeparator" w:id="0">
    <w:p w:rsidR="00391039" w:rsidRDefault="00391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F0F8D">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039" w:rsidRDefault="00391039">
      <w:r>
        <w:separator/>
      </w:r>
    </w:p>
  </w:footnote>
  <w:footnote w:type="continuationSeparator" w:id="0">
    <w:p w:rsidR="00391039" w:rsidRDefault="00391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24A72">
      <w:rPr>
        <w:rFonts w:ascii="Book Antiqua" w:hAnsi="Book Antiqua" w:cs="Arial"/>
        <w:sz w:val="16"/>
        <w:szCs w:val="16"/>
      </w:rPr>
      <w:t>PA</w:t>
    </w:r>
    <w:r w:rsidRPr="00D97AF0">
      <w:rPr>
        <w:rFonts w:ascii="Book Antiqua" w:hAnsi="Book Antiqua" w:cs="Arial"/>
        <w:sz w:val="16"/>
        <w:szCs w:val="16"/>
      </w:rPr>
      <w:t>/</w:t>
    </w:r>
    <w:r w:rsidR="005A3251">
      <w:rPr>
        <w:rFonts w:ascii="Book Antiqua" w:hAnsi="Book Antiqua" w:cs="Arial"/>
        <w:sz w:val="16"/>
        <w:szCs w:val="16"/>
      </w:rPr>
      <w:t>07016</w:t>
    </w:r>
    <w:r>
      <w:rPr>
        <w:rFonts w:ascii="Book Antiqua" w:hAnsi="Book Antiqua" w:cs="Arial"/>
        <w:sz w:val="16"/>
        <w:szCs w:val="16"/>
      </w:rPr>
      <w:t>/201</w:t>
    </w:r>
    <w:r w:rsidR="00424A72">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36C2"/>
    <w:rsid w:val="0000577C"/>
    <w:rsid w:val="00005E4D"/>
    <w:rsid w:val="00006A0D"/>
    <w:rsid w:val="00033D3D"/>
    <w:rsid w:val="000369F5"/>
    <w:rsid w:val="00060A81"/>
    <w:rsid w:val="00071A7E"/>
    <w:rsid w:val="000746C0"/>
    <w:rsid w:val="00074D1D"/>
    <w:rsid w:val="00080FDA"/>
    <w:rsid w:val="00087037"/>
    <w:rsid w:val="00087B4B"/>
    <w:rsid w:val="00092580"/>
    <w:rsid w:val="00095513"/>
    <w:rsid w:val="000A32A2"/>
    <w:rsid w:val="000D5D94"/>
    <w:rsid w:val="000E483B"/>
    <w:rsid w:val="000E79C1"/>
    <w:rsid w:val="000F1FBC"/>
    <w:rsid w:val="000F2C33"/>
    <w:rsid w:val="001165A7"/>
    <w:rsid w:val="00132F1C"/>
    <w:rsid w:val="00151BB7"/>
    <w:rsid w:val="00167D3A"/>
    <w:rsid w:val="0018291D"/>
    <w:rsid w:val="001A1E2C"/>
    <w:rsid w:val="001A2421"/>
    <w:rsid w:val="001B67F3"/>
    <w:rsid w:val="001C1452"/>
    <w:rsid w:val="001E12F7"/>
    <w:rsid w:val="001F0F8D"/>
    <w:rsid w:val="001F2716"/>
    <w:rsid w:val="001F4C3C"/>
    <w:rsid w:val="00200C42"/>
    <w:rsid w:val="0020133A"/>
    <w:rsid w:val="00203454"/>
    <w:rsid w:val="00207617"/>
    <w:rsid w:val="00241367"/>
    <w:rsid w:val="002448DD"/>
    <w:rsid w:val="00244F43"/>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68BF"/>
    <w:rsid w:val="002F05A0"/>
    <w:rsid w:val="002F1559"/>
    <w:rsid w:val="002F2A38"/>
    <w:rsid w:val="00305FBC"/>
    <w:rsid w:val="0031059E"/>
    <w:rsid w:val="0031445F"/>
    <w:rsid w:val="0033030E"/>
    <w:rsid w:val="00334945"/>
    <w:rsid w:val="0033509F"/>
    <w:rsid w:val="00336CBF"/>
    <w:rsid w:val="00337EBB"/>
    <w:rsid w:val="0035239B"/>
    <w:rsid w:val="003546C8"/>
    <w:rsid w:val="00364F67"/>
    <w:rsid w:val="003756EF"/>
    <w:rsid w:val="00376F8F"/>
    <w:rsid w:val="00391039"/>
    <w:rsid w:val="00392D87"/>
    <w:rsid w:val="003A3D1C"/>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24A72"/>
    <w:rsid w:val="0044127D"/>
    <w:rsid w:val="00442A49"/>
    <w:rsid w:val="004448DB"/>
    <w:rsid w:val="00446C9A"/>
    <w:rsid w:val="00456521"/>
    <w:rsid w:val="00464E5B"/>
    <w:rsid w:val="00465231"/>
    <w:rsid w:val="00477193"/>
    <w:rsid w:val="004852B5"/>
    <w:rsid w:val="004A1848"/>
    <w:rsid w:val="004B4552"/>
    <w:rsid w:val="004B7003"/>
    <w:rsid w:val="004D0B09"/>
    <w:rsid w:val="004E4682"/>
    <w:rsid w:val="00502F93"/>
    <w:rsid w:val="00507FEC"/>
    <w:rsid w:val="00510F0E"/>
    <w:rsid w:val="00516E48"/>
    <w:rsid w:val="00541707"/>
    <w:rsid w:val="00541D19"/>
    <w:rsid w:val="005479E1"/>
    <w:rsid w:val="005570FD"/>
    <w:rsid w:val="005575EA"/>
    <w:rsid w:val="00564626"/>
    <w:rsid w:val="00564C2A"/>
    <w:rsid w:val="0057790C"/>
    <w:rsid w:val="00593795"/>
    <w:rsid w:val="005A3251"/>
    <w:rsid w:val="005A45CC"/>
    <w:rsid w:val="005A75FF"/>
    <w:rsid w:val="005B4942"/>
    <w:rsid w:val="005B7789"/>
    <w:rsid w:val="005C04A8"/>
    <w:rsid w:val="005C3A83"/>
    <w:rsid w:val="005F03F6"/>
    <w:rsid w:val="006059EF"/>
    <w:rsid w:val="006121C8"/>
    <w:rsid w:val="00622725"/>
    <w:rsid w:val="00640E14"/>
    <w:rsid w:val="00641A27"/>
    <w:rsid w:val="0064774D"/>
    <w:rsid w:val="0065791C"/>
    <w:rsid w:val="00657E4E"/>
    <w:rsid w:val="00677176"/>
    <w:rsid w:val="00690B8A"/>
    <w:rsid w:val="006A5EDB"/>
    <w:rsid w:val="006D1DFA"/>
    <w:rsid w:val="006D506B"/>
    <w:rsid w:val="006D5949"/>
    <w:rsid w:val="006D79F6"/>
    <w:rsid w:val="006E3C90"/>
    <w:rsid w:val="006F08DA"/>
    <w:rsid w:val="006F6265"/>
    <w:rsid w:val="00704B61"/>
    <w:rsid w:val="007105F4"/>
    <w:rsid w:val="007158C4"/>
    <w:rsid w:val="007164CA"/>
    <w:rsid w:val="00716F72"/>
    <w:rsid w:val="00742A8D"/>
    <w:rsid w:val="00744B61"/>
    <w:rsid w:val="0075191E"/>
    <w:rsid w:val="007552A9"/>
    <w:rsid w:val="0076085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0EEA"/>
    <w:rsid w:val="007E544D"/>
    <w:rsid w:val="007F2507"/>
    <w:rsid w:val="00806A21"/>
    <w:rsid w:val="008303B8"/>
    <w:rsid w:val="00833DCE"/>
    <w:rsid w:val="00836A93"/>
    <w:rsid w:val="00841581"/>
    <w:rsid w:val="00842418"/>
    <w:rsid w:val="00845317"/>
    <w:rsid w:val="00864126"/>
    <w:rsid w:val="0087166E"/>
    <w:rsid w:val="00871D34"/>
    <w:rsid w:val="00876A5B"/>
    <w:rsid w:val="00882779"/>
    <w:rsid w:val="00887B2E"/>
    <w:rsid w:val="00892884"/>
    <w:rsid w:val="008B270C"/>
    <w:rsid w:val="008C3D3D"/>
    <w:rsid w:val="008D4131"/>
    <w:rsid w:val="008D7D57"/>
    <w:rsid w:val="008F1932"/>
    <w:rsid w:val="008F294D"/>
    <w:rsid w:val="00904F26"/>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C6100"/>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6FA0"/>
    <w:rsid w:val="00BB2AA8"/>
    <w:rsid w:val="00BB5B56"/>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1FC5"/>
    <w:rsid w:val="00C5263A"/>
    <w:rsid w:val="00C65368"/>
    <w:rsid w:val="00C724BC"/>
    <w:rsid w:val="00C74D85"/>
    <w:rsid w:val="00C8281B"/>
    <w:rsid w:val="00C9551E"/>
    <w:rsid w:val="00C977BA"/>
    <w:rsid w:val="00CB6E35"/>
    <w:rsid w:val="00CD4902"/>
    <w:rsid w:val="00CE1A46"/>
    <w:rsid w:val="00CF253F"/>
    <w:rsid w:val="00CF56B4"/>
    <w:rsid w:val="00D1444B"/>
    <w:rsid w:val="00D20F09"/>
    <w:rsid w:val="00D22636"/>
    <w:rsid w:val="00D24AD7"/>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1DD9"/>
    <w:rsid w:val="00DD5071"/>
    <w:rsid w:val="00DD5C39"/>
    <w:rsid w:val="00DE26AF"/>
    <w:rsid w:val="00DE4868"/>
    <w:rsid w:val="00DE7DB7"/>
    <w:rsid w:val="00DF3CB8"/>
    <w:rsid w:val="00E00A0A"/>
    <w:rsid w:val="00E07601"/>
    <w:rsid w:val="00E07F57"/>
    <w:rsid w:val="00E1324B"/>
    <w:rsid w:val="00E2140A"/>
    <w:rsid w:val="00E246FD"/>
    <w:rsid w:val="00E352ED"/>
    <w:rsid w:val="00E4586A"/>
    <w:rsid w:val="00E50456"/>
    <w:rsid w:val="00E50BCE"/>
    <w:rsid w:val="00E61292"/>
    <w:rsid w:val="00E649A1"/>
    <w:rsid w:val="00E76309"/>
    <w:rsid w:val="00E77C4D"/>
    <w:rsid w:val="00E81D01"/>
    <w:rsid w:val="00E90C08"/>
    <w:rsid w:val="00E9793C"/>
    <w:rsid w:val="00EA4F85"/>
    <w:rsid w:val="00EB4047"/>
    <w:rsid w:val="00EB62BE"/>
    <w:rsid w:val="00EC2927"/>
    <w:rsid w:val="00EC656B"/>
    <w:rsid w:val="00EC73E3"/>
    <w:rsid w:val="00EE45D8"/>
    <w:rsid w:val="00EF63DD"/>
    <w:rsid w:val="00F004CD"/>
    <w:rsid w:val="00F12507"/>
    <w:rsid w:val="00F17EF5"/>
    <w:rsid w:val="00F21EB8"/>
    <w:rsid w:val="00F22EDA"/>
    <w:rsid w:val="00F26555"/>
    <w:rsid w:val="00F3224D"/>
    <w:rsid w:val="00F33E0E"/>
    <w:rsid w:val="00F3723B"/>
    <w:rsid w:val="00F42F8D"/>
    <w:rsid w:val="00F472AE"/>
    <w:rsid w:val="00F5664C"/>
    <w:rsid w:val="00F64613"/>
    <w:rsid w:val="00F72B81"/>
    <w:rsid w:val="00F7535E"/>
    <w:rsid w:val="00F77A3E"/>
    <w:rsid w:val="00F90160"/>
    <w:rsid w:val="00F9182B"/>
    <w:rsid w:val="00FB050B"/>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648F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C4DA-216B-4D86-B694-0ECA9565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9086</Characters>
  <Application>Microsoft Office Word</Application>
  <DocSecurity>0</DocSecurity>
  <Lines>75</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2018-08-01T14:58:00Z</dcterms:created>
  <dcterms:modified xsi:type="dcterms:W3CDTF">2018-08-01T14:58:00Z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