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FE04DB" w:rsidRDefault="00FE0046" w:rsidP="00FE04DB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FE04DB">
        <w:rPr>
          <w:noProof/>
          <w:sz w:val="16"/>
          <w:szCs w:val="16"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DB" w:rsidRPr="00FE04DB" w:rsidRDefault="00FE04DB" w:rsidP="00FE04DB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933B65" w:rsidRPr="00F97703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AC7C6E">
        <w:rPr>
          <w:rFonts w:ascii="Book Antiqua" w:hAnsi="Book Antiqua" w:cs="Arial"/>
          <w:caps/>
          <w:color w:val="000000"/>
        </w:rPr>
        <w:t>PA/07189/2017</w:t>
      </w:r>
      <w:bookmarkEnd w:id="0"/>
    </w:p>
    <w:p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FE04DB" w:rsidRDefault="00FE04DB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FE04DB" w:rsidRPr="00F97703" w:rsidRDefault="00FE04DB" w:rsidP="00933B65">
      <w:pPr>
        <w:jc w:val="center"/>
        <w:rPr>
          <w:rFonts w:ascii="Book Antiqua" w:hAnsi="Book Antiqua" w:cs="Arial"/>
          <w:b/>
          <w:u w:val="single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3"/>
        <w:gridCol w:w="4955"/>
      </w:tblGrid>
      <w:tr w:rsidR="00933B65" w:rsidRPr="002154EF" w:rsidTr="00A94821">
        <w:tc>
          <w:tcPr>
            <w:tcW w:w="4673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4955" w:type="dxa"/>
            <w:shd w:val="clear" w:color="auto" w:fill="auto"/>
          </w:tcPr>
          <w:p w:rsidR="00933B65" w:rsidRPr="002154EF" w:rsidRDefault="00A94821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933B65" w:rsidRPr="002154EF" w:rsidTr="00A94821">
        <w:tc>
          <w:tcPr>
            <w:tcW w:w="4673" w:type="dxa"/>
            <w:shd w:val="clear" w:color="auto" w:fill="auto"/>
          </w:tcPr>
          <w:p w:rsidR="00933B65" w:rsidRPr="002154EF" w:rsidRDefault="006D2D9A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AC7C6E">
              <w:rPr>
                <w:rFonts w:ascii="Book Antiqua" w:hAnsi="Book Antiqua" w:cs="Arial"/>
                <w:b/>
              </w:rPr>
              <w:t>17 July 2018</w:t>
            </w:r>
          </w:p>
        </w:tc>
        <w:tc>
          <w:tcPr>
            <w:tcW w:w="4955" w:type="dxa"/>
            <w:shd w:val="clear" w:color="auto" w:fill="auto"/>
          </w:tcPr>
          <w:p w:rsidR="00933B65" w:rsidRPr="002154EF" w:rsidRDefault="00A94821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26 July 2018</w:t>
            </w:r>
          </w:p>
        </w:tc>
      </w:tr>
      <w:tr w:rsidR="00933B65" w:rsidRPr="002154EF" w:rsidTr="00A94821">
        <w:tc>
          <w:tcPr>
            <w:tcW w:w="4673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55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FE04DB" w:rsidRDefault="00FE04DB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FE04DB" w:rsidRDefault="00FE04DB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614E94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</w:t>
      </w:r>
      <w:r w:rsidR="00AC7C6E">
        <w:rPr>
          <w:rFonts w:ascii="Book Antiqua" w:hAnsi="Book Antiqua" w:cs="Arial"/>
          <w:b/>
        </w:rPr>
        <w:t>RGOSH ALI REZA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Default="00933B65" w:rsidP="00933B65">
      <w:pPr>
        <w:rPr>
          <w:rFonts w:ascii="Book Antiqua" w:hAnsi="Book Antiqua" w:cs="Arial"/>
        </w:rPr>
      </w:pPr>
    </w:p>
    <w:p w:rsidR="00FE04DB" w:rsidRPr="00F97703" w:rsidRDefault="00FE04DB" w:rsidP="00933B65">
      <w:pPr>
        <w:rPr>
          <w:rFonts w:ascii="Book Antiqua" w:hAnsi="Book Antiqua" w:cs="Arial"/>
        </w:rPr>
      </w:pPr>
    </w:p>
    <w:p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245765">
        <w:rPr>
          <w:rFonts w:ascii="Book Antiqua" w:hAnsi="Book Antiqua" w:cs="Arial"/>
        </w:rPr>
        <w:t xml:space="preserve">Ms N Loughran, of </w:t>
      </w:r>
      <w:r w:rsidR="005A550B">
        <w:rPr>
          <w:rFonts w:ascii="Book Antiqua" w:hAnsi="Book Antiqua" w:cs="Arial"/>
        </w:rPr>
        <w:t xml:space="preserve">Loughran &amp; Co, </w:t>
      </w:r>
      <w:r w:rsidR="003D7D3D">
        <w:rPr>
          <w:rFonts w:ascii="Book Antiqua" w:hAnsi="Book Antiqua" w:cs="Arial"/>
        </w:rPr>
        <w:t>Solicitors</w:t>
      </w:r>
    </w:p>
    <w:p w:rsidR="00933B65" w:rsidRPr="00F97703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245765">
        <w:rPr>
          <w:rFonts w:ascii="Book Antiqua" w:hAnsi="Book Antiqua" w:cs="Arial"/>
        </w:rPr>
        <w:t xml:space="preserve">Mr A Govan,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FE04DB" w:rsidRPr="00F97703" w:rsidRDefault="00FE04DB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D31D54" w:rsidRDefault="00007BA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</w:t>
      </w:r>
      <w:r w:rsidR="00D31D54">
        <w:rPr>
          <w:rFonts w:ascii="Book Antiqua" w:hAnsi="Book Antiqua" w:cs="Arial"/>
        </w:rPr>
        <w:t>is decision is to be read with:</w:t>
      </w:r>
    </w:p>
    <w:p w:rsidR="00007BAC" w:rsidRPr="00D31D54" w:rsidRDefault="00D31D54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 w:rsidRPr="00D31D54">
        <w:rPr>
          <w:rFonts w:ascii="Book Antiqua" w:hAnsi="Book Antiqua" w:cs="Arial"/>
        </w:rPr>
        <w:t>The</w:t>
      </w:r>
      <w:r w:rsidR="00007BAC" w:rsidRPr="00D31D54">
        <w:rPr>
          <w:rFonts w:ascii="Book Antiqua" w:hAnsi="Book Antiqua" w:cs="Arial"/>
        </w:rPr>
        <w:t xml:space="preserve"> respondent</w:t>
      </w:r>
      <w:r>
        <w:rPr>
          <w:rFonts w:ascii="Book Antiqua" w:hAnsi="Book Antiqua" w:cs="Arial"/>
        </w:rPr>
        <w:t xml:space="preserve">’s decision dated </w:t>
      </w:r>
      <w:r w:rsidR="00663697">
        <w:rPr>
          <w:rFonts w:ascii="Book Antiqua" w:hAnsi="Book Antiqua" w:cs="Arial"/>
        </w:rPr>
        <w:t>14 July 2017</w:t>
      </w:r>
      <w:r w:rsidR="00DD7592">
        <w:rPr>
          <w:rFonts w:ascii="Book Antiqua" w:hAnsi="Book Antiqua" w:cs="Arial"/>
        </w:rPr>
        <w:t>,</w:t>
      </w:r>
      <w:r w:rsidR="00007BAC" w:rsidRPr="00D31D54">
        <w:rPr>
          <w:rFonts w:ascii="Book Antiqua" w:hAnsi="Book Antiqua" w:cs="Arial"/>
        </w:rPr>
        <w:t xml:space="preserve"> refus</w:t>
      </w:r>
      <w:r w:rsidR="000777B7">
        <w:rPr>
          <w:rFonts w:ascii="Book Antiqua" w:hAnsi="Book Antiqua" w:cs="Arial"/>
        </w:rPr>
        <w:t>ing the appellant’s</w:t>
      </w:r>
      <w:r w:rsidR="00007BAC" w:rsidRPr="00D31D54">
        <w:rPr>
          <w:rFonts w:ascii="Book Antiqua" w:hAnsi="Book Antiqua" w:cs="Arial"/>
        </w:rPr>
        <w:t xml:space="preserve"> claim</w:t>
      </w:r>
      <w:r w:rsidR="000777B7">
        <w:rPr>
          <w:rFonts w:ascii="Book Antiqua" w:hAnsi="Book Antiqua" w:cs="Arial"/>
        </w:rPr>
        <w:t>.</w:t>
      </w:r>
      <w:r w:rsidR="00007BAC" w:rsidRPr="00D31D54">
        <w:rPr>
          <w:rFonts w:ascii="Book Antiqua" w:hAnsi="Book Antiqua" w:cs="Arial"/>
        </w:rPr>
        <w:t xml:space="preserve"> </w:t>
      </w:r>
    </w:p>
    <w:p w:rsidR="000777B7" w:rsidRDefault="000777B7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appellant’s grounds of appeal to the First-tier Tribunal.</w:t>
      </w:r>
    </w:p>
    <w:p w:rsidR="00007BAC" w:rsidRDefault="000777B7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</w:t>
      </w:r>
      <w:r w:rsidR="00663697">
        <w:rPr>
          <w:rFonts w:ascii="Book Antiqua" w:hAnsi="Book Antiqua" w:cs="Arial"/>
        </w:rPr>
        <w:t xml:space="preserve">Designated </w:t>
      </w:r>
      <w:r>
        <w:rPr>
          <w:rFonts w:ascii="Book Antiqua" w:hAnsi="Book Antiqua" w:cs="Arial"/>
        </w:rPr>
        <w:t>FtT</w:t>
      </w:r>
      <w:r w:rsidR="00007BAC">
        <w:rPr>
          <w:rFonts w:ascii="Book Antiqua" w:hAnsi="Book Antiqua" w:cs="Arial"/>
        </w:rPr>
        <w:t xml:space="preserve"> Judge </w:t>
      </w:r>
      <w:r w:rsidR="0055508C">
        <w:rPr>
          <w:rFonts w:ascii="Book Antiqua" w:hAnsi="Book Antiqua" w:cs="Arial"/>
        </w:rPr>
        <w:t>Murray</w:t>
      </w:r>
      <w:r w:rsidR="00DD7592">
        <w:rPr>
          <w:rFonts w:ascii="Book Antiqua" w:hAnsi="Book Antiqua" w:cs="Arial"/>
        </w:rPr>
        <w:t>,</w:t>
      </w:r>
      <w:r w:rsidR="00007BAC">
        <w:rPr>
          <w:rFonts w:ascii="Book Antiqua" w:hAnsi="Book Antiqua" w:cs="Arial"/>
        </w:rPr>
        <w:t xml:space="preserve"> promulgated on</w:t>
      </w:r>
      <w:r w:rsidR="002D6D05">
        <w:rPr>
          <w:rFonts w:ascii="Book Antiqua" w:hAnsi="Book Antiqua" w:cs="Arial"/>
        </w:rPr>
        <w:t xml:space="preserve"> 20 November 2017.</w:t>
      </w:r>
      <w:r w:rsidR="00007BAC">
        <w:rPr>
          <w:rFonts w:ascii="Book Antiqua" w:hAnsi="Book Antiqua" w:cs="Arial"/>
        </w:rPr>
        <w:t xml:space="preserve"> </w:t>
      </w:r>
    </w:p>
    <w:p w:rsidR="00F47052" w:rsidRDefault="00C15A7E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lastRenderedPageBreak/>
        <w:t xml:space="preserve">The appellant’s grounds of appeal </w:t>
      </w:r>
      <w:r w:rsidR="00F125AD">
        <w:rPr>
          <w:rFonts w:ascii="Book Antiqua" w:hAnsi="Book Antiqua" w:cs="Arial"/>
        </w:rPr>
        <w:t xml:space="preserve">to the UT, stated </w:t>
      </w:r>
      <w:r>
        <w:rPr>
          <w:rFonts w:ascii="Book Antiqua" w:hAnsi="Book Antiqua" w:cs="Arial"/>
        </w:rPr>
        <w:t xml:space="preserve">in the </w:t>
      </w:r>
      <w:r w:rsidRPr="00F1787C">
        <w:rPr>
          <w:rFonts w:ascii="Book Antiqua" w:hAnsi="Book Antiqua"/>
        </w:rPr>
        <w:t>application for permission to appeal</w:t>
      </w:r>
      <w:r w:rsidR="006E3DE1">
        <w:rPr>
          <w:rFonts w:ascii="Book Antiqua" w:hAnsi="Book Antiqua"/>
        </w:rPr>
        <w:t xml:space="preserve"> </w:t>
      </w:r>
      <w:r w:rsidR="00470675">
        <w:rPr>
          <w:rFonts w:ascii="Book Antiqua" w:hAnsi="Book Antiqua"/>
        </w:rPr>
        <w:t xml:space="preserve">filed </w:t>
      </w:r>
      <w:r w:rsidR="002D6D05">
        <w:rPr>
          <w:rFonts w:ascii="Book Antiqua" w:hAnsi="Book Antiqua"/>
        </w:rPr>
        <w:t xml:space="preserve">with the FtT and dated </w:t>
      </w:r>
      <w:r w:rsidR="0085704E">
        <w:rPr>
          <w:rFonts w:ascii="Book Antiqua" w:hAnsi="Book Antiqua"/>
        </w:rPr>
        <w:t xml:space="preserve">1 December 2017, and adopted in the application filed with the UT </w:t>
      </w:r>
      <w:r w:rsidR="00A51FBF">
        <w:rPr>
          <w:rFonts w:ascii="Book Antiqua" w:hAnsi="Book Antiqua"/>
        </w:rPr>
        <w:t>on 6 February 2018.</w:t>
      </w:r>
    </w:p>
    <w:p w:rsidR="00007BAC" w:rsidRDefault="00F47052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grant of permission</w:t>
      </w:r>
      <w:r w:rsidR="00E20455">
        <w:rPr>
          <w:rFonts w:ascii="Book Antiqua" w:hAnsi="Book Antiqua"/>
        </w:rPr>
        <w:t xml:space="preserve"> by UT Judge Plimmer</w:t>
      </w:r>
      <w:r w:rsidR="00DD7592">
        <w:rPr>
          <w:rFonts w:ascii="Book Antiqua" w:hAnsi="Book Antiqua"/>
        </w:rPr>
        <w:t>,</w:t>
      </w:r>
      <w:r w:rsidR="00E20455">
        <w:rPr>
          <w:rFonts w:ascii="Book Antiqua" w:hAnsi="Book Antiqua"/>
        </w:rPr>
        <w:t xml:space="preserve"> dated 28 February 2018.</w:t>
      </w:r>
      <w:r w:rsidR="00470675">
        <w:rPr>
          <w:rFonts w:ascii="Book Antiqua" w:hAnsi="Book Antiqua"/>
        </w:rPr>
        <w:t xml:space="preserve"> </w:t>
      </w:r>
    </w:p>
    <w:p w:rsidR="00E27795" w:rsidRDefault="00482F1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grounds firstly challenge </w:t>
      </w:r>
      <w:r w:rsidR="00630B58">
        <w:rPr>
          <w:rFonts w:ascii="Book Antiqua" w:hAnsi="Book Antiqua"/>
        </w:rPr>
        <w:t xml:space="preserve">paragraph 43 of </w:t>
      </w:r>
      <w:r>
        <w:rPr>
          <w:rFonts w:ascii="Book Antiqua" w:hAnsi="Book Antiqua"/>
        </w:rPr>
        <w:t>the</w:t>
      </w:r>
      <w:r w:rsidR="00630B58">
        <w:rPr>
          <w:rFonts w:ascii="Book Antiqua" w:hAnsi="Book Antiqua"/>
        </w:rPr>
        <w:t xml:space="preserve"> decision, where the judge says that she is not clear </w:t>
      </w:r>
      <w:r w:rsidR="0021482E">
        <w:rPr>
          <w:rFonts w:ascii="Book Antiqua" w:hAnsi="Book Antiqua"/>
        </w:rPr>
        <w:t>whether the appellant’s identity has been accepted “</w:t>
      </w:r>
      <w:r w:rsidR="007041BB">
        <w:rPr>
          <w:rFonts w:ascii="Book Antiqua" w:hAnsi="Book Antiqua"/>
        </w:rPr>
        <w:t xml:space="preserve">… </w:t>
      </w:r>
      <w:r w:rsidR="0021482E">
        <w:rPr>
          <w:rFonts w:ascii="Book Antiqua" w:hAnsi="Book Antiqua"/>
        </w:rPr>
        <w:t xml:space="preserve">as </w:t>
      </w:r>
      <w:r w:rsidR="005659F2">
        <w:rPr>
          <w:rFonts w:ascii="Book Antiqua" w:hAnsi="Book Antiqua"/>
        </w:rPr>
        <w:t>he has used a number of different names and dates of birth but it is true that his nationality has been accepted.  He is Kurdish and he is Iranian</w:t>
      </w:r>
      <w:r w:rsidR="00E27795">
        <w:rPr>
          <w:rFonts w:ascii="Book Antiqua" w:hAnsi="Book Antiqua"/>
        </w:rPr>
        <w:t xml:space="preserve">.”  This is </w:t>
      </w:r>
      <w:r w:rsidR="004315A0">
        <w:rPr>
          <w:rFonts w:ascii="Book Antiqua" w:hAnsi="Book Antiqua"/>
        </w:rPr>
        <w:t>allege</w:t>
      </w:r>
      <w:r w:rsidR="00E27795">
        <w:rPr>
          <w:rFonts w:ascii="Book Antiqua" w:hAnsi="Book Antiqua"/>
        </w:rPr>
        <w:t>d to be an error because the resp</w:t>
      </w:r>
      <w:r w:rsidR="007041BB">
        <w:rPr>
          <w:rFonts w:ascii="Book Antiqua" w:hAnsi="Book Antiqua"/>
        </w:rPr>
        <w:t>ond</w:t>
      </w:r>
      <w:r w:rsidR="00E27795">
        <w:rPr>
          <w:rFonts w:ascii="Book Antiqua" w:hAnsi="Book Antiqua"/>
        </w:rPr>
        <w:t xml:space="preserve">ent’s decision </w:t>
      </w:r>
      <w:r w:rsidR="00E53ACD">
        <w:rPr>
          <w:rFonts w:ascii="Book Antiqua" w:hAnsi="Book Antiqua"/>
        </w:rPr>
        <w:t xml:space="preserve">at </w:t>
      </w:r>
      <w:r w:rsidR="007041BB">
        <w:rPr>
          <w:rFonts w:ascii="Book Antiqua" w:hAnsi="Book Antiqua"/>
        </w:rPr>
        <w:t>paragraph</w:t>
      </w:r>
      <w:r w:rsidR="00E53ACD">
        <w:rPr>
          <w:rFonts w:ascii="Book Antiqua" w:hAnsi="Book Antiqua"/>
        </w:rPr>
        <w:t xml:space="preserve"> 28 says, “… your identity and nationality have been accepted”.</w:t>
      </w:r>
      <w:r w:rsidR="007704C1">
        <w:rPr>
          <w:rFonts w:ascii="Book Antiqua" w:hAnsi="Book Antiqua"/>
        </w:rPr>
        <w:t xml:space="preserve">  The grounds say </w:t>
      </w:r>
      <w:r w:rsidR="008C7EFC">
        <w:rPr>
          <w:rFonts w:ascii="Book Antiqua" w:hAnsi="Book Antiqua"/>
        </w:rPr>
        <w:t>the judge’s</w:t>
      </w:r>
      <w:r w:rsidR="007704C1">
        <w:rPr>
          <w:rFonts w:ascii="Book Antiqua" w:hAnsi="Book Antiqua"/>
        </w:rPr>
        <w:t xml:space="preserve"> failure to record the </w:t>
      </w:r>
      <w:r w:rsidR="00D3268E">
        <w:rPr>
          <w:rFonts w:ascii="Book Antiqua" w:hAnsi="Book Antiqua"/>
        </w:rPr>
        <w:t xml:space="preserve">respondent’s position is “… particularly significant when </w:t>
      </w:r>
      <w:r w:rsidR="008C7EFC">
        <w:rPr>
          <w:rFonts w:ascii="Book Antiqua" w:hAnsi="Book Antiqua"/>
        </w:rPr>
        <w:t>she</w:t>
      </w:r>
      <w:r w:rsidR="00D3268E">
        <w:rPr>
          <w:rFonts w:ascii="Book Antiqua" w:hAnsi="Book Antiqua"/>
        </w:rPr>
        <w:t xml:space="preserve"> proceeded to find his account not credible”.</w:t>
      </w:r>
    </w:p>
    <w:p w:rsidR="008C7EFC" w:rsidRDefault="00A309B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 see no substance in this point.  The judge accepted that the appellant is Kurdish and Iranian</w:t>
      </w:r>
      <w:r w:rsidR="0052056B">
        <w:rPr>
          <w:rFonts w:ascii="Book Antiqua" w:hAnsi="Book Antiqua"/>
        </w:rPr>
        <w:t xml:space="preserve">, as did the respondent.  The respondent’s finding </w:t>
      </w:r>
      <w:r w:rsidR="009E2CEA">
        <w:rPr>
          <w:rFonts w:ascii="Book Antiqua" w:hAnsi="Book Antiqua"/>
        </w:rPr>
        <w:t>went</w:t>
      </w:r>
      <w:r w:rsidR="0052056B">
        <w:rPr>
          <w:rFonts w:ascii="Book Antiqua" w:hAnsi="Book Antiqua"/>
        </w:rPr>
        <w:t xml:space="preserve"> no further that that reached by the judge.  It imported no greater an acceptance of anything else the appellant claimed.  </w:t>
      </w:r>
      <w:r w:rsidR="0020683D">
        <w:rPr>
          <w:rFonts w:ascii="Book Antiqua" w:hAnsi="Book Antiqua"/>
        </w:rPr>
        <w:t xml:space="preserve">It did not </w:t>
      </w:r>
      <w:r w:rsidR="00D1771F">
        <w:rPr>
          <w:rFonts w:ascii="Book Antiqua" w:hAnsi="Book Antiqua"/>
        </w:rPr>
        <w:t xml:space="preserve">signify that use of </w:t>
      </w:r>
      <w:r w:rsidR="002744A4">
        <w:rPr>
          <w:rFonts w:ascii="Book Antiqua" w:hAnsi="Book Antiqua"/>
        </w:rPr>
        <w:t>multiple identities</w:t>
      </w:r>
      <w:r w:rsidR="00D1771F">
        <w:rPr>
          <w:rFonts w:ascii="Book Antiqua" w:hAnsi="Book Antiqua"/>
        </w:rPr>
        <w:t xml:space="preserve"> was not a matter which might count to any extent against him.  That was for the judge to </w:t>
      </w:r>
      <w:r w:rsidR="00D5332A">
        <w:rPr>
          <w:rFonts w:ascii="Book Antiqua" w:hAnsi="Book Antiqua"/>
        </w:rPr>
        <w:t>weigh up</w:t>
      </w:r>
      <w:r w:rsidR="00273E44">
        <w:rPr>
          <w:rFonts w:ascii="Book Antiqua" w:hAnsi="Book Antiqua"/>
        </w:rPr>
        <w:t xml:space="preserve">.  </w:t>
      </w:r>
      <w:r w:rsidR="0052056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 </w:t>
      </w:r>
    </w:p>
    <w:p w:rsidR="00400A90" w:rsidRDefault="007C54B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second challenge in the grounds is that the judge failed to give reasons for </w:t>
      </w:r>
      <w:r w:rsidR="000402DD">
        <w:rPr>
          <w:rFonts w:ascii="Book Antiqua" w:hAnsi="Book Antiqua"/>
        </w:rPr>
        <w:t>her adverse findings at paragraphs 4</w:t>
      </w:r>
      <w:r w:rsidR="00AC410F">
        <w:rPr>
          <w:rFonts w:ascii="Book Antiqua" w:hAnsi="Book Antiqua"/>
        </w:rPr>
        <w:t>4</w:t>
      </w:r>
      <w:r w:rsidR="000402DD">
        <w:rPr>
          <w:rFonts w:ascii="Book Antiqua" w:hAnsi="Book Antiqua"/>
        </w:rPr>
        <w:t xml:space="preserve"> and 45.</w:t>
      </w:r>
    </w:p>
    <w:p w:rsidR="008C739E" w:rsidRDefault="00096C8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Decisions are </w:t>
      </w:r>
      <w:r w:rsidR="00C56C59">
        <w:rPr>
          <w:rFonts w:ascii="Book Antiqua" w:hAnsi="Book Antiqua"/>
        </w:rPr>
        <w:t xml:space="preserve">not </w:t>
      </w:r>
      <w:r>
        <w:rPr>
          <w:rFonts w:ascii="Book Antiqua" w:hAnsi="Book Antiqua"/>
        </w:rPr>
        <w:t xml:space="preserve">to be read </w:t>
      </w:r>
      <w:r w:rsidR="00896135">
        <w:rPr>
          <w:rFonts w:ascii="Book Antiqua" w:hAnsi="Book Antiqua"/>
        </w:rPr>
        <w:t xml:space="preserve">by </w:t>
      </w:r>
      <w:r>
        <w:rPr>
          <w:rFonts w:ascii="Book Antiqua" w:hAnsi="Book Antiqua"/>
        </w:rPr>
        <w:t>isolating</w:t>
      </w:r>
      <w:r w:rsidR="00896135">
        <w:rPr>
          <w:rFonts w:ascii="Book Antiqua" w:hAnsi="Book Antiqua"/>
        </w:rPr>
        <w:t xml:space="preserve"> </w:t>
      </w:r>
      <w:r w:rsidR="002E204B">
        <w:rPr>
          <w:rFonts w:ascii="Book Antiqua" w:hAnsi="Book Antiqua"/>
        </w:rPr>
        <w:t xml:space="preserve">conclusions from their overall context.  The grounds do not </w:t>
      </w:r>
      <w:r w:rsidR="00C56C59">
        <w:rPr>
          <w:rFonts w:ascii="Book Antiqua" w:hAnsi="Book Antiqua"/>
        </w:rPr>
        <w:t>fairly represent the reasons to be found in the decision</w:t>
      </w:r>
      <w:r w:rsidR="00B07B70">
        <w:rPr>
          <w:rFonts w:ascii="Book Antiqua" w:hAnsi="Book Antiqua"/>
        </w:rPr>
        <w:t>, as Mr Govan pointed out</w:t>
      </w:r>
      <w:r w:rsidR="008C739E">
        <w:rPr>
          <w:rFonts w:ascii="Book Antiqua" w:hAnsi="Book Antiqua"/>
        </w:rPr>
        <w:t xml:space="preserve">.  These </w:t>
      </w:r>
      <w:r w:rsidR="00915F00">
        <w:rPr>
          <w:rFonts w:ascii="Book Antiqua" w:hAnsi="Book Antiqua"/>
        </w:rPr>
        <w:t>include</w:t>
      </w:r>
      <w:r w:rsidR="008C739E">
        <w:rPr>
          <w:rFonts w:ascii="Book Antiqua" w:hAnsi="Book Antiqua"/>
        </w:rPr>
        <w:t>:</w:t>
      </w:r>
    </w:p>
    <w:p w:rsidR="00685F27" w:rsidRDefault="0032644E" w:rsidP="0032644E">
      <w:pPr>
        <w:spacing w:before="240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8C739E">
        <w:rPr>
          <w:rFonts w:ascii="Book Antiqua" w:hAnsi="Book Antiqua"/>
        </w:rPr>
        <w:t>wo different accounts of the countries through which the appellant travelled;</w:t>
      </w:r>
    </w:p>
    <w:p w:rsidR="007465D8" w:rsidRDefault="0032644E" w:rsidP="0032644E">
      <w:pPr>
        <w:spacing w:before="240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f</w:t>
      </w:r>
      <w:r w:rsidR="00FA6FFC">
        <w:rPr>
          <w:rFonts w:ascii="Book Antiqua" w:hAnsi="Book Antiqua"/>
        </w:rPr>
        <w:t>ailure</w:t>
      </w:r>
      <w:r w:rsidR="00685F27">
        <w:rPr>
          <w:rFonts w:ascii="Book Antiqua" w:hAnsi="Book Antiqua"/>
        </w:rPr>
        <w:t xml:space="preserve"> to discl</w:t>
      </w:r>
      <w:r w:rsidR="00FA6FFC">
        <w:rPr>
          <w:rFonts w:ascii="Book Antiqua" w:hAnsi="Book Antiqua"/>
        </w:rPr>
        <w:t>os</w:t>
      </w:r>
      <w:r w:rsidR="00685F27">
        <w:rPr>
          <w:rFonts w:ascii="Book Antiqua" w:hAnsi="Book Antiqua"/>
        </w:rPr>
        <w:t xml:space="preserve">e that </w:t>
      </w:r>
      <w:r w:rsidR="00FA6FFC">
        <w:rPr>
          <w:rFonts w:ascii="Book Antiqua" w:hAnsi="Book Antiqua"/>
        </w:rPr>
        <w:t>that he</w:t>
      </w:r>
      <w:r w:rsidR="00685F27">
        <w:rPr>
          <w:rFonts w:ascii="Book Antiqua" w:hAnsi="Book Antiqua"/>
        </w:rPr>
        <w:t xml:space="preserve"> been in Finla</w:t>
      </w:r>
      <w:r w:rsidR="00FA6FFC">
        <w:rPr>
          <w:rFonts w:ascii="Book Antiqua" w:hAnsi="Book Antiqua"/>
        </w:rPr>
        <w:t>n</w:t>
      </w:r>
      <w:r w:rsidR="00685F27">
        <w:rPr>
          <w:rFonts w:ascii="Book Antiqua" w:hAnsi="Book Antiqua"/>
        </w:rPr>
        <w:t>d, where h</w:t>
      </w:r>
      <w:r w:rsidR="00B05C58">
        <w:rPr>
          <w:rFonts w:ascii="Book Antiqua" w:hAnsi="Book Antiqua"/>
        </w:rPr>
        <w:t>is</w:t>
      </w:r>
      <w:r w:rsidR="00FA6FFC">
        <w:rPr>
          <w:rFonts w:ascii="Book Antiqua" w:hAnsi="Book Antiqua"/>
        </w:rPr>
        <w:t xml:space="preserve"> </w:t>
      </w:r>
      <w:r w:rsidR="00B05C58">
        <w:rPr>
          <w:rFonts w:ascii="Book Antiqua" w:hAnsi="Book Antiqua"/>
        </w:rPr>
        <w:t xml:space="preserve">presence was given away </w:t>
      </w:r>
      <w:r w:rsidR="00685F27">
        <w:rPr>
          <w:rFonts w:ascii="Book Antiqua" w:hAnsi="Book Antiqua"/>
        </w:rPr>
        <w:t>by a fingerprint history;</w:t>
      </w:r>
    </w:p>
    <w:p w:rsidR="007465D8" w:rsidRDefault="0032644E" w:rsidP="0032644E">
      <w:pPr>
        <w:spacing w:before="240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u</w:t>
      </w:r>
      <w:r w:rsidR="007465D8">
        <w:rPr>
          <w:rFonts w:ascii="Book Antiqua" w:hAnsi="Book Antiqua"/>
        </w:rPr>
        <w:t xml:space="preserve">se of </w:t>
      </w:r>
      <w:r w:rsidR="00BB7A82">
        <w:rPr>
          <w:rFonts w:ascii="Book Antiqua" w:hAnsi="Book Antiqua"/>
        </w:rPr>
        <w:t>several</w:t>
      </w:r>
      <w:r w:rsidR="007465D8">
        <w:rPr>
          <w:rFonts w:ascii="Book Antiqua" w:hAnsi="Book Antiqua"/>
        </w:rPr>
        <w:t xml:space="preserve"> different </w:t>
      </w:r>
      <w:r w:rsidR="00FA6FFC">
        <w:rPr>
          <w:rFonts w:ascii="Book Antiqua" w:hAnsi="Book Antiqua"/>
        </w:rPr>
        <w:t>identities</w:t>
      </w:r>
      <w:r w:rsidR="007465D8">
        <w:rPr>
          <w:rFonts w:ascii="Book Antiqua" w:hAnsi="Book Antiqua"/>
        </w:rPr>
        <w:t xml:space="preserve"> and dates of birth;</w:t>
      </w:r>
    </w:p>
    <w:p w:rsidR="00E42F74" w:rsidRDefault="0032644E" w:rsidP="0032644E">
      <w:pPr>
        <w:spacing w:before="240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u</w:t>
      </w:r>
      <w:r w:rsidR="00FA6FFC">
        <w:rPr>
          <w:rFonts w:ascii="Book Antiqua" w:hAnsi="Book Antiqua"/>
        </w:rPr>
        <w:t>npersuasive</w:t>
      </w:r>
      <w:r w:rsidR="00E42F74">
        <w:rPr>
          <w:rFonts w:ascii="Book Antiqua" w:hAnsi="Book Antiqua"/>
        </w:rPr>
        <w:t xml:space="preserve"> explanation of being told to </w:t>
      </w:r>
      <w:r w:rsidR="00FA6FFC">
        <w:rPr>
          <w:rFonts w:ascii="Book Antiqua" w:hAnsi="Book Antiqua"/>
        </w:rPr>
        <w:t>use these false identities by a</w:t>
      </w:r>
      <w:r w:rsidR="00E42F74">
        <w:rPr>
          <w:rFonts w:ascii="Book Antiqua" w:hAnsi="Book Antiqua"/>
        </w:rPr>
        <w:t xml:space="preserve"> smuggler;</w:t>
      </w:r>
    </w:p>
    <w:p w:rsidR="00CD33FD" w:rsidRDefault="0032644E" w:rsidP="0032644E">
      <w:pPr>
        <w:spacing w:before="240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f</w:t>
      </w:r>
      <w:r w:rsidR="00FA6FFC">
        <w:rPr>
          <w:rFonts w:ascii="Book Antiqua" w:hAnsi="Book Antiqua"/>
        </w:rPr>
        <w:t>ailure</w:t>
      </w:r>
      <w:r w:rsidR="00E42F74">
        <w:rPr>
          <w:rFonts w:ascii="Book Antiqua" w:hAnsi="Book Antiqua"/>
        </w:rPr>
        <w:t xml:space="preserve"> to cooperate in return to </w:t>
      </w:r>
      <w:r w:rsidR="00FA6FFC">
        <w:rPr>
          <w:rFonts w:ascii="Book Antiqua" w:hAnsi="Book Antiqua"/>
        </w:rPr>
        <w:t>Bulgaria</w:t>
      </w:r>
      <w:r w:rsidR="00CD33FD">
        <w:rPr>
          <w:rFonts w:ascii="Book Antiqua" w:hAnsi="Book Antiqua"/>
        </w:rPr>
        <w:t>;</w:t>
      </w:r>
    </w:p>
    <w:p w:rsidR="001A52D7" w:rsidRDefault="0032644E" w:rsidP="0032644E">
      <w:pPr>
        <w:spacing w:before="240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f</w:t>
      </w:r>
      <w:r w:rsidR="00CD33FD">
        <w:rPr>
          <w:rFonts w:ascii="Book Antiqua" w:hAnsi="Book Antiqua"/>
        </w:rPr>
        <w:t>ail</w:t>
      </w:r>
      <w:r w:rsidR="00FA6FFC">
        <w:rPr>
          <w:rFonts w:ascii="Book Antiqua" w:hAnsi="Book Antiqua"/>
        </w:rPr>
        <w:t>u</w:t>
      </w:r>
      <w:r w:rsidR="00CD33FD">
        <w:rPr>
          <w:rFonts w:ascii="Book Antiqua" w:hAnsi="Book Antiqua"/>
        </w:rPr>
        <w:t>re to answer more than basic questions about the party for which he was allegedly active;</w:t>
      </w:r>
    </w:p>
    <w:p w:rsidR="00746E66" w:rsidRDefault="0032644E" w:rsidP="0032644E">
      <w:pPr>
        <w:spacing w:before="240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FA6FFC">
        <w:rPr>
          <w:rFonts w:ascii="Book Antiqua" w:hAnsi="Book Antiqua"/>
        </w:rPr>
        <w:t>n i</w:t>
      </w:r>
      <w:r w:rsidR="001A52D7">
        <w:rPr>
          <w:rFonts w:ascii="Book Antiqua" w:hAnsi="Book Antiqua"/>
        </w:rPr>
        <w:t>ncredible account of being watched by his father w</w:t>
      </w:r>
      <w:r w:rsidR="00FA6FFC">
        <w:rPr>
          <w:rFonts w:ascii="Book Antiqua" w:hAnsi="Book Antiqua"/>
        </w:rPr>
        <w:t>h</w:t>
      </w:r>
      <w:r w:rsidR="001A52D7">
        <w:rPr>
          <w:rFonts w:ascii="Book Antiqua" w:hAnsi="Book Antiqua"/>
        </w:rPr>
        <w:t>en leafletting, who in t</w:t>
      </w:r>
      <w:r w:rsidR="00FA6FFC">
        <w:rPr>
          <w:rFonts w:ascii="Book Antiqua" w:hAnsi="Book Antiqua"/>
        </w:rPr>
        <w:t>urn</w:t>
      </w:r>
      <w:r w:rsidR="001A52D7">
        <w:rPr>
          <w:rFonts w:ascii="Book Antiqua" w:hAnsi="Book Antiqua"/>
        </w:rPr>
        <w:t xml:space="preserve"> was watched b</w:t>
      </w:r>
      <w:r w:rsidR="00FA6FFC">
        <w:rPr>
          <w:rFonts w:ascii="Book Antiqua" w:hAnsi="Book Antiqua"/>
        </w:rPr>
        <w:t>y</w:t>
      </w:r>
      <w:r w:rsidR="001A52D7">
        <w:rPr>
          <w:rFonts w:ascii="Book Antiqua" w:hAnsi="Book Antiqua"/>
        </w:rPr>
        <w:t xml:space="preserve"> others;</w:t>
      </w:r>
    </w:p>
    <w:p w:rsidR="00746E66" w:rsidRDefault="002860B9" w:rsidP="0032644E">
      <w:pPr>
        <w:spacing w:before="240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FA6FFC">
        <w:rPr>
          <w:rFonts w:ascii="Book Antiqua" w:hAnsi="Book Antiqua"/>
        </w:rPr>
        <w:t>n u</w:t>
      </w:r>
      <w:r w:rsidR="00746E66">
        <w:rPr>
          <w:rFonts w:ascii="Book Antiqua" w:hAnsi="Book Antiqua"/>
        </w:rPr>
        <w:t>nclear account of his father</w:t>
      </w:r>
      <w:r w:rsidR="00AF0D4D">
        <w:rPr>
          <w:rFonts w:ascii="Book Antiqua" w:hAnsi="Book Antiqua"/>
        </w:rPr>
        <w:t>’</w:t>
      </w:r>
      <w:r w:rsidR="00746E66">
        <w:rPr>
          <w:rFonts w:ascii="Book Antiqua" w:hAnsi="Book Antiqua"/>
        </w:rPr>
        <w:t xml:space="preserve">s claimed </w:t>
      </w:r>
      <w:r w:rsidR="00BB7A82">
        <w:rPr>
          <w:rFonts w:ascii="Book Antiqua" w:hAnsi="Book Antiqua"/>
        </w:rPr>
        <w:t xml:space="preserve">political </w:t>
      </w:r>
      <w:r w:rsidR="00746E66">
        <w:rPr>
          <w:rFonts w:ascii="Book Antiqua" w:hAnsi="Book Antiqua"/>
        </w:rPr>
        <w:t>activities;</w:t>
      </w:r>
      <w:r w:rsidR="00AF0D4D">
        <w:rPr>
          <w:rFonts w:ascii="Book Antiqua" w:hAnsi="Book Antiqua"/>
        </w:rPr>
        <w:t xml:space="preserve"> and</w:t>
      </w:r>
    </w:p>
    <w:p w:rsidR="001B1963" w:rsidRDefault="002860B9" w:rsidP="0032644E">
      <w:pPr>
        <w:spacing w:before="240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746E66">
        <w:rPr>
          <w:rFonts w:ascii="Book Antiqua" w:hAnsi="Book Antiqua"/>
        </w:rPr>
        <w:t>laimed inability to read and write, inconsistent with hav</w:t>
      </w:r>
      <w:r w:rsidR="00392E17">
        <w:rPr>
          <w:rFonts w:ascii="Book Antiqua" w:hAnsi="Book Antiqua"/>
        </w:rPr>
        <w:t>ing</w:t>
      </w:r>
      <w:r w:rsidR="00746E66">
        <w:rPr>
          <w:rFonts w:ascii="Book Antiqua" w:hAnsi="Book Antiqua"/>
        </w:rPr>
        <w:t xml:space="preserve"> a Facebook page</w:t>
      </w:r>
      <w:r w:rsidR="001B1963">
        <w:rPr>
          <w:rFonts w:ascii="Book Antiqua" w:hAnsi="Book Antiqua"/>
        </w:rPr>
        <w:t>.</w:t>
      </w:r>
    </w:p>
    <w:p w:rsidR="00FF731C" w:rsidRDefault="00D5332A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Ms Loughran submitted in response that the use of </w:t>
      </w:r>
      <w:r w:rsidR="00C274DC">
        <w:rPr>
          <w:rFonts w:ascii="Book Antiqua" w:hAnsi="Book Antiqua"/>
        </w:rPr>
        <w:t xml:space="preserve">a series of </w:t>
      </w:r>
      <w:r>
        <w:rPr>
          <w:rFonts w:ascii="Book Antiqua" w:hAnsi="Book Antiqua"/>
        </w:rPr>
        <w:t xml:space="preserve">look-outs is not </w:t>
      </w:r>
      <w:r w:rsidR="00AD0067">
        <w:rPr>
          <w:rFonts w:ascii="Book Antiqua" w:hAnsi="Book Antiqua"/>
        </w:rPr>
        <w:t xml:space="preserve">unlikely.  That is a reasonable enough counter-argument on one </w:t>
      </w:r>
      <w:r w:rsidR="00AF0D4D">
        <w:rPr>
          <w:rFonts w:ascii="Book Antiqua" w:hAnsi="Book Antiqua"/>
        </w:rPr>
        <w:t xml:space="preserve">matter </w:t>
      </w:r>
      <w:r w:rsidR="00AD0067">
        <w:rPr>
          <w:rFonts w:ascii="Book Antiqua" w:hAnsi="Book Antiqua"/>
        </w:rPr>
        <w:t xml:space="preserve">of fact, but </w:t>
      </w:r>
      <w:r w:rsidR="00AB59DF">
        <w:rPr>
          <w:rFonts w:ascii="Book Antiqua" w:hAnsi="Book Antiqua"/>
        </w:rPr>
        <w:t xml:space="preserve">not one to be found in the grounds, and </w:t>
      </w:r>
      <w:r w:rsidR="00AD0067">
        <w:rPr>
          <w:rFonts w:ascii="Book Antiqua" w:hAnsi="Book Antiqua"/>
        </w:rPr>
        <w:t xml:space="preserve">it </w:t>
      </w:r>
      <w:r w:rsidR="00D34431">
        <w:rPr>
          <w:rFonts w:ascii="Book Antiqua" w:hAnsi="Book Antiqua"/>
        </w:rPr>
        <w:t>remains</w:t>
      </w:r>
      <w:r w:rsidR="00AD0067">
        <w:rPr>
          <w:rFonts w:ascii="Book Antiqua" w:hAnsi="Book Antiqua"/>
        </w:rPr>
        <w:t xml:space="preserve"> clear that </w:t>
      </w:r>
      <w:r w:rsidR="004173E0">
        <w:rPr>
          <w:rFonts w:ascii="Book Antiqua" w:hAnsi="Book Antiqua"/>
        </w:rPr>
        <w:t xml:space="preserve">the judge gave </w:t>
      </w:r>
      <w:r w:rsidR="00AB59DF">
        <w:rPr>
          <w:rFonts w:ascii="Book Antiqua" w:hAnsi="Book Antiqua"/>
        </w:rPr>
        <w:t>several</w:t>
      </w:r>
      <w:r w:rsidR="00D56EC3">
        <w:rPr>
          <w:rFonts w:ascii="Book Antiqua" w:hAnsi="Book Antiqua"/>
        </w:rPr>
        <w:t xml:space="preserve"> </w:t>
      </w:r>
      <w:r w:rsidR="00FF731C">
        <w:rPr>
          <w:rFonts w:ascii="Book Antiqua" w:hAnsi="Book Antiqua"/>
        </w:rPr>
        <w:t>reason</w:t>
      </w:r>
      <w:r w:rsidR="00D56EC3">
        <w:rPr>
          <w:rFonts w:ascii="Book Antiqua" w:hAnsi="Book Antiqua"/>
        </w:rPr>
        <w:t>s</w:t>
      </w:r>
      <w:r w:rsidR="00FF731C">
        <w:rPr>
          <w:rFonts w:ascii="Book Antiqua" w:hAnsi="Book Antiqua"/>
        </w:rPr>
        <w:t xml:space="preserve"> </w:t>
      </w:r>
      <w:r w:rsidR="004173E0">
        <w:rPr>
          <w:rFonts w:ascii="Book Antiqua" w:hAnsi="Book Antiqua"/>
        </w:rPr>
        <w:t>for finding the appellant not generally credible</w:t>
      </w:r>
      <w:r w:rsidR="00FF731C">
        <w:rPr>
          <w:rFonts w:ascii="Book Antiqua" w:hAnsi="Book Antiqua"/>
        </w:rPr>
        <w:t>.</w:t>
      </w:r>
    </w:p>
    <w:p w:rsidR="00992F19" w:rsidRDefault="00FF731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third point </w:t>
      </w:r>
      <w:r w:rsidR="00DE01EB">
        <w:rPr>
          <w:rFonts w:ascii="Book Antiqua" w:hAnsi="Book Antiqua"/>
        </w:rPr>
        <w:t>in</w:t>
      </w:r>
      <w:r>
        <w:rPr>
          <w:rFonts w:ascii="Book Antiqua" w:hAnsi="Book Antiqua"/>
        </w:rPr>
        <w:t xml:space="preserve"> the grounds </w:t>
      </w:r>
      <w:r w:rsidR="00E6326B">
        <w:rPr>
          <w:rFonts w:ascii="Book Antiqua" w:hAnsi="Book Antiqua"/>
        </w:rPr>
        <w:t>relates to the appellant’s postings on Facebook, a case o</w:t>
      </w:r>
      <w:r w:rsidR="00DA675E">
        <w:rPr>
          <w:rFonts w:ascii="Book Antiqua" w:hAnsi="Book Antiqua"/>
        </w:rPr>
        <w:t>f</w:t>
      </w:r>
      <w:r w:rsidR="00E6326B">
        <w:rPr>
          <w:rFonts w:ascii="Book Antiqua" w:hAnsi="Book Antiqua"/>
        </w:rPr>
        <w:t xml:space="preserve"> risk arising</w:t>
      </w:r>
      <w:r w:rsidR="00A718B9">
        <w:rPr>
          <w:rFonts w:ascii="Book Antiqua" w:hAnsi="Book Antiqua"/>
        </w:rPr>
        <w:t xml:space="preserve"> from</w:t>
      </w:r>
      <w:r w:rsidR="00B04E98">
        <w:rPr>
          <w:rFonts w:ascii="Book Antiqua" w:hAnsi="Book Antiqua"/>
        </w:rPr>
        <w:t xml:space="preserve"> </w:t>
      </w:r>
      <w:r w:rsidR="00B04E98" w:rsidRPr="00B04E98">
        <w:rPr>
          <w:rFonts w:ascii="Book Antiqua" w:hAnsi="Book Antiqua"/>
          <w:i/>
        </w:rPr>
        <w:t>sur place</w:t>
      </w:r>
      <w:r w:rsidR="00B04E98">
        <w:rPr>
          <w:rFonts w:ascii="Book Antiqua" w:hAnsi="Book Antiqua"/>
        </w:rPr>
        <w:t xml:space="preserve"> activities</w:t>
      </w:r>
      <w:r w:rsidR="00A718B9">
        <w:rPr>
          <w:rFonts w:ascii="Book Antiqua" w:hAnsi="Book Antiqua"/>
        </w:rPr>
        <w:t>.</w:t>
      </w:r>
      <w:r w:rsidR="0041598D">
        <w:rPr>
          <w:rFonts w:ascii="Book Antiqua" w:hAnsi="Book Antiqua"/>
        </w:rPr>
        <w:t xml:space="preserve">  It was argued that the judge </w:t>
      </w:r>
      <w:r w:rsidR="00A718B9">
        <w:rPr>
          <w:rFonts w:ascii="Book Antiqua" w:hAnsi="Book Antiqua"/>
        </w:rPr>
        <w:t>overlook</w:t>
      </w:r>
      <w:r w:rsidR="00703283">
        <w:rPr>
          <w:rFonts w:ascii="Book Antiqua" w:hAnsi="Book Antiqua"/>
        </w:rPr>
        <w:t>ed (a)</w:t>
      </w:r>
      <w:r w:rsidR="00A718B9">
        <w:rPr>
          <w:rFonts w:ascii="Book Antiqua" w:hAnsi="Book Antiqua"/>
        </w:rPr>
        <w:t xml:space="preserve"> that it is </w:t>
      </w:r>
      <w:r w:rsidR="002327CD">
        <w:rPr>
          <w:rFonts w:ascii="Book Antiqua" w:hAnsi="Book Antiqua"/>
        </w:rPr>
        <w:t xml:space="preserve">irrelevant whether </w:t>
      </w:r>
      <w:r w:rsidR="0041598D">
        <w:rPr>
          <w:rFonts w:ascii="Book Antiqua" w:hAnsi="Book Antiqua"/>
        </w:rPr>
        <w:t>the activities</w:t>
      </w:r>
      <w:r w:rsidR="002327CD">
        <w:rPr>
          <w:rFonts w:ascii="Book Antiqua" w:hAnsi="Book Antiqua"/>
        </w:rPr>
        <w:t xml:space="preserve"> were undertaken in bad faith, and </w:t>
      </w:r>
      <w:r w:rsidR="00703283">
        <w:rPr>
          <w:rFonts w:ascii="Book Antiqua" w:hAnsi="Book Antiqua"/>
        </w:rPr>
        <w:t>(b)</w:t>
      </w:r>
      <w:r w:rsidR="00A718B9">
        <w:rPr>
          <w:rFonts w:ascii="Book Antiqua" w:hAnsi="Book Antiqua"/>
        </w:rPr>
        <w:t xml:space="preserve"> </w:t>
      </w:r>
      <w:r w:rsidR="002009A6">
        <w:rPr>
          <w:rFonts w:ascii="Book Antiqua" w:hAnsi="Book Antiqua"/>
        </w:rPr>
        <w:t xml:space="preserve">the </w:t>
      </w:r>
      <w:r w:rsidR="00D56EC3">
        <w:rPr>
          <w:rFonts w:ascii="Book Antiqua" w:hAnsi="Book Antiqua"/>
        </w:rPr>
        <w:t xml:space="preserve">background </w:t>
      </w:r>
      <w:r w:rsidR="002009A6">
        <w:rPr>
          <w:rFonts w:ascii="Book Antiqua" w:hAnsi="Book Antiqua"/>
        </w:rPr>
        <w:t xml:space="preserve">evidence, highlighted in a key passages </w:t>
      </w:r>
      <w:r w:rsidR="00D36319">
        <w:rPr>
          <w:rFonts w:ascii="Book Antiqua" w:hAnsi="Book Antiqua"/>
        </w:rPr>
        <w:t>index</w:t>
      </w:r>
      <w:r w:rsidR="00D56EC3">
        <w:rPr>
          <w:rFonts w:ascii="Book Antiqua" w:hAnsi="Book Antiqua"/>
        </w:rPr>
        <w:t xml:space="preserve"> </w:t>
      </w:r>
      <w:r w:rsidR="00D84A1E">
        <w:rPr>
          <w:rFonts w:ascii="Book Antiqua" w:hAnsi="Book Antiqua"/>
        </w:rPr>
        <w:t xml:space="preserve">before the FtT </w:t>
      </w:r>
      <w:r w:rsidR="00D56EC3">
        <w:rPr>
          <w:rFonts w:ascii="Book Antiqua" w:hAnsi="Book Antiqua"/>
        </w:rPr>
        <w:t>and in the grounds of appeal to the UT.</w:t>
      </w:r>
    </w:p>
    <w:p w:rsidR="004743ED" w:rsidRDefault="00E172B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Ms Loughran said it could fairly be deduced from the passages quoted about internet surveillance that the Iranian authorities might detect the appellant’s</w:t>
      </w:r>
      <w:r w:rsidR="00B04E9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Facebook activities</w:t>
      </w:r>
      <w:r w:rsidR="00D84A4E">
        <w:rPr>
          <w:rFonts w:ascii="Book Antiqua" w:hAnsi="Book Antiqua"/>
        </w:rPr>
        <w:t xml:space="preserve">.  </w:t>
      </w:r>
      <w:r w:rsidR="00992F19">
        <w:rPr>
          <w:rFonts w:ascii="Book Antiqua" w:hAnsi="Book Antiqua"/>
        </w:rPr>
        <w:t>Although t</w:t>
      </w:r>
      <w:r w:rsidR="00D84A4E">
        <w:rPr>
          <w:rFonts w:ascii="Book Antiqua" w:hAnsi="Book Antiqua"/>
        </w:rPr>
        <w:t>here was no evidence specifically about surveillance of F</w:t>
      </w:r>
      <w:r w:rsidR="004743ED">
        <w:rPr>
          <w:rFonts w:ascii="Book Antiqua" w:hAnsi="Book Antiqua"/>
        </w:rPr>
        <w:t>ace</w:t>
      </w:r>
      <w:r w:rsidR="00D84A4E">
        <w:rPr>
          <w:rFonts w:ascii="Book Antiqua" w:hAnsi="Book Antiqua"/>
        </w:rPr>
        <w:t xml:space="preserve">book, </w:t>
      </w:r>
      <w:r w:rsidR="00082962">
        <w:rPr>
          <w:rFonts w:ascii="Book Antiqua" w:hAnsi="Book Antiqua"/>
        </w:rPr>
        <w:t>it</w:t>
      </w:r>
      <w:r w:rsidR="00D84A4E">
        <w:rPr>
          <w:rFonts w:ascii="Book Antiqua" w:hAnsi="Book Antiqua"/>
        </w:rPr>
        <w:t xml:space="preserve"> is </w:t>
      </w:r>
      <w:r w:rsidR="004743ED">
        <w:rPr>
          <w:rFonts w:ascii="Book Antiqua" w:hAnsi="Book Antiqua"/>
        </w:rPr>
        <w:t xml:space="preserve">part of the internet.  She accepted that the appellant’s </w:t>
      </w:r>
      <w:r w:rsidR="00EC4A9D">
        <w:rPr>
          <w:rFonts w:ascii="Book Antiqua" w:hAnsi="Book Antiqua"/>
        </w:rPr>
        <w:t xml:space="preserve">Facebook </w:t>
      </w:r>
      <w:r w:rsidR="004743ED">
        <w:rPr>
          <w:rFonts w:ascii="Book Antiqua" w:hAnsi="Book Antiqua"/>
        </w:rPr>
        <w:t>account would be within his control, that he could delete postings</w:t>
      </w:r>
      <w:r w:rsidR="002C4D19">
        <w:rPr>
          <w:rFonts w:ascii="Book Antiqua" w:hAnsi="Book Antiqua"/>
        </w:rPr>
        <w:t xml:space="preserve">, </w:t>
      </w:r>
      <w:r w:rsidR="003C424B">
        <w:rPr>
          <w:rFonts w:ascii="Book Antiqua" w:hAnsi="Book Antiqua"/>
        </w:rPr>
        <w:t>and</w:t>
      </w:r>
      <w:r w:rsidR="00082962">
        <w:rPr>
          <w:rFonts w:ascii="Book Antiqua" w:hAnsi="Book Antiqua"/>
        </w:rPr>
        <w:t xml:space="preserve"> that there are many millions of postings on Facebook every day</w:t>
      </w:r>
      <w:r w:rsidR="003C424B">
        <w:rPr>
          <w:rFonts w:ascii="Book Antiqua" w:hAnsi="Book Antiqua"/>
        </w:rPr>
        <w:t>, as matters within public (even judicial) knowledge</w:t>
      </w:r>
      <w:r w:rsidR="00082962">
        <w:rPr>
          <w:rFonts w:ascii="Book Antiqua" w:hAnsi="Book Antiqua"/>
        </w:rPr>
        <w:t xml:space="preserve">.         </w:t>
      </w:r>
    </w:p>
    <w:p w:rsidR="001E49C6" w:rsidRDefault="001E14B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As to the outcome</w:t>
      </w:r>
      <w:r w:rsidR="004743ED">
        <w:rPr>
          <w:rFonts w:ascii="Book Antiqua" w:hAnsi="Book Antiqua"/>
        </w:rPr>
        <w:t>, Ms Loughran</w:t>
      </w:r>
      <w:r w:rsidR="00E964D7">
        <w:rPr>
          <w:rFonts w:ascii="Book Antiqua" w:hAnsi="Book Antiqua"/>
        </w:rPr>
        <w:t>’s position was</w:t>
      </w:r>
      <w:r w:rsidR="004743ED">
        <w:rPr>
          <w:rFonts w:ascii="Book Antiqua" w:hAnsi="Book Antiqua"/>
        </w:rPr>
        <w:t xml:space="preserve"> that </w:t>
      </w:r>
      <w:r w:rsidR="008A0621">
        <w:rPr>
          <w:rFonts w:ascii="Book Antiqua" w:hAnsi="Book Antiqua"/>
        </w:rPr>
        <w:t>ground</w:t>
      </w:r>
      <w:r w:rsidR="004743ED">
        <w:rPr>
          <w:rFonts w:ascii="Book Antiqua" w:hAnsi="Book Antiqua"/>
        </w:rPr>
        <w:t xml:space="preserve">s one and two </w:t>
      </w:r>
      <w:r w:rsidR="00E964D7">
        <w:rPr>
          <w:rFonts w:ascii="Book Antiqua" w:hAnsi="Book Antiqua"/>
        </w:rPr>
        <w:t xml:space="preserve">would </w:t>
      </w:r>
      <w:r w:rsidR="00D86612">
        <w:rPr>
          <w:rFonts w:ascii="Book Antiqua" w:hAnsi="Book Antiqua"/>
        </w:rPr>
        <w:t>require a fresh hearing in the FtT, whi</w:t>
      </w:r>
      <w:r w:rsidR="00BF42A2">
        <w:rPr>
          <w:rFonts w:ascii="Book Antiqua" w:hAnsi="Book Antiqua"/>
        </w:rPr>
        <w:t xml:space="preserve">le </w:t>
      </w:r>
      <w:r w:rsidR="008A0621">
        <w:rPr>
          <w:rFonts w:ascii="Book Antiqua" w:hAnsi="Book Antiqua"/>
        </w:rPr>
        <w:t>ground</w:t>
      </w:r>
      <w:r w:rsidR="00BF42A2">
        <w:rPr>
          <w:rFonts w:ascii="Book Antiqua" w:hAnsi="Book Antiqua"/>
        </w:rPr>
        <w:t xml:space="preserve"> three showed an error which could be corrected by the UT.  If set aside on that issue, </w:t>
      </w:r>
      <w:r w:rsidR="00E964D7">
        <w:rPr>
          <w:rFonts w:ascii="Book Antiqua" w:hAnsi="Book Antiqua"/>
        </w:rPr>
        <w:t xml:space="preserve">she argued, </w:t>
      </w:r>
      <w:r w:rsidR="00BF42A2">
        <w:rPr>
          <w:rFonts w:ascii="Book Antiqua" w:hAnsi="Book Antiqua"/>
        </w:rPr>
        <w:t>a decision should be substituted</w:t>
      </w:r>
      <w:r w:rsidR="009D2308">
        <w:rPr>
          <w:rFonts w:ascii="Book Antiqua" w:hAnsi="Book Antiqua"/>
        </w:rPr>
        <w:t>,</w:t>
      </w:r>
      <w:r w:rsidR="00BF42A2">
        <w:rPr>
          <w:rFonts w:ascii="Book Antiqua" w:hAnsi="Book Antiqua"/>
        </w:rPr>
        <w:t xml:space="preserve"> allowing the appeal.</w:t>
      </w:r>
    </w:p>
    <w:p w:rsidR="0054423E" w:rsidRDefault="00E30D8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</w:t>
      </w:r>
      <w:r w:rsidR="00EE4B89">
        <w:rPr>
          <w:rFonts w:ascii="Book Antiqua" w:hAnsi="Book Antiqua"/>
        </w:rPr>
        <w:t xml:space="preserve"> </w:t>
      </w:r>
      <w:r w:rsidR="001E25C9">
        <w:rPr>
          <w:rFonts w:ascii="Book Antiqua" w:hAnsi="Book Antiqua"/>
        </w:rPr>
        <w:t>evidence of the</w:t>
      </w:r>
      <w:r>
        <w:rPr>
          <w:rFonts w:ascii="Book Antiqua" w:hAnsi="Book Antiqua"/>
        </w:rPr>
        <w:t xml:space="preserve"> Facebook account</w:t>
      </w:r>
      <w:r w:rsidR="00EE4B89">
        <w:rPr>
          <w:rFonts w:ascii="Book Antiqua" w:hAnsi="Book Antiqua"/>
        </w:rPr>
        <w:t xml:space="preserve"> is</w:t>
      </w:r>
      <w:r w:rsidR="001E25C9">
        <w:rPr>
          <w:rFonts w:ascii="Book Antiqua" w:hAnsi="Book Antiqua"/>
        </w:rPr>
        <w:t xml:space="preserve"> </w:t>
      </w:r>
      <w:r w:rsidR="00D53C7C">
        <w:rPr>
          <w:rFonts w:ascii="Book Antiqua" w:hAnsi="Book Antiqua"/>
        </w:rPr>
        <w:t xml:space="preserve">in the appellant’s </w:t>
      </w:r>
      <w:r w:rsidR="00EE4B89">
        <w:rPr>
          <w:rFonts w:ascii="Book Antiqua" w:hAnsi="Book Antiqua"/>
        </w:rPr>
        <w:t xml:space="preserve">FtT </w:t>
      </w:r>
      <w:r w:rsidR="00D53C7C">
        <w:rPr>
          <w:rFonts w:ascii="Book Antiqua" w:hAnsi="Book Antiqua"/>
        </w:rPr>
        <w:t xml:space="preserve">Inventory III, running to 28 pages.  These are mainly in English, </w:t>
      </w:r>
      <w:r w:rsidR="001F659F">
        <w:rPr>
          <w:rFonts w:ascii="Book Antiqua" w:hAnsi="Book Antiqua"/>
        </w:rPr>
        <w:t>but</w:t>
      </w:r>
      <w:r w:rsidR="00D53C7C">
        <w:rPr>
          <w:rFonts w:ascii="Book Antiqua" w:hAnsi="Book Antiqua"/>
        </w:rPr>
        <w:t xml:space="preserve"> also in other untranslated languages, including German.  It is not obvious that it is an account in name of the appellant, but that </w:t>
      </w:r>
      <w:r w:rsidR="0075312E">
        <w:rPr>
          <w:rFonts w:ascii="Book Antiqua" w:hAnsi="Book Antiqua"/>
        </w:rPr>
        <w:t>may be taken</w:t>
      </w:r>
      <w:r w:rsidR="00D53C7C">
        <w:rPr>
          <w:rFonts w:ascii="Book Antiqua" w:hAnsi="Book Antiqua"/>
        </w:rPr>
        <w:t xml:space="preserve"> as he claims.  </w:t>
      </w:r>
      <w:r w:rsidR="00A6449D">
        <w:rPr>
          <w:rFonts w:ascii="Book Antiqua" w:hAnsi="Book Antiqua"/>
        </w:rPr>
        <w:t>The</w:t>
      </w:r>
      <w:r w:rsidR="002C2559">
        <w:rPr>
          <w:rFonts w:ascii="Book Antiqua" w:hAnsi="Book Antiqua"/>
        </w:rPr>
        <w:t xml:space="preserve"> pages include</w:t>
      </w:r>
      <w:r w:rsidR="00A6449D">
        <w:rPr>
          <w:rFonts w:ascii="Book Antiqua" w:hAnsi="Book Antiqua"/>
        </w:rPr>
        <w:t xml:space="preserve"> material, mainly photographic, which clearly enough </w:t>
      </w:r>
      <w:r w:rsidR="0054423E">
        <w:rPr>
          <w:rFonts w:ascii="Book Antiqua" w:hAnsi="Book Antiqua"/>
        </w:rPr>
        <w:t>relates</w:t>
      </w:r>
      <w:r w:rsidR="00A6449D">
        <w:rPr>
          <w:rFonts w:ascii="Book Antiqua" w:hAnsi="Book Antiqua"/>
        </w:rPr>
        <w:t xml:space="preserve"> to oppression of Kurds by the </w:t>
      </w:r>
      <w:r w:rsidR="0054423E">
        <w:rPr>
          <w:rFonts w:ascii="Book Antiqua" w:hAnsi="Book Antiqua"/>
        </w:rPr>
        <w:t>Iranian</w:t>
      </w:r>
      <w:r w:rsidR="00A6449D">
        <w:rPr>
          <w:rFonts w:ascii="Book Antiqua" w:hAnsi="Book Antiqua"/>
        </w:rPr>
        <w:t xml:space="preserve"> authorities</w:t>
      </w:r>
      <w:r w:rsidR="002C2559">
        <w:rPr>
          <w:rFonts w:ascii="Book Antiqua" w:hAnsi="Book Antiqua"/>
        </w:rPr>
        <w:t>.</w:t>
      </w:r>
      <w:r w:rsidR="00084902">
        <w:rPr>
          <w:rFonts w:ascii="Book Antiqua" w:hAnsi="Book Antiqua"/>
        </w:rPr>
        <w:t xml:space="preserve"> </w:t>
      </w:r>
      <w:r w:rsidR="002C2559">
        <w:rPr>
          <w:rFonts w:ascii="Book Antiqua" w:hAnsi="Book Antiqua"/>
        </w:rPr>
        <w:t xml:space="preserve">  T</w:t>
      </w:r>
      <w:r w:rsidR="00A6449D">
        <w:rPr>
          <w:rFonts w:ascii="Book Antiqua" w:hAnsi="Book Antiqua"/>
        </w:rPr>
        <w:t xml:space="preserve">here are references to </w:t>
      </w:r>
      <w:r w:rsidR="008B520B">
        <w:rPr>
          <w:rFonts w:ascii="Book Antiqua" w:hAnsi="Book Antiqua"/>
        </w:rPr>
        <w:t>the “PDKI” and to “PDKI Scotland”</w:t>
      </w:r>
      <w:r w:rsidR="0054423E">
        <w:rPr>
          <w:rFonts w:ascii="Book Antiqua" w:hAnsi="Book Antiqua"/>
        </w:rPr>
        <w:t>, some of whose posts appear to be shared on the pages.</w:t>
      </w:r>
    </w:p>
    <w:p w:rsidR="00DD4D83" w:rsidRDefault="00E11D9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first </w:t>
      </w:r>
      <w:r w:rsidR="00DD4D83">
        <w:rPr>
          <w:rFonts w:ascii="Book Antiqua" w:hAnsi="Book Antiqua"/>
        </w:rPr>
        <w:t>background</w:t>
      </w:r>
      <w:r>
        <w:rPr>
          <w:rFonts w:ascii="Book Antiqua" w:hAnsi="Book Antiqua"/>
        </w:rPr>
        <w:t xml:space="preserve"> source cited is the US State Dept </w:t>
      </w:r>
      <w:r w:rsidR="00DD4D83">
        <w:rPr>
          <w:rFonts w:ascii="Book Antiqua" w:hAnsi="Book Antiqua"/>
        </w:rPr>
        <w:t>R</w:t>
      </w:r>
      <w:r>
        <w:rPr>
          <w:rFonts w:ascii="Book Antiqua" w:hAnsi="Book Antiqua"/>
        </w:rPr>
        <w:t>eport</w:t>
      </w:r>
      <w:r w:rsidR="00DD4D83">
        <w:rPr>
          <w:rFonts w:ascii="Book Antiqua" w:hAnsi="Book Antiqua"/>
        </w:rPr>
        <w:t xml:space="preserve"> 2015:</w:t>
      </w:r>
    </w:p>
    <w:p w:rsidR="009E75DF" w:rsidRPr="001F659F" w:rsidRDefault="00DD4D83" w:rsidP="001F659F">
      <w:pPr>
        <w:spacing w:before="240"/>
        <w:ind w:left="720"/>
        <w:jc w:val="both"/>
        <w:rPr>
          <w:rFonts w:ascii="Book Antiqua" w:hAnsi="Book Antiqua"/>
          <w:sz w:val="20"/>
          <w:szCs w:val="20"/>
        </w:rPr>
      </w:pPr>
      <w:r w:rsidRPr="001F659F">
        <w:rPr>
          <w:rFonts w:ascii="Book Antiqua" w:hAnsi="Book Antiqua"/>
          <w:sz w:val="20"/>
          <w:szCs w:val="20"/>
        </w:rPr>
        <w:t>The government restricted and disrupted access to the internet, monitored private online communications</w:t>
      </w:r>
      <w:r w:rsidR="0037341F" w:rsidRPr="001F659F">
        <w:rPr>
          <w:rFonts w:ascii="Book Antiqua" w:hAnsi="Book Antiqua"/>
          <w:sz w:val="20"/>
          <w:szCs w:val="20"/>
        </w:rPr>
        <w:t>, and censored online content</w:t>
      </w:r>
      <w:r w:rsidR="009E75DF" w:rsidRPr="001F659F">
        <w:rPr>
          <w:rFonts w:ascii="Book Antiqua" w:hAnsi="Book Antiqua"/>
          <w:sz w:val="20"/>
          <w:szCs w:val="20"/>
        </w:rPr>
        <w:t>…</w:t>
      </w:r>
    </w:p>
    <w:p w:rsidR="006537A8" w:rsidRDefault="009E75D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second </w:t>
      </w:r>
      <w:r w:rsidR="00610D4E">
        <w:rPr>
          <w:rFonts w:ascii="Book Antiqua" w:hAnsi="Book Antiqua"/>
        </w:rPr>
        <w:t>reference is not clearly given</w:t>
      </w:r>
      <w:r w:rsidR="006537A8">
        <w:rPr>
          <w:rFonts w:ascii="Book Antiqua" w:hAnsi="Book Antiqua"/>
        </w:rPr>
        <w:t>, but is to the effect of information that</w:t>
      </w:r>
      <w:r w:rsidR="00DF7239">
        <w:rPr>
          <w:rFonts w:ascii="Book Antiqua" w:hAnsi="Book Antiqua"/>
        </w:rPr>
        <w:t>:</w:t>
      </w:r>
    </w:p>
    <w:p w:rsidR="002F1A1A" w:rsidRPr="001F659F" w:rsidRDefault="000A3CA6" w:rsidP="001F659F">
      <w:pPr>
        <w:spacing w:before="240"/>
        <w:ind w:left="720"/>
        <w:jc w:val="both"/>
        <w:rPr>
          <w:rFonts w:ascii="Book Antiqua" w:hAnsi="Book Antiqua"/>
          <w:sz w:val="20"/>
          <w:szCs w:val="20"/>
        </w:rPr>
      </w:pPr>
      <w:r w:rsidRPr="001F659F">
        <w:rPr>
          <w:rFonts w:ascii="Book Antiqua" w:hAnsi="Book Antiqua"/>
          <w:sz w:val="20"/>
          <w:szCs w:val="20"/>
        </w:rPr>
        <w:t>… m</w:t>
      </w:r>
      <w:r w:rsidR="006537A8" w:rsidRPr="001F659F">
        <w:rPr>
          <w:rFonts w:ascii="Book Antiqua" w:hAnsi="Book Antiqua"/>
          <w:sz w:val="20"/>
          <w:szCs w:val="20"/>
        </w:rPr>
        <w:t xml:space="preserve">onitoring is </w:t>
      </w:r>
      <w:r w:rsidR="002D0B8D" w:rsidRPr="001F659F">
        <w:rPr>
          <w:rFonts w:ascii="Book Antiqua" w:hAnsi="Book Antiqua"/>
          <w:sz w:val="20"/>
          <w:szCs w:val="20"/>
        </w:rPr>
        <w:t>conducted through wiretapping of phones and internet connections</w:t>
      </w:r>
      <w:r w:rsidRPr="001F659F">
        <w:rPr>
          <w:rFonts w:ascii="Book Antiqua" w:hAnsi="Book Antiqua"/>
          <w:sz w:val="20"/>
          <w:szCs w:val="20"/>
        </w:rPr>
        <w:t xml:space="preserve"> …</w:t>
      </w:r>
      <w:r w:rsidR="002D0B8D" w:rsidRPr="001F659F">
        <w:rPr>
          <w:rFonts w:ascii="Book Antiqua" w:hAnsi="Book Antiqua"/>
          <w:sz w:val="20"/>
          <w:szCs w:val="20"/>
        </w:rPr>
        <w:t xml:space="preserve"> </w:t>
      </w:r>
    </w:p>
    <w:p w:rsidR="00084902" w:rsidRDefault="00084902" w:rsidP="00202C7D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 accept that information as accurate.  How far might it have taken the appellant?</w:t>
      </w:r>
    </w:p>
    <w:p w:rsidR="00637A74" w:rsidRDefault="001F659F" w:rsidP="00202C7D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internet is vast</w:t>
      </w:r>
      <w:r w:rsidR="00637A74">
        <w:rPr>
          <w:rFonts w:ascii="Book Antiqua" w:hAnsi="Book Antiqua"/>
        </w:rPr>
        <w:t xml:space="preserve">, and within it Facebook is huge.  However, I also note that </w:t>
      </w:r>
      <w:r w:rsidR="001B7EFB">
        <w:rPr>
          <w:rFonts w:ascii="Book Antiqua" w:hAnsi="Book Antiqua"/>
        </w:rPr>
        <w:t>the internet</w:t>
      </w:r>
      <w:r w:rsidR="00637A74">
        <w:rPr>
          <w:rFonts w:ascii="Book Antiqua" w:hAnsi="Book Antiqua"/>
        </w:rPr>
        <w:t xml:space="preserve"> is easily searched, even without tools available to intelligence agencies.</w:t>
      </w:r>
    </w:p>
    <w:p w:rsidR="0066220A" w:rsidRDefault="0066220A" w:rsidP="00202C7D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 w:rsidR="00B761D2">
        <w:rPr>
          <w:rFonts w:ascii="Book Antiqua" w:hAnsi="Book Antiqua"/>
        </w:rPr>
        <w:t>a</w:t>
      </w:r>
      <w:r>
        <w:rPr>
          <w:rFonts w:ascii="Book Antiqua" w:hAnsi="Book Antiqua"/>
        </w:rPr>
        <w:t xml:space="preserve">ppellant’s </w:t>
      </w:r>
      <w:r w:rsidR="00B761D2">
        <w:rPr>
          <w:rFonts w:ascii="Book Antiqua" w:hAnsi="Book Antiqua"/>
        </w:rPr>
        <w:t>Facebook</w:t>
      </w:r>
      <w:r>
        <w:rPr>
          <w:rFonts w:ascii="Book Antiqua" w:hAnsi="Book Antiqua"/>
        </w:rPr>
        <w:t xml:space="preserve"> </w:t>
      </w:r>
      <w:r w:rsidR="00B761D2">
        <w:rPr>
          <w:rFonts w:ascii="Book Antiqua" w:hAnsi="Book Antiqua"/>
        </w:rPr>
        <w:t>activities</w:t>
      </w:r>
      <w:r>
        <w:rPr>
          <w:rFonts w:ascii="Book Antiqua" w:hAnsi="Book Antiqua"/>
        </w:rPr>
        <w:t xml:space="preserve"> </w:t>
      </w:r>
      <w:r w:rsidR="00B761D2">
        <w:rPr>
          <w:rFonts w:ascii="Book Antiqua" w:hAnsi="Book Antiqua"/>
        </w:rPr>
        <w:t>consist</w:t>
      </w:r>
      <w:r>
        <w:rPr>
          <w:rFonts w:ascii="Book Antiqua" w:hAnsi="Book Antiqua"/>
        </w:rPr>
        <w:t xml:space="preserve"> </w:t>
      </w:r>
      <w:r w:rsidR="00B761D2">
        <w:rPr>
          <w:rFonts w:ascii="Book Antiqua" w:hAnsi="Book Antiqua"/>
        </w:rPr>
        <w:t xml:space="preserve">of </w:t>
      </w:r>
      <w:r w:rsidR="00024E34">
        <w:rPr>
          <w:rFonts w:ascii="Book Antiqua" w:hAnsi="Book Antiqua"/>
        </w:rPr>
        <w:t>lifting</w:t>
      </w:r>
      <w:r w:rsidR="002C1CE2">
        <w:rPr>
          <w:rFonts w:ascii="Book Antiqua" w:hAnsi="Book Antiqua"/>
        </w:rPr>
        <w:t xml:space="preserve"> onto</w:t>
      </w:r>
      <w:r w:rsidR="00B761D2">
        <w:rPr>
          <w:rFonts w:ascii="Book Antiqua" w:hAnsi="Book Antiqua"/>
        </w:rPr>
        <w:t xml:space="preserve"> his page political materials likely to be offensive to the Iranian authorities, who treat Kurdish dissent </w:t>
      </w:r>
      <w:r w:rsidR="00B14654">
        <w:rPr>
          <w:rFonts w:ascii="Book Antiqua" w:hAnsi="Book Antiqua"/>
        </w:rPr>
        <w:t>very harshly</w:t>
      </w:r>
      <w:r w:rsidR="00B761D2">
        <w:rPr>
          <w:rFonts w:ascii="Book Antiqua" w:hAnsi="Book Antiqua"/>
        </w:rPr>
        <w:t>.</w:t>
      </w:r>
    </w:p>
    <w:p w:rsidR="00CD071A" w:rsidRDefault="00B14654" w:rsidP="00202C7D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 appellant produces evidence that the Iranian authorities </w:t>
      </w:r>
      <w:r w:rsidR="00CD071A">
        <w:rPr>
          <w:rFonts w:ascii="Book Antiqua" w:hAnsi="Book Antiqua"/>
        </w:rPr>
        <w:t xml:space="preserve">monitor the internet, but not that they are all-knowing about critical postings by </w:t>
      </w:r>
      <w:r w:rsidR="00035275">
        <w:rPr>
          <w:rFonts w:ascii="Book Antiqua" w:hAnsi="Book Antiqua"/>
        </w:rPr>
        <w:t>every</w:t>
      </w:r>
      <w:r w:rsidR="00CD071A">
        <w:rPr>
          <w:rFonts w:ascii="Book Antiqua" w:hAnsi="Book Antiqua"/>
        </w:rPr>
        <w:t xml:space="preserve"> citizen abroad.</w:t>
      </w:r>
      <w:r w:rsidR="00DE28CB">
        <w:rPr>
          <w:rFonts w:ascii="Book Antiqua" w:hAnsi="Book Antiqua"/>
        </w:rPr>
        <w:t xml:space="preserve">  The appellant </w:t>
      </w:r>
      <w:r w:rsidR="008E411C">
        <w:rPr>
          <w:rFonts w:ascii="Book Antiqua" w:hAnsi="Book Antiqua"/>
        </w:rPr>
        <w:t>has</w:t>
      </w:r>
      <w:r w:rsidR="00DE28CB">
        <w:rPr>
          <w:rFonts w:ascii="Book Antiqua" w:hAnsi="Book Antiqua"/>
        </w:rPr>
        <w:t xml:space="preserve"> </w:t>
      </w:r>
      <w:r w:rsidR="008E411C">
        <w:rPr>
          <w:rFonts w:ascii="Book Antiqua" w:hAnsi="Book Antiqua"/>
        </w:rPr>
        <w:t>failed to establish that</w:t>
      </w:r>
      <w:r w:rsidR="00DE28CB">
        <w:rPr>
          <w:rFonts w:ascii="Book Antiqua" w:hAnsi="Book Antiqua"/>
        </w:rPr>
        <w:t xml:space="preserve">, to date, they have any </w:t>
      </w:r>
      <w:r w:rsidR="008E411C">
        <w:rPr>
          <w:rFonts w:ascii="Book Antiqua" w:hAnsi="Book Antiqua"/>
        </w:rPr>
        <w:t>malice towards him</w:t>
      </w:r>
      <w:r w:rsidR="00DE28CB">
        <w:rPr>
          <w:rFonts w:ascii="Book Antiqua" w:hAnsi="Book Antiqua"/>
        </w:rPr>
        <w:t>.</w:t>
      </w:r>
    </w:p>
    <w:p w:rsidR="007E56A7" w:rsidRDefault="000E0B74" w:rsidP="00202C7D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appellant’s internet activities are not </w:t>
      </w:r>
      <w:r w:rsidR="003E2CAD">
        <w:rPr>
          <w:rFonts w:ascii="Book Antiqua" w:hAnsi="Book Antiqua"/>
        </w:rPr>
        <w:t>permanent</w:t>
      </w:r>
      <w:r w:rsidR="0079330E">
        <w:rPr>
          <w:rFonts w:ascii="Book Antiqua" w:hAnsi="Book Antiqua"/>
        </w:rPr>
        <w:t xml:space="preserve"> public</w:t>
      </w:r>
      <w:r w:rsidR="00AE5FA2">
        <w:rPr>
          <w:rFonts w:ascii="Book Antiqua" w:hAnsi="Book Antiqua"/>
        </w:rPr>
        <w:t xml:space="preserve"> news or comment items or </w:t>
      </w:r>
      <w:r w:rsidR="00967233">
        <w:rPr>
          <w:rFonts w:ascii="Book Antiqua" w:hAnsi="Book Antiqua"/>
        </w:rPr>
        <w:t>“</w:t>
      </w:r>
      <w:r w:rsidR="00AE5FA2">
        <w:rPr>
          <w:rFonts w:ascii="Book Antiqua" w:hAnsi="Book Antiqua"/>
        </w:rPr>
        <w:t>blogs</w:t>
      </w:r>
      <w:r w:rsidR="00967233">
        <w:rPr>
          <w:rFonts w:ascii="Book Antiqua" w:hAnsi="Book Antiqua"/>
        </w:rPr>
        <w:t>” in his name</w:t>
      </w:r>
      <w:r w:rsidR="0079330E">
        <w:rPr>
          <w:rFonts w:ascii="Book Antiqua" w:hAnsi="Book Antiqua"/>
        </w:rPr>
        <w:t xml:space="preserve">.  They are </w:t>
      </w:r>
      <w:r w:rsidR="00E80393">
        <w:rPr>
          <w:rFonts w:ascii="Book Antiqua" w:hAnsi="Book Antiqua"/>
        </w:rPr>
        <w:t xml:space="preserve">copies onto his </w:t>
      </w:r>
      <w:r>
        <w:rPr>
          <w:rFonts w:ascii="Book Antiqua" w:hAnsi="Book Antiqua"/>
        </w:rPr>
        <w:t>Facebook p</w:t>
      </w:r>
      <w:r w:rsidR="00E80393">
        <w:rPr>
          <w:rFonts w:ascii="Book Antiqua" w:hAnsi="Book Antiqua"/>
        </w:rPr>
        <w:t>age of items f</w:t>
      </w:r>
      <w:r w:rsidR="002D5A00">
        <w:rPr>
          <w:rFonts w:ascii="Book Antiqua" w:hAnsi="Book Antiqua"/>
        </w:rPr>
        <w:t>ro</w:t>
      </w:r>
      <w:r w:rsidR="00E80393">
        <w:rPr>
          <w:rFonts w:ascii="Book Antiqua" w:hAnsi="Book Antiqua"/>
        </w:rPr>
        <w:t>m elsewhere.  His page</w:t>
      </w:r>
      <w:r w:rsidR="00D72676">
        <w:rPr>
          <w:rFonts w:ascii="Book Antiqua" w:hAnsi="Book Antiqua"/>
        </w:rPr>
        <w:t xml:space="preserve">, access to it, </w:t>
      </w:r>
      <w:r w:rsidR="003E2CAD">
        <w:rPr>
          <w:rFonts w:ascii="Book Antiqua" w:hAnsi="Book Antiqua"/>
        </w:rPr>
        <w:t>and deletion of it in whole or in part, are under his control</w:t>
      </w:r>
      <w:r w:rsidR="00E80393">
        <w:rPr>
          <w:rFonts w:ascii="Book Antiqua" w:hAnsi="Book Antiqua"/>
        </w:rPr>
        <w:t>.</w:t>
      </w:r>
    </w:p>
    <w:p w:rsidR="001C7123" w:rsidRDefault="007E56A7" w:rsidP="00202C7D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appellant’s evidence does not s</w:t>
      </w:r>
      <w:r w:rsidR="001C7123">
        <w:rPr>
          <w:rFonts w:ascii="Book Antiqua" w:hAnsi="Book Antiqua"/>
        </w:rPr>
        <w:t>how it to be reasonably likely that hi</w:t>
      </w:r>
      <w:r>
        <w:rPr>
          <w:rFonts w:ascii="Book Antiqua" w:hAnsi="Book Antiqua"/>
        </w:rPr>
        <w:t>s obscure interne</w:t>
      </w:r>
      <w:r w:rsidR="001C7123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 activity </w:t>
      </w:r>
      <w:r w:rsidR="001C7123">
        <w:rPr>
          <w:rFonts w:ascii="Book Antiqua" w:hAnsi="Book Antiqua"/>
        </w:rPr>
        <w:t>may</w:t>
      </w:r>
      <w:r>
        <w:rPr>
          <w:rFonts w:ascii="Book Antiqua" w:hAnsi="Book Antiqua"/>
        </w:rPr>
        <w:t xml:space="preserve"> bring him to adverse attention of the Iranian</w:t>
      </w:r>
      <w:r w:rsidR="001C7123">
        <w:rPr>
          <w:rFonts w:ascii="Book Antiqua" w:hAnsi="Book Antiqua"/>
        </w:rPr>
        <w:t xml:space="preserve"> authorities.</w:t>
      </w:r>
      <w:r w:rsidR="002C5B29">
        <w:rPr>
          <w:rFonts w:ascii="Book Antiqua" w:hAnsi="Book Antiqua"/>
        </w:rPr>
        <w:t xml:space="preserve"> </w:t>
      </w:r>
      <w:r w:rsidR="001D5691">
        <w:rPr>
          <w:rFonts w:ascii="Book Antiqua" w:hAnsi="Book Antiqua"/>
        </w:rPr>
        <w:t xml:space="preserve"> He set up no chain of evidence by which that </w:t>
      </w:r>
      <w:r w:rsidR="00F20F66">
        <w:rPr>
          <w:rFonts w:ascii="Book Antiqua" w:hAnsi="Book Antiqua"/>
        </w:rPr>
        <w:t>might come about.</w:t>
      </w:r>
      <w:r w:rsidR="002C5B29">
        <w:rPr>
          <w:rFonts w:ascii="Book Antiqua" w:hAnsi="Book Antiqua"/>
        </w:rPr>
        <w:t xml:space="preserve"> </w:t>
      </w:r>
    </w:p>
    <w:p w:rsidR="00CD071A" w:rsidRDefault="00483FD8" w:rsidP="00202C7D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appellant’s activities</w:t>
      </w:r>
      <w:r w:rsidR="00E80393">
        <w:rPr>
          <w:rFonts w:ascii="Book Antiqua" w:hAnsi="Book Antiqua"/>
        </w:rPr>
        <w:t xml:space="preserve"> having been found to </w:t>
      </w:r>
      <w:r>
        <w:rPr>
          <w:rFonts w:ascii="Book Antiqua" w:hAnsi="Book Antiqua"/>
        </w:rPr>
        <w:t>be</w:t>
      </w:r>
      <w:r w:rsidR="00E80393">
        <w:rPr>
          <w:rFonts w:ascii="Book Antiqua" w:hAnsi="Book Antiqua"/>
        </w:rPr>
        <w:t xml:space="preserve"> in </w:t>
      </w:r>
      <w:r w:rsidR="007E56A7">
        <w:rPr>
          <w:rFonts w:ascii="Book Antiqua" w:hAnsi="Book Antiqua"/>
        </w:rPr>
        <w:t>bad faith, there is no reason to think that he would fail to delete</w:t>
      </w:r>
      <w:r>
        <w:rPr>
          <w:rFonts w:ascii="Book Antiqua" w:hAnsi="Book Antiqua"/>
        </w:rPr>
        <w:t xml:space="preserve"> </w:t>
      </w:r>
      <w:r w:rsidR="005005DE">
        <w:rPr>
          <w:rFonts w:ascii="Book Antiqua" w:hAnsi="Book Antiqua"/>
        </w:rPr>
        <w:t>potentially damaging material in advance of any risk of being associated with it on return to Iran.</w:t>
      </w:r>
    </w:p>
    <w:p w:rsidR="00AB0E5E" w:rsidRDefault="00CF7F80" w:rsidP="00202C7D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202C7D">
        <w:rPr>
          <w:rFonts w:ascii="Book Antiqua" w:hAnsi="Book Antiqua"/>
        </w:rPr>
        <w:t xml:space="preserve">he appellant’s Facebook activities, taken with the background evidence cited, disclose </w:t>
      </w:r>
      <w:r w:rsidR="0022645F">
        <w:rPr>
          <w:rFonts w:ascii="Book Antiqua" w:hAnsi="Book Antiqua"/>
        </w:rPr>
        <w:t>no real</w:t>
      </w:r>
      <w:r w:rsidR="00202C7D">
        <w:rPr>
          <w:rFonts w:ascii="Book Antiqua" w:hAnsi="Book Antiqua"/>
        </w:rPr>
        <w:t xml:space="preserve"> risk on return.</w:t>
      </w:r>
      <w:r w:rsidR="006E3D68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>Any</w:t>
      </w:r>
      <w:r w:rsidR="006E3D68">
        <w:rPr>
          <w:rFonts w:ascii="Book Antiqua" w:hAnsi="Book Antiqua"/>
        </w:rPr>
        <w:t xml:space="preserve"> error by the FtT does not require its decision to be set aside.</w:t>
      </w:r>
    </w:p>
    <w:p w:rsidR="00202C7D" w:rsidRDefault="006E3D68" w:rsidP="00202C7D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Alternatively, for the same reasons, I would substitute a decision, again dismissing the appeal.</w:t>
      </w:r>
    </w:p>
    <w:p w:rsidR="00321C6F" w:rsidRPr="00321C6F" w:rsidRDefault="00321C6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</w:t>
      </w:r>
      <w:r w:rsidR="008A64A7">
        <w:rPr>
          <w:rFonts w:ascii="Book Antiqua" w:hAnsi="Book Antiqua" w:cs="Arial"/>
        </w:rPr>
        <w:t>de</w:t>
      </w:r>
      <w:r w:rsidR="00DA3D04">
        <w:rPr>
          <w:rFonts w:ascii="Book Antiqua" w:hAnsi="Book Antiqua" w:cs="Arial"/>
        </w:rPr>
        <w:t>cision</w:t>
      </w:r>
      <w:r w:rsidR="008A64A7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of the First-tier Tribunal </w:t>
      </w:r>
      <w:r w:rsidR="008A64A7">
        <w:rPr>
          <w:rFonts w:ascii="Book Antiqua" w:hAnsi="Book Antiqua" w:cs="Arial"/>
        </w:rPr>
        <w:t>shall stand</w:t>
      </w:r>
      <w:r>
        <w:rPr>
          <w:rFonts w:ascii="Book Antiqua" w:hAnsi="Book Antiqua" w:cs="Arial"/>
        </w:rPr>
        <w:t>.</w:t>
      </w:r>
    </w:p>
    <w:p w:rsidR="00321C6F" w:rsidRPr="00A56832" w:rsidRDefault="00321C6F" w:rsidP="005A550B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No</w:t>
      </w:r>
      <w:r>
        <w:rPr>
          <w:rFonts w:ascii="Book Antiqua" w:hAnsi="Book Antiqua"/>
        </w:rPr>
        <w:t xml:space="preserve"> anonymity direction has been requested or made.  </w:t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5A550B">
        <w:rPr>
          <w:rFonts w:ascii="Book Antiqua" w:hAnsi="Book Antiqua" w:cs="Arial"/>
        </w:rPr>
        <w:t xml:space="preserve">17 July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266FFE" w:rsidRDefault="00266FFE"/>
    <w:p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19C" w:rsidRDefault="0018219C">
      <w:r>
        <w:separator/>
      </w:r>
    </w:p>
  </w:endnote>
  <w:endnote w:type="continuationSeparator" w:id="0">
    <w:p w:rsidR="0018219C" w:rsidRDefault="0018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2E6C6E">
      <w:rPr>
        <w:rStyle w:val="PageNumber"/>
        <w:rFonts w:ascii="Arial" w:hAnsi="Arial" w:cs="Arial"/>
        <w:noProof/>
        <w:sz w:val="16"/>
        <w:szCs w:val="16"/>
      </w:rPr>
      <w:t>4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B35729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19C" w:rsidRDefault="0018219C">
      <w:r>
        <w:separator/>
      </w:r>
    </w:p>
  </w:footnote>
  <w:footnote w:type="continuationSeparator" w:id="0">
    <w:p w:rsidR="0018219C" w:rsidRDefault="00182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3C5CE5" w:rsidRDefault="008D4782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B35729" w:rsidRPr="00B35729">
      <w:rPr>
        <w:rFonts w:ascii="Arial" w:hAnsi="Arial" w:cs="Arial"/>
        <w:sz w:val="16"/>
        <w:szCs w:val="16"/>
      </w:rPr>
      <w:t>PA/07189/2017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BE97B89-2915-49F5-9304-C111AA397223}"/>
    <w:docVar w:name="dgnword-eventsink" w:val="430929592"/>
  </w:docVars>
  <w:rsids>
    <w:rsidRoot w:val="00933B65"/>
    <w:rsid w:val="00005159"/>
    <w:rsid w:val="00007BAC"/>
    <w:rsid w:val="00024E34"/>
    <w:rsid w:val="00035275"/>
    <w:rsid w:val="000402DD"/>
    <w:rsid w:val="000507E6"/>
    <w:rsid w:val="00050F40"/>
    <w:rsid w:val="000777B7"/>
    <w:rsid w:val="00082962"/>
    <w:rsid w:val="00084902"/>
    <w:rsid w:val="00087C41"/>
    <w:rsid w:val="00096C86"/>
    <w:rsid w:val="000A3CA6"/>
    <w:rsid w:val="000B442A"/>
    <w:rsid w:val="000E0B74"/>
    <w:rsid w:val="001103E2"/>
    <w:rsid w:val="00117089"/>
    <w:rsid w:val="00161E9D"/>
    <w:rsid w:val="00172233"/>
    <w:rsid w:val="0018219C"/>
    <w:rsid w:val="00184269"/>
    <w:rsid w:val="001A52D7"/>
    <w:rsid w:val="001B1963"/>
    <w:rsid w:val="001B7EFB"/>
    <w:rsid w:val="001C7123"/>
    <w:rsid w:val="001D5691"/>
    <w:rsid w:val="001D6343"/>
    <w:rsid w:val="001E0145"/>
    <w:rsid w:val="001E14B6"/>
    <w:rsid w:val="001E25C9"/>
    <w:rsid w:val="001E49C6"/>
    <w:rsid w:val="001F3A81"/>
    <w:rsid w:val="001F659F"/>
    <w:rsid w:val="002009A6"/>
    <w:rsid w:val="00202C7D"/>
    <w:rsid w:val="002065B8"/>
    <w:rsid w:val="0020683D"/>
    <w:rsid w:val="002135A6"/>
    <w:rsid w:val="0021482E"/>
    <w:rsid w:val="002154EF"/>
    <w:rsid w:val="00224440"/>
    <w:rsid w:val="0022645F"/>
    <w:rsid w:val="002327CD"/>
    <w:rsid w:val="00245765"/>
    <w:rsid w:val="00266FFE"/>
    <w:rsid w:val="00273E44"/>
    <w:rsid w:val="002744A4"/>
    <w:rsid w:val="00274F92"/>
    <w:rsid w:val="002860B9"/>
    <w:rsid w:val="002B33FF"/>
    <w:rsid w:val="002C1CE2"/>
    <w:rsid w:val="002C2559"/>
    <w:rsid w:val="002C4D19"/>
    <w:rsid w:val="002C5B29"/>
    <w:rsid w:val="002C683E"/>
    <w:rsid w:val="002D0B8D"/>
    <w:rsid w:val="002D5A00"/>
    <w:rsid w:val="002D6D05"/>
    <w:rsid w:val="002E204B"/>
    <w:rsid w:val="002E6C6E"/>
    <w:rsid w:val="002F1A1A"/>
    <w:rsid w:val="00321C6F"/>
    <w:rsid w:val="0032644E"/>
    <w:rsid w:val="0037341F"/>
    <w:rsid w:val="003812EE"/>
    <w:rsid w:val="00392E17"/>
    <w:rsid w:val="003C1934"/>
    <w:rsid w:val="003C424B"/>
    <w:rsid w:val="003D7D3D"/>
    <w:rsid w:val="003D7F34"/>
    <w:rsid w:val="003E2CAD"/>
    <w:rsid w:val="003E6445"/>
    <w:rsid w:val="00400A90"/>
    <w:rsid w:val="0041598D"/>
    <w:rsid w:val="004171D0"/>
    <w:rsid w:val="004173E0"/>
    <w:rsid w:val="004315A0"/>
    <w:rsid w:val="00431A6A"/>
    <w:rsid w:val="00441640"/>
    <w:rsid w:val="004541E5"/>
    <w:rsid w:val="0046122D"/>
    <w:rsid w:val="00470675"/>
    <w:rsid w:val="004743ED"/>
    <w:rsid w:val="00482F1F"/>
    <w:rsid w:val="00483FD8"/>
    <w:rsid w:val="004925C2"/>
    <w:rsid w:val="004A012D"/>
    <w:rsid w:val="004B1555"/>
    <w:rsid w:val="004F5007"/>
    <w:rsid w:val="005005DE"/>
    <w:rsid w:val="00501CC7"/>
    <w:rsid w:val="00513527"/>
    <w:rsid w:val="0052056B"/>
    <w:rsid w:val="0054423E"/>
    <w:rsid w:val="0055508C"/>
    <w:rsid w:val="005659F2"/>
    <w:rsid w:val="0057020B"/>
    <w:rsid w:val="00590CEE"/>
    <w:rsid w:val="00594CA2"/>
    <w:rsid w:val="00595C55"/>
    <w:rsid w:val="005A1712"/>
    <w:rsid w:val="005A550B"/>
    <w:rsid w:val="005F6D40"/>
    <w:rsid w:val="00610D4E"/>
    <w:rsid w:val="00614020"/>
    <w:rsid w:val="00614E94"/>
    <w:rsid w:val="0063091E"/>
    <w:rsid w:val="00630B58"/>
    <w:rsid w:val="00637A74"/>
    <w:rsid w:val="0065091A"/>
    <w:rsid w:val="006537A8"/>
    <w:rsid w:val="00657E4A"/>
    <w:rsid w:val="0066220A"/>
    <w:rsid w:val="00663697"/>
    <w:rsid w:val="00685F27"/>
    <w:rsid w:val="006D2D9A"/>
    <w:rsid w:val="006D7C16"/>
    <w:rsid w:val="006E3D68"/>
    <w:rsid w:val="006E3DE1"/>
    <w:rsid w:val="00703283"/>
    <w:rsid w:val="007041BB"/>
    <w:rsid w:val="00734D2D"/>
    <w:rsid w:val="007412E0"/>
    <w:rsid w:val="007465D8"/>
    <w:rsid w:val="0074687C"/>
    <w:rsid w:val="00746E66"/>
    <w:rsid w:val="0075312E"/>
    <w:rsid w:val="007704C1"/>
    <w:rsid w:val="00774C7C"/>
    <w:rsid w:val="007873F9"/>
    <w:rsid w:val="0079330E"/>
    <w:rsid w:val="007A3C4A"/>
    <w:rsid w:val="007C54BC"/>
    <w:rsid w:val="007E56A7"/>
    <w:rsid w:val="007F7538"/>
    <w:rsid w:val="0080239D"/>
    <w:rsid w:val="00810338"/>
    <w:rsid w:val="00840933"/>
    <w:rsid w:val="0084433E"/>
    <w:rsid w:val="0085704E"/>
    <w:rsid w:val="00861DE2"/>
    <w:rsid w:val="008675B4"/>
    <w:rsid w:val="008832E8"/>
    <w:rsid w:val="00896135"/>
    <w:rsid w:val="008A0621"/>
    <w:rsid w:val="008A64A7"/>
    <w:rsid w:val="008B520B"/>
    <w:rsid w:val="008B5B9B"/>
    <w:rsid w:val="008C16B6"/>
    <w:rsid w:val="008C2761"/>
    <w:rsid w:val="008C739E"/>
    <w:rsid w:val="008C7EFC"/>
    <w:rsid w:val="008D4782"/>
    <w:rsid w:val="008E411C"/>
    <w:rsid w:val="008F2CE1"/>
    <w:rsid w:val="00915F00"/>
    <w:rsid w:val="00923BA9"/>
    <w:rsid w:val="00926DE2"/>
    <w:rsid w:val="009317CD"/>
    <w:rsid w:val="00933B65"/>
    <w:rsid w:val="00961439"/>
    <w:rsid w:val="00967233"/>
    <w:rsid w:val="009701EB"/>
    <w:rsid w:val="00992F19"/>
    <w:rsid w:val="009D2308"/>
    <w:rsid w:val="009E2CEA"/>
    <w:rsid w:val="009E3D21"/>
    <w:rsid w:val="009E75DF"/>
    <w:rsid w:val="009F361B"/>
    <w:rsid w:val="00A309B6"/>
    <w:rsid w:val="00A42480"/>
    <w:rsid w:val="00A51FBF"/>
    <w:rsid w:val="00A6449D"/>
    <w:rsid w:val="00A718B9"/>
    <w:rsid w:val="00A810D2"/>
    <w:rsid w:val="00A86A8D"/>
    <w:rsid w:val="00A94821"/>
    <w:rsid w:val="00AA199C"/>
    <w:rsid w:val="00AA25A1"/>
    <w:rsid w:val="00AA5502"/>
    <w:rsid w:val="00AB0E5E"/>
    <w:rsid w:val="00AB59DF"/>
    <w:rsid w:val="00AC410F"/>
    <w:rsid w:val="00AC7C6E"/>
    <w:rsid w:val="00AD0067"/>
    <w:rsid w:val="00AE5FA2"/>
    <w:rsid w:val="00AF0D4D"/>
    <w:rsid w:val="00B04E98"/>
    <w:rsid w:val="00B05C58"/>
    <w:rsid w:val="00B07B70"/>
    <w:rsid w:val="00B14654"/>
    <w:rsid w:val="00B170ED"/>
    <w:rsid w:val="00B30A3A"/>
    <w:rsid w:val="00B35729"/>
    <w:rsid w:val="00B52844"/>
    <w:rsid w:val="00B761D2"/>
    <w:rsid w:val="00BB2B34"/>
    <w:rsid w:val="00BB470C"/>
    <w:rsid w:val="00BB69F4"/>
    <w:rsid w:val="00BB7A82"/>
    <w:rsid w:val="00BC0611"/>
    <w:rsid w:val="00BC220A"/>
    <w:rsid w:val="00BE34CF"/>
    <w:rsid w:val="00BF42A2"/>
    <w:rsid w:val="00C01F6A"/>
    <w:rsid w:val="00C15A7E"/>
    <w:rsid w:val="00C274DC"/>
    <w:rsid w:val="00C51B29"/>
    <w:rsid w:val="00C56C59"/>
    <w:rsid w:val="00C6098F"/>
    <w:rsid w:val="00C628F1"/>
    <w:rsid w:val="00C732D4"/>
    <w:rsid w:val="00C80BDB"/>
    <w:rsid w:val="00C8755F"/>
    <w:rsid w:val="00CD071A"/>
    <w:rsid w:val="00CD33FD"/>
    <w:rsid w:val="00CD5AEE"/>
    <w:rsid w:val="00CF0FE6"/>
    <w:rsid w:val="00CF7F80"/>
    <w:rsid w:val="00D16180"/>
    <w:rsid w:val="00D1771F"/>
    <w:rsid w:val="00D31D54"/>
    <w:rsid w:val="00D3268E"/>
    <w:rsid w:val="00D34431"/>
    <w:rsid w:val="00D36319"/>
    <w:rsid w:val="00D44C2B"/>
    <w:rsid w:val="00D5332A"/>
    <w:rsid w:val="00D53C7C"/>
    <w:rsid w:val="00D56EC3"/>
    <w:rsid w:val="00D72676"/>
    <w:rsid w:val="00D84A1E"/>
    <w:rsid w:val="00D84A4E"/>
    <w:rsid w:val="00D86612"/>
    <w:rsid w:val="00DA3D04"/>
    <w:rsid w:val="00DA675E"/>
    <w:rsid w:val="00DC699D"/>
    <w:rsid w:val="00DD4D83"/>
    <w:rsid w:val="00DD7592"/>
    <w:rsid w:val="00DE01EB"/>
    <w:rsid w:val="00DE28CB"/>
    <w:rsid w:val="00DF7239"/>
    <w:rsid w:val="00E11D9F"/>
    <w:rsid w:val="00E164C9"/>
    <w:rsid w:val="00E172BF"/>
    <w:rsid w:val="00E20455"/>
    <w:rsid w:val="00E27795"/>
    <w:rsid w:val="00E30D85"/>
    <w:rsid w:val="00E42F74"/>
    <w:rsid w:val="00E42FA4"/>
    <w:rsid w:val="00E53ACD"/>
    <w:rsid w:val="00E6326B"/>
    <w:rsid w:val="00E66931"/>
    <w:rsid w:val="00E80393"/>
    <w:rsid w:val="00E964D7"/>
    <w:rsid w:val="00EA3D98"/>
    <w:rsid w:val="00EB25A6"/>
    <w:rsid w:val="00EC1E6E"/>
    <w:rsid w:val="00EC4A9D"/>
    <w:rsid w:val="00EE1408"/>
    <w:rsid w:val="00EE4B89"/>
    <w:rsid w:val="00EE6CE7"/>
    <w:rsid w:val="00F125AD"/>
    <w:rsid w:val="00F20F66"/>
    <w:rsid w:val="00F276DB"/>
    <w:rsid w:val="00F40619"/>
    <w:rsid w:val="00F47052"/>
    <w:rsid w:val="00F648C0"/>
    <w:rsid w:val="00F85C8A"/>
    <w:rsid w:val="00FA0A2E"/>
    <w:rsid w:val="00FA2A43"/>
    <w:rsid w:val="00FA6FFC"/>
    <w:rsid w:val="00FA7FC0"/>
    <w:rsid w:val="00FB0516"/>
    <w:rsid w:val="00FE0046"/>
    <w:rsid w:val="00FE04DB"/>
    <w:rsid w:val="00FF48BE"/>
    <w:rsid w:val="00FF6BD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17E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A67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A675E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EFB9A-B4B0-44D6-804D-525CF20C5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1228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2018-08-09T15:00:00Z</dcterms:created>
  <dcterms:modified xsi:type="dcterms:W3CDTF">2018-08-09T15:00:00Z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