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F97703" w:rsidRDefault="00D94AFC">
      <w:pPr>
        <w:rPr>
          <w:rFonts w:ascii="Book Antiqua" w:hAnsi="Book Antiqua" w:cs="Arial"/>
          <w:color w:val="000000"/>
          <w:sz w:val="16"/>
          <w:szCs w:val="16"/>
        </w:rPr>
      </w:pPr>
    </w:p>
    <w:p w:rsidR="00F97703" w:rsidRPr="0093415C" w:rsidRDefault="00194C8C" w:rsidP="00F97703">
      <w:pPr>
        <w:jc w:val="center"/>
        <w:rPr>
          <w:rFonts w:ascii="Book Antiqua" w:hAnsi="Book Antiqua" w:cs="Arial"/>
          <w:color w:val="000000"/>
        </w:rPr>
      </w:pPr>
      <w:r w:rsidRPr="0093415C">
        <w:rPr>
          <w:noProof/>
        </w:rPr>
        <w:drawing>
          <wp:inline distT="0" distB="0" distL="0" distR="0" wp14:anchorId="2354CFE7" wp14:editId="07B89B2D">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F97703" w:rsidRPr="0093415C" w:rsidRDefault="00611011" w:rsidP="00780F86">
      <w:pPr>
        <w:tabs>
          <w:tab w:val="right" w:pos="9720"/>
        </w:tabs>
        <w:ind w:right="-82"/>
        <w:rPr>
          <w:rFonts w:ascii="Book Antiqua" w:hAnsi="Book Antiqua" w:cs="Arial"/>
          <w:b/>
          <w:color w:val="000000"/>
        </w:rPr>
      </w:pPr>
      <w:r w:rsidRPr="0093415C">
        <w:rPr>
          <w:rFonts w:ascii="Book Antiqua" w:hAnsi="Book Antiqua" w:cs="Arial"/>
          <w:b/>
          <w:color w:val="000000"/>
        </w:rPr>
        <w:t>Upper</w:t>
      </w:r>
      <w:r w:rsidR="00F97703" w:rsidRPr="0093415C">
        <w:rPr>
          <w:rFonts w:ascii="Book Antiqua" w:hAnsi="Book Antiqua" w:cs="Arial"/>
          <w:b/>
          <w:color w:val="000000"/>
        </w:rPr>
        <w:t xml:space="preserve"> Tribunal </w:t>
      </w:r>
    </w:p>
    <w:p w:rsidR="007B0824" w:rsidRPr="00896E59" w:rsidRDefault="00F97703" w:rsidP="00780F86">
      <w:pPr>
        <w:tabs>
          <w:tab w:val="right" w:pos="9720"/>
        </w:tabs>
        <w:ind w:right="-82"/>
        <w:rPr>
          <w:rFonts w:ascii="Book Antiqua" w:hAnsi="Book Antiqua" w:cs="Arial"/>
          <w:b/>
          <w:color w:val="000000"/>
        </w:rPr>
      </w:pPr>
      <w:r w:rsidRPr="0093415C">
        <w:rPr>
          <w:rFonts w:ascii="Book Antiqua" w:hAnsi="Book Antiqua" w:cs="Arial"/>
          <w:b/>
          <w:color w:val="000000"/>
        </w:rPr>
        <w:t xml:space="preserve">(Immigration and Asylum </w:t>
      </w:r>
      <w:proofErr w:type="gramStart"/>
      <w:r w:rsidRPr="0093415C">
        <w:rPr>
          <w:rFonts w:ascii="Book Antiqua" w:hAnsi="Book Antiqua" w:cs="Arial"/>
          <w:b/>
          <w:color w:val="000000"/>
        </w:rPr>
        <w:t>Chamber)</w:t>
      </w:r>
      <w:r w:rsidR="00896E59">
        <w:rPr>
          <w:rFonts w:ascii="Book Antiqua" w:hAnsi="Book Antiqua" w:cs="Arial"/>
          <w:b/>
          <w:color w:val="000000"/>
        </w:rPr>
        <w:t xml:space="preserve">   </w:t>
      </w:r>
      <w:proofErr w:type="gramEnd"/>
      <w:r w:rsidR="00896E59">
        <w:rPr>
          <w:rFonts w:ascii="Book Antiqua" w:hAnsi="Book Antiqua" w:cs="Arial"/>
          <w:b/>
          <w:color w:val="000000"/>
        </w:rPr>
        <w:t xml:space="preserve">                      </w:t>
      </w:r>
      <w:r w:rsidR="00B3524D" w:rsidRPr="00896E59">
        <w:rPr>
          <w:rFonts w:ascii="Book Antiqua" w:hAnsi="Book Antiqua" w:cs="Arial"/>
          <w:b/>
          <w:color w:val="000000"/>
        </w:rPr>
        <w:t>Appeal Number</w:t>
      </w:r>
      <w:r w:rsidR="00D53769" w:rsidRPr="00896E59">
        <w:rPr>
          <w:rFonts w:ascii="Book Antiqua" w:hAnsi="Book Antiqua" w:cs="Arial"/>
          <w:b/>
          <w:color w:val="000000"/>
        </w:rPr>
        <w:t>:</w:t>
      </w:r>
      <w:r w:rsidR="00B3524D" w:rsidRPr="00896E59">
        <w:rPr>
          <w:rFonts w:ascii="Book Antiqua" w:hAnsi="Book Antiqua" w:cs="Arial"/>
          <w:b/>
          <w:color w:val="000000"/>
        </w:rPr>
        <w:t xml:space="preserve"> </w:t>
      </w:r>
      <w:r w:rsidR="00023EC0" w:rsidRPr="00896E59">
        <w:rPr>
          <w:rFonts w:ascii="Book Antiqua" w:hAnsi="Book Antiqua" w:cs="Arial"/>
          <w:b/>
          <w:caps/>
          <w:color w:val="000000"/>
        </w:rPr>
        <w:t>PA/07244/2017</w:t>
      </w:r>
    </w:p>
    <w:p w:rsidR="00C345E1" w:rsidRPr="0093415C" w:rsidRDefault="00C345E1" w:rsidP="00C345E1">
      <w:pPr>
        <w:jc w:val="center"/>
        <w:rPr>
          <w:rFonts w:ascii="Book Antiqua" w:hAnsi="Book Antiqua" w:cs="Arial"/>
          <w:color w:val="000000"/>
        </w:rPr>
      </w:pPr>
    </w:p>
    <w:p w:rsidR="00C345E1" w:rsidRPr="0093415C" w:rsidRDefault="00C345E1" w:rsidP="00C345E1">
      <w:pPr>
        <w:jc w:val="center"/>
        <w:rPr>
          <w:rFonts w:ascii="Book Antiqua" w:hAnsi="Book Antiqua" w:cs="Arial"/>
          <w:b/>
          <w:color w:val="000000"/>
          <w:u w:val="single"/>
        </w:rPr>
      </w:pPr>
      <w:r w:rsidRPr="0093415C">
        <w:rPr>
          <w:rFonts w:ascii="Book Antiqua" w:hAnsi="Book Antiqua" w:cs="Arial"/>
          <w:b/>
          <w:color w:val="000000"/>
          <w:u w:val="single"/>
        </w:rPr>
        <w:t>THE IMMIGRATION ACTS</w:t>
      </w:r>
    </w:p>
    <w:p w:rsidR="00C345E1" w:rsidRPr="0093415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098"/>
        <w:gridCol w:w="4530"/>
      </w:tblGrid>
      <w:tr w:rsidR="00D22636" w:rsidRPr="0093415C" w:rsidTr="00896E59">
        <w:trPr>
          <w:trHeight w:val="477"/>
        </w:trPr>
        <w:tc>
          <w:tcPr>
            <w:tcW w:w="5098" w:type="dxa"/>
            <w:shd w:val="clear" w:color="auto" w:fill="auto"/>
          </w:tcPr>
          <w:p w:rsidR="00896E59" w:rsidRDefault="00F22430" w:rsidP="000D0CB5">
            <w:pPr>
              <w:jc w:val="both"/>
              <w:rPr>
                <w:rFonts w:ascii="Book Antiqua" w:hAnsi="Book Antiqua" w:cs="Arial"/>
                <w:b/>
              </w:rPr>
            </w:pPr>
            <w:r w:rsidRPr="0093415C">
              <w:rPr>
                <w:rFonts w:ascii="Book Antiqua" w:hAnsi="Book Antiqua" w:cs="Arial"/>
                <w:b/>
              </w:rPr>
              <w:t xml:space="preserve">Heard at </w:t>
            </w:r>
            <w:r w:rsidR="00023EC0" w:rsidRPr="0093415C">
              <w:rPr>
                <w:rFonts w:ascii="Book Antiqua" w:hAnsi="Book Antiqua" w:cs="Arial"/>
                <w:b/>
              </w:rPr>
              <w:t>North Shields</w:t>
            </w:r>
            <w:r w:rsidR="000060DE" w:rsidRPr="0093415C">
              <w:rPr>
                <w:rFonts w:ascii="Book Antiqua" w:hAnsi="Book Antiqua" w:cs="Arial"/>
                <w:b/>
              </w:rPr>
              <w:t xml:space="preserve"> </w:t>
            </w:r>
          </w:p>
          <w:p w:rsidR="00D22636" w:rsidRPr="0093415C" w:rsidRDefault="00896E59" w:rsidP="000D0CB5">
            <w:pPr>
              <w:jc w:val="both"/>
              <w:rPr>
                <w:rFonts w:ascii="Book Antiqua" w:hAnsi="Book Antiqua" w:cs="Arial"/>
                <w:b/>
              </w:rPr>
            </w:pPr>
            <w:r w:rsidRPr="00D85BFA">
              <w:rPr>
                <w:rFonts w:ascii="Book Antiqua" w:hAnsi="Book Antiqua" w:cs="Arial"/>
                <w:b/>
              </w:rPr>
              <w:t>On 2 May 2018</w:t>
            </w:r>
          </w:p>
        </w:tc>
        <w:tc>
          <w:tcPr>
            <w:tcW w:w="4530" w:type="dxa"/>
            <w:shd w:val="clear" w:color="auto" w:fill="auto"/>
          </w:tcPr>
          <w:p w:rsidR="00D85BFA" w:rsidRPr="0093415C" w:rsidRDefault="00896E59" w:rsidP="00896E59">
            <w:pPr>
              <w:ind w:left="324" w:hanging="324"/>
              <w:jc w:val="both"/>
              <w:rPr>
                <w:rFonts w:ascii="Book Antiqua" w:hAnsi="Book Antiqua" w:cs="Arial"/>
                <w:b/>
                <w:color w:val="000000"/>
              </w:rPr>
            </w:pPr>
            <w:r>
              <w:rPr>
                <w:rFonts w:ascii="Book Antiqua" w:hAnsi="Book Antiqua" w:cs="Arial"/>
                <w:b/>
                <w:color w:val="000000"/>
              </w:rPr>
              <w:t xml:space="preserve">     </w:t>
            </w:r>
            <w:r w:rsidR="00D51814" w:rsidRPr="0093415C">
              <w:rPr>
                <w:rFonts w:ascii="Book Antiqua" w:hAnsi="Book Antiqua" w:cs="Arial"/>
                <w:b/>
                <w:color w:val="000000"/>
              </w:rPr>
              <w:t xml:space="preserve">Decision </w:t>
            </w:r>
            <w:r w:rsidR="00D85BFA">
              <w:rPr>
                <w:rFonts w:ascii="Book Antiqua" w:hAnsi="Book Antiqua" w:cs="Arial"/>
                <w:b/>
                <w:color w:val="000000"/>
              </w:rPr>
              <w:t>and Reasons Promulgated</w:t>
            </w:r>
            <w:r>
              <w:rPr>
                <w:rFonts w:ascii="Book Antiqua" w:hAnsi="Book Antiqua" w:cs="Arial"/>
                <w:b/>
              </w:rPr>
              <w:t xml:space="preserve">                </w:t>
            </w:r>
            <w:r>
              <w:rPr>
                <w:rFonts w:ascii="Book Antiqua" w:hAnsi="Book Antiqua" w:cs="Arial"/>
                <w:b/>
              </w:rPr>
              <w:t>On 17 May 2018</w:t>
            </w:r>
          </w:p>
        </w:tc>
      </w:tr>
      <w:tr w:rsidR="000060DE" w:rsidRPr="0093415C" w:rsidTr="00D85BFA">
        <w:tc>
          <w:tcPr>
            <w:tcW w:w="5098" w:type="dxa"/>
            <w:shd w:val="clear" w:color="auto" w:fill="auto"/>
          </w:tcPr>
          <w:p w:rsidR="000060DE" w:rsidRPr="0093415C" w:rsidRDefault="00D85BFA" w:rsidP="00D85BFA">
            <w:pPr>
              <w:tabs>
                <w:tab w:val="center" w:pos="2849"/>
              </w:tabs>
              <w:jc w:val="both"/>
              <w:rPr>
                <w:rFonts w:ascii="Book Antiqua" w:hAnsi="Book Antiqua" w:cs="Arial"/>
                <w:b/>
              </w:rPr>
            </w:pPr>
            <w:r>
              <w:rPr>
                <w:rFonts w:ascii="Book Antiqua" w:hAnsi="Book Antiqua" w:cs="Arial"/>
                <w:b/>
              </w:rPr>
              <w:tab/>
              <w:t xml:space="preserve">                                                   </w:t>
            </w:r>
          </w:p>
        </w:tc>
        <w:tc>
          <w:tcPr>
            <w:tcW w:w="4530" w:type="dxa"/>
            <w:vMerge w:val="restart"/>
            <w:shd w:val="clear" w:color="auto" w:fill="auto"/>
          </w:tcPr>
          <w:p w:rsidR="000060DE" w:rsidRPr="0093415C" w:rsidRDefault="000060DE" w:rsidP="000D0CB5">
            <w:pPr>
              <w:spacing w:before="240"/>
              <w:jc w:val="both"/>
              <w:rPr>
                <w:rFonts w:ascii="Book Antiqua" w:hAnsi="Book Antiqua" w:cs="Arial"/>
                <w:b/>
              </w:rPr>
            </w:pPr>
          </w:p>
        </w:tc>
      </w:tr>
      <w:tr w:rsidR="000060DE" w:rsidRPr="0093415C" w:rsidTr="00D85BFA">
        <w:trPr>
          <w:trHeight w:val="239"/>
        </w:trPr>
        <w:tc>
          <w:tcPr>
            <w:tcW w:w="5098" w:type="dxa"/>
            <w:shd w:val="clear" w:color="auto" w:fill="auto"/>
          </w:tcPr>
          <w:p w:rsidR="000060DE" w:rsidRPr="0093415C" w:rsidRDefault="000060DE" w:rsidP="000D0CB5">
            <w:pPr>
              <w:jc w:val="both"/>
              <w:rPr>
                <w:rFonts w:ascii="Book Antiqua" w:hAnsi="Book Antiqua" w:cs="Arial"/>
                <w:b/>
              </w:rPr>
            </w:pPr>
          </w:p>
        </w:tc>
        <w:tc>
          <w:tcPr>
            <w:tcW w:w="4530" w:type="dxa"/>
            <w:vMerge/>
            <w:shd w:val="clear" w:color="auto" w:fill="auto"/>
          </w:tcPr>
          <w:p w:rsidR="000060DE" w:rsidRPr="0093415C" w:rsidRDefault="000060DE" w:rsidP="000D0CB5">
            <w:pPr>
              <w:jc w:val="both"/>
              <w:rPr>
                <w:rFonts w:ascii="Book Antiqua" w:hAnsi="Book Antiqua" w:cs="Arial"/>
                <w:b/>
              </w:rPr>
            </w:pPr>
          </w:p>
        </w:tc>
      </w:tr>
    </w:tbl>
    <w:p w:rsidR="00A15234" w:rsidRPr="0093415C" w:rsidRDefault="00207617" w:rsidP="00A15234">
      <w:pPr>
        <w:jc w:val="center"/>
        <w:rPr>
          <w:rFonts w:ascii="Book Antiqua" w:hAnsi="Book Antiqua" w:cs="Arial"/>
          <w:b/>
        </w:rPr>
      </w:pPr>
      <w:r w:rsidRPr="0093415C">
        <w:rPr>
          <w:rFonts w:ascii="Book Antiqua" w:hAnsi="Book Antiqua" w:cs="Arial"/>
          <w:b/>
        </w:rPr>
        <w:t>Befo</w:t>
      </w:r>
      <w:r w:rsidR="00A15234" w:rsidRPr="0093415C">
        <w:rPr>
          <w:rFonts w:ascii="Book Antiqua" w:hAnsi="Book Antiqua" w:cs="Arial"/>
          <w:b/>
        </w:rPr>
        <w:t>re</w:t>
      </w:r>
    </w:p>
    <w:p w:rsidR="00A15234" w:rsidRPr="0093415C" w:rsidRDefault="00A15234" w:rsidP="00A15234">
      <w:pPr>
        <w:jc w:val="center"/>
        <w:rPr>
          <w:rFonts w:ascii="Book Antiqua" w:hAnsi="Book Antiqua" w:cs="Arial"/>
          <w:b/>
        </w:rPr>
      </w:pPr>
    </w:p>
    <w:p w:rsidR="001B186A" w:rsidRPr="0093415C" w:rsidRDefault="00AD7978" w:rsidP="00A15234">
      <w:pPr>
        <w:jc w:val="center"/>
        <w:rPr>
          <w:rFonts w:ascii="Book Antiqua" w:hAnsi="Book Antiqua" w:cs="Arial"/>
          <w:b/>
          <w:color w:val="000000"/>
          <w:sz w:val="26"/>
        </w:rPr>
      </w:pPr>
      <w:r w:rsidRPr="0093415C">
        <w:rPr>
          <w:rFonts w:ascii="Book Antiqua" w:hAnsi="Book Antiqua" w:cs="Arial"/>
          <w:b/>
          <w:color w:val="000000"/>
          <w:sz w:val="26"/>
        </w:rPr>
        <w:t xml:space="preserve">UPPER TRIBUNAL </w:t>
      </w:r>
      <w:r w:rsidR="001B2F75" w:rsidRPr="0093415C">
        <w:rPr>
          <w:rFonts w:ascii="Book Antiqua" w:hAnsi="Book Antiqua" w:cs="Arial"/>
          <w:b/>
          <w:color w:val="000000"/>
          <w:sz w:val="26"/>
        </w:rPr>
        <w:t xml:space="preserve">JUDGE </w:t>
      </w:r>
      <w:r w:rsidR="00F22430" w:rsidRPr="0093415C">
        <w:rPr>
          <w:rFonts w:ascii="Book Antiqua" w:hAnsi="Book Antiqua" w:cs="Arial"/>
          <w:b/>
          <w:color w:val="000000"/>
          <w:sz w:val="26"/>
        </w:rPr>
        <w:t>GLEESON</w:t>
      </w:r>
    </w:p>
    <w:p w:rsidR="001B186A" w:rsidRPr="0093415C" w:rsidRDefault="001B186A" w:rsidP="00A15234">
      <w:pPr>
        <w:jc w:val="center"/>
        <w:rPr>
          <w:rFonts w:ascii="Book Antiqua" w:hAnsi="Book Antiqua" w:cs="Arial"/>
          <w:b/>
          <w:color w:val="000000"/>
        </w:rPr>
      </w:pPr>
    </w:p>
    <w:p w:rsidR="00A845DC" w:rsidRPr="0093415C" w:rsidRDefault="00A845DC" w:rsidP="00A15234">
      <w:pPr>
        <w:jc w:val="center"/>
        <w:rPr>
          <w:rFonts w:ascii="Book Antiqua" w:hAnsi="Book Antiqua" w:cs="Arial"/>
          <w:b/>
        </w:rPr>
      </w:pPr>
      <w:r w:rsidRPr="0093415C">
        <w:rPr>
          <w:rFonts w:ascii="Book Antiqua" w:hAnsi="Book Antiqua" w:cs="Arial"/>
          <w:b/>
        </w:rPr>
        <w:t>Between</w:t>
      </w:r>
    </w:p>
    <w:p w:rsidR="00A845DC" w:rsidRPr="0093415C" w:rsidRDefault="00A845DC" w:rsidP="00A15234">
      <w:pPr>
        <w:jc w:val="center"/>
        <w:rPr>
          <w:rFonts w:ascii="Book Antiqua" w:hAnsi="Book Antiqua" w:cs="Arial"/>
          <w:b/>
        </w:rPr>
      </w:pPr>
    </w:p>
    <w:p w:rsidR="00AD7978" w:rsidRPr="0093415C" w:rsidRDefault="0011139A" w:rsidP="00A15234">
      <w:pPr>
        <w:jc w:val="center"/>
        <w:rPr>
          <w:rFonts w:ascii="Book Antiqua" w:hAnsi="Book Antiqua" w:cs="Arial"/>
          <w:b/>
          <w:caps/>
        </w:rPr>
      </w:pPr>
      <w:r w:rsidRPr="0093415C">
        <w:rPr>
          <w:rFonts w:ascii="Book Antiqua" w:hAnsi="Book Antiqua" w:cs="Arial"/>
          <w:b/>
          <w:caps/>
          <w:sz w:val="26"/>
        </w:rPr>
        <w:t xml:space="preserve">M </w:t>
      </w:r>
      <w:r w:rsidR="000A5FF3">
        <w:rPr>
          <w:rFonts w:ascii="Book Antiqua" w:hAnsi="Book Antiqua" w:cs="Arial"/>
          <w:b/>
          <w:caps/>
          <w:sz w:val="26"/>
        </w:rPr>
        <w:t>G</w:t>
      </w:r>
    </w:p>
    <w:p w:rsidR="00A845DC" w:rsidRPr="00896E59" w:rsidRDefault="00AD7978" w:rsidP="00A15234">
      <w:pPr>
        <w:jc w:val="center"/>
        <w:rPr>
          <w:rFonts w:ascii="Book Antiqua" w:hAnsi="Book Antiqua" w:cs="Arial"/>
          <w:caps/>
        </w:rPr>
      </w:pPr>
      <w:r w:rsidRPr="00896E59">
        <w:rPr>
          <w:rFonts w:ascii="Book Antiqua" w:hAnsi="Book Antiqua" w:cs="Arial"/>
          <w:caps/>
        </w:rPr>
        <w:t>[ANONYMITY ORDER</w:t>
      </w:r>
      <w:r w:rsidR="0011139A" w:rsidRPr="00896E59">
        <w:rPr>
          <w:rFonts w:ascii="Book Antiqua" w:hAnsi="Book Antiqua" w:cs="Arial"/>
          <w:caps/>
        </w:rPr>
        <w:t xml:space="preserve"> made</w:t>
      </w:r>
      <w:r w:rsidRPr="00896E59">
        <w:rPr>
          <w:rFonts w:ascii="Book Antiqua" w:hAnsi="Book Antiqua" w:cs="Arial"/>
          <w:caps/>
        </w:rPr>
        <w:t xml:space="preserve">] </w:t>
      </w:r>
    </w:p>
    <w:p w:rsidR="00704B61" w:rsidRPr="0093415C" w:rsidRDefault="00704B61" w:rsidP="00704B61">
      <w:pPr>
        <w:jc w:val="right"/>
        <w:rPr>
          <w:rFonts w:ascii="Book Antiqua" w:hAnsi="Book Antiqua" w:cs="Arial"/>
          <w:u w:val="single"/>
        </w:rPr>
      </w:pPr>
      <w:r w:rsidRPr="0093415C">
        <w:rPr>
          <w:rFonts w:ascii="Book Antiqua" w:hAnsi="Book Antiqua" w:cs="Arial"/>
          <w:u w:val="single"/>
        </w:rPr>
        <w:t>Appellant</w:t>
      </w:r>
    </w:p>
    <w:p w:rsidR="00896E59" w:rsidRDefault="00896E59" w:rsidP="00704B61">
      <w:pPr>
        <w:jc w:val="center"/>
        <w:rPr>
          <w:rFonts w:ascii="Book Antiqua" w:hAnsi="Book Antiqua" w:cs="Arial"/>
          <w:b/>
        </w:rPr>
      </w:pPr>
    </w:p>
    <w:p w:rsidR="00704B61" w:rsidRPr="0093415C" w:rsidRDefault="00DD5071" w:rsidP="00704B61">
      <w:pPr>
        <w:jc w:val="center"/>
        <w:rPr>
          <w:rFonts w:ascii="Book Antiqua" w:hAnsi="Book Antiqua" w:cs="Arial"/>
          <w:b/>
        </w:rPr>
      </w:pPr>
      <w:r w:rsidRPr="0093415C">
        <w:rPr>
          <w:rFonts w:ascii="Book Antiqua" w:hAnsi="Book Antiqua" w:cs="Arial"/>
          <w:b/>
        </w:rPr>
        <w:t>and</w:t>
      </w:r>
    </w:p>
    <w:p w:rsidR="00DD5071" w:rsidRPr="0093415C" w:rsidRDefault="00DD5071" w:rsidP="00704B61">
      <w:pPr>
        <w:jc w:val="center"/>
        <w:rPr>
          <w:rFonts w:ascii="Book Antiqua" w:hAnsi="Book Antiqua" w:cs="Arial"/>
          <w:b/>
        </w:rPr>
      </w:pPr>
    </w:p>
    <w:p w:rsidR="00DD5071" w:rsidRPr="0093415C" w:rsidRDefault="00AD7978" w:rsidP="00704B61">
      <w:pPr>
        <w:jc w:val="center"/>
        <w:rPr>
          <w:rFonts w:ascii="Book Antiqua" w:hAnsi="Book Antiqua" w:cs="Arial"/>
          <w:b/>
          <w:sz w:val="26"/>
        </w:rPr>
      </w:pPr>
      <w:r w:rsidRPr="0093415C">
        <w:rPr>
          <w:rFonts w:ascii="Book Antiqua" w:hAnsi="Book Antiqua" w:cs="Arial"/>
          <w:b/>
          <w:sz w:val="26"/>
        </w:rPr>
        <w:t xml:space="preserve">THE SECRETARY OF STATE FOR THE HOME DEPARTMENT  </w:t>
      </w:r>
    </w:p>
    <w:p w:rsidR="00DD5071" w:rsidRPr="0093415C" w:rsidRDefault="00DD5071" w:rsidP="00DD5071">
      <w:pPr>
        <w:jc w:val="right"/>
        <w:rPr>
          <w:rFonts w:ascii="Book Antiqua" w:hAnsi="Book Antiqua" w:cs="Arial"/>
          <w:u w:val="single"/>
        </w:rPr>
      </w:pPr>
      <w:r w:rsidRPr="0093415C">
        <w:rPr>
          <w:rFonts w:ascii="Book Antiqua" w:hAnsi="Book Antiqua" w:cs="Arial"/>
          <w:u w:val="single"/>
        </w:rPr>
        <w:t>Respondent</w:t>
      </w:r>
    </w:p>
    <w:p w:rsidR="00896E59" w:rsidRDefault="00896E59" w:rsidP="00DD5071">
      <w:pPr>
        <w:rPr>
          <w:rFonts w:ascii="Book Antiqua" w:hAnsi="Book Antiqua" w:cs="Arial"/>
          <w:u w:val="single"/>
        </w:rPr>
      </w:pPr>
    </w:p>
    <w:p w:rsidR="00496861" w:rsidRDefault="00496861" w:rsidP="00DD5071">
      <w:pPr>
        <w:rPr>
          <w:rFonts w:ascii="Book Antiqua" w:hAnsi="Book Antiqua" w:cs="Arial"/>
          <w:b/>
          <w:u w:val="single"/>
        </w:rPr>
      </w:pPr>
      <w:r w:rsidRPr="00896E59">
        <w:rPr>
          <w:rFonts w:ascii="Book Antiqua" w:hAnsi="Book Antiqua" w:cs="Arial"/>
          <w:b/>
          <w:u w:val="single"/>
        </w:rPr>
        <w:t>Representation:</w:t>
      </w:r>
    </w:p>
    <w:p w:rsidR="00896E59" w:rsidRPr="00896E59" w:rsidRDefault="00896E59" w:rsidP="00DD5071">
      <w:pPr>
        <w:rPr>
          <w:rFonts w:ascii="Book Antiqua" w:hAnsi="Book Antiqua" w:cs="Arial"/>
          <w:b/>
          <w:u w:val="single"/>
        </w:rPr>
      </w:pPr>
    </w:p>
    <w:p w:rsidR="00496861" w:rsidRPr="0093415C" w:rsidRDefault="00496861" w:rsidP="00DD5071">
      <w:pPr>
        <w:rPr>
          <w:rFonts w:ascii="Book Antiqua" w:hAnsi="Book Antiqua" w:cs="Arial"/>
        </w:rPr>
      </w:pPr>
      <w:r w:rsidRPr="0093415C">
        <w:rPr>
          <w:rFonts w:ascii="Book Antiqua" w:hAnsi="Book Antiqua" w:cs="Arial"/>
        </w:rPr>
        <w:t>For the appellant:</w:t>
      </w:r>
      <w:r w:rsidRPr="0093415C">
        <w:rPr>
          <w:rFonts w:ascii="Book Antiqua" w:hAnsi="Book Antiqua" w:cs="Arial"/>
        </w:rPr>
        <w:tab/>
      </w:r>
      <w:r w:rsidR="0011139A" w:rsidRPr="0093415C">
        <w:rPr>
          <w:rFonts w:ascii="Book Antiqua" w:hAnsi="Book Antiqua" w:cs="Arial"/>
        </w:rPr>
        <w:t xml:space="preserve">Mr Richard Selway, solicitor with Brar &amp; Co, Solicitors </w:t>
      </w:r>
    </w:p>
    <w:p w:rsidR="00496861" w:rsidRPr="0093415C" w:rsidRDefault="00496861" w:rsidP="0093415C">
      <w:pPr>
        <w:rPr>
          <w:rFonts w:ascii="Book Antiqua" w:hAnsi="Book Antiqua" w:cs="Arial"/>
        </w:rPr>
      </w:pPr>
      <w:r w:rsidRPr="0093415C">
        <w:rPr>
          <w:rFonts w:ascii="Book Antiqua" w:hAnsi="Book Antiqua" w:cs="Arial"/>
        </w:rPr>
        <w:t>For the respondent:</w:t>
      </w:r>
      <w:r w:rsidRPr="0093415C">
        <w:rPr>
          <w:rFonts w:ascii="Book Antiqua" w:hAnsi="Book Antiqua" w:cs="Arial"/>
        </w:rPr>
        <w:tab/>
      </w:r>
      <w:r w:rsidR="0011139A" w:rsidRPr="0093415C">
        <w:rPr>
          <w:rFonts w:ascii="Book Antiqua" w:hAnsi="Book Antiqua" w:cs="Arial"/>
        </w:rPr>
        <w:t xml:space="preserve">Mr </w:t>
      </w:r>
      <w:proofErr w:type="spellStart"/>
      <w:r w:rsidR="0011139A" w:rsidRPr="0093415C">
        <w:rPr>
          <w:rFonts w:ascii="Book Antiqua" w:hAnsi="Book Antiqua" w:cs="Arial"/>
        </w:rPr>
        <w:t>Myroslaw</w:t>
      </w:r>
      <w:proofErr w:type="spellEnd"/>
      <w:r w:rsidR="0011139A" w:rsidRPr="0093415C">
        <w:rPr>
          <w:rFonts w:ascii="Book Antiqua" w:hAnsi="Book Antiqua" w:cs="Arial"/>
        </w:rPr>
        <w:t xml:space="preserve"> </w:t>
      </w:r>
      <w:proofErr w:type="spellStart"/>
      <w:r w:rsidR="0011139A" w:rsidRPr="0093415C">
        <w:rPr>
          <w:rFonts w:ascii="Book Antiqua" w:hAnsi="Book Antiqua" w:cs="Arial"/>
        </w:rPr>
        <w:t>Diwnycz</w:t>
      </w:r>
      <w:proofErr w:type="spellEnd"/>
      <w:r w:rsidR="0011139A" w:rsidRPr="0093415C">
        <w:rPr>
          <w:rFonts w:ascii="Book Antiqua" w:hAnsi="Book Antiqua" w:cs="Arial"/>
        </w:rPr>
        <w:t>, a Senior Home Office Presenting Officer</w:t>
      </w:r>
    </w:p>
    <w:p w:rsidR="00DE7DB7" w:rsidRPr="00FD45DA" w:rsidRDefault="0060752B" w:rsidP="000E01B8">
      <w:pPr>
        <w:tabs>
          <w:tab w:val="left" w:pos="2520"/>
        </w:tabs>
        <w:spacing w:before="240"/>
        <w:jc w:val="center"/>
        <w:rPr>
          <w:rFonts w:ascii="Book Antiqua" w:hAnsi="Book Antiqua" w:cs="Arial"/>
        </w:rPr>
      </w:pPr>
      <w:r w:rsidRPr="00FD45DA">
        <w:rPr>
          <w:rFonts w:ascii="Book Antiqua" w:hAnsi="Book Antiqua" w:cs="Arial"/>
          <w:b/>
          <w:u w:val="single"/>
        </w:rPr>
        <w:t xml:space="preserve">DECISION AND </w:t>
      </w:r>
      <w:r w:rsidR="000E01B8" w:rsidRPr="00FD45DA">
        <w:rPr>
          <w:rFonts w:ascii="Book Antiqua" w:hAnsi="Book Antiqua" w:cs="Arial"/>
          <w:b/>
          <w:u w:val="single"/>
        </w:rPr>
        <w:t>REASONS</w:t>
      </w:r>
    </w:p>
    <w:p w:rsidR="002C650D" w:rsidRPr="0093415C" w:rsidRDefault="002C650D" w:rsidP="002C650D">
      <w:pPr>
        <w:tabs>
          <w:tab w:val="left" w:pos="567"/>
        </w:tabs>
        <w:spacing w:before="240"/>
        <w:rPr>
          <w:rFonts w:ascii="Book Antiqua" w:hAnsi="Book Antiqua" w:cs="Arial"/>
          <w:b/>
        </w:rPr>
      </w:pPr>
      <w:r w:rsidRPr="0093415C">
        <w:rPr>
          <w:rFonts w:ascii="Book Antiqua" w:hAnsi="Book Antiqua" w:cs="Arial"/>
          <w:b/>
        </w:rPr>
        <w:t>Anonymity order</w:t>
      </w:r>
    </w:p>
    <w:p w:rsidR="002C650D" w:rsidRPr="0093415C" w:rsidRDefault="001B3ABC" w:rsidP="0093415C">
      <w:pPr>
        <w:jc w:val="both"/>
        <w:rPr>
          <w:rFonts w:ascii="Book Antiqua" w:hAnsi="Book Antiqua"/>
          <w:i/>
          <w:iCs/>
          <w:sz w:val="22"/>
          <w:szCs w:val="22"/>
        </w:rPr>
      </w:pPr>
      <w:r w:rsidRPr="0093415C">
        <w:rPr>
          <w:rFonts w:ascii="Book Antiqua" w:hAnsi="Book Antiqua"/>
          <w:i/>
          <w:iCs/>
        </w:rPr>
        <w:t>The First-tier Tribunal made an order pursuant to Rule 13 of the Tribunal Procedure (First-tier Tribunal) (Immigration and Asylum Chamber) Rules 2014.  I continue that order pursuant to Rule 14 of the Tribunal Procedure (Upper Tribunal) Rules 2008: unless the Upper Tribunal or a Court directs otherwise, no report of these proceedings or any form of publication thereof shall identify the original appellant, whether directly or indirectly. This order applies to, amongst others, all parties. Any failure to comply with this order could give rise to contempt of court proceedings.</w:t>
      </w:r>
    </w:p>
    <w:p w:rsidR="002C650D" w:rsidRPr="0093415C" w:rsidRDefault="002C650D" w:rsidP="002C650D">
      <w:pPr>
        <w:tabs>
          <w:tab w:val="left" w:pos="567"/>
        </w:tabs>
        <w:spacing w:before="240"/>
        <w:jc w:val="both"/>
        <w:rPr>
          <w:rFonts w:ascii="Book Antiqua" w:hAnsi="Book Antiqua" w:cs="Arial"/>
          <w:b/>
        </w:rPr>
      </w:pPr>
      <w:r w:rsidRPr="0093415C">
        <w:rPr>
          <w:rFonts w:ascii="Book Antiqua" w:hAnsi="Book Antiqua" w:cs="Arial"/>
          <w:b/>
        </w:rPr>
        <w:t>Decision and reasons</w:t>
      </w:r>
    </w:p>
    <w:p w:rsidR="0093415C" w:rsidRDefault="00D51814" w:rsidP="00D51814">
      <w:pPr>
        <w:numPr>
          <w:ilvl w:val="0"/>
          <w:numId w:val="1"/>
        </w:numPr>
        <w:tabs>
          <w:tab w:val="clear" w:pos="720"/>
          <w:tab w:val="num" w:pos="360"/>
          <w:tab w:val="left" w:pos="567"/>
        </w:tabs>
        <w:spacing w:before="240"/>
        <w:ind w:left="357" w:hanging="357"/>
        <w:jc w:val="both"/>
        <w:rPr>
          <w:rFonts w:ascii="Book Antiqua" w:hAnsi="Book Antiqua" w:cs="Arial"/>
        </w:rPr>
      </w:pPr>
      <w:r w:rsidRPr="0093415C">
        <w:rPr>
          <w:rFonts w:ascii="Book Antiqua" w:hAnsi="Book Antiqua" w:cs="Arial"/>
        </w:rPr>
        <w:t xml:space="preserve">The appellant appeals with permission against the decision of the First-tier Tribunal </w:t>
      </w:r>
      <w:r w:rsidR="00023EC0" w:rsidRPr="0093415C">
        <w:rPr>
          <w:rFonts w:ascii="Book Antiqua" w:hAnsi="Book Antiqua" w:cs="Arial"/>
        </w:rPr>
        <w:t xml:space="preserve">dismissing his appeal </w:t>
      </w:r>
      <w:r w:rsidR="00917BCB" w:rsidRPr="0093415C">
        <w:rPr>
          <w:rFonts w:ascii="Book Antiqua" w:hAnsi="Book Antiqua" w:cs="Arial"/>
        </w:rPr>
        <w:t xml:space="preserve">against the respondent’s decision to refuse him refugee protection, </w:t>
      </w:r>
      <w:r w:rsidR="00917BCB" w:rsidRPr="0093415C">
        <w:rPr>
          <w:rFonts w:ascii="Book Antiqua" w:hAnsi="Book Antiqua" w:cs="Arial"/>
        </w:rPr>
        <w:lastRenderedPageBreak/>
        <w:t>humanitarian protection, or leave to remain in the United Kingdom on human rights grounds</w:t>
      </w:r>
      <w:r w:rsidRPr="0093415C">
        <w:rPr>
          <w:rFonts w:ascii="Book Antiqua" w:hAnsi="Book Antiqua" w:cs="Arial"/>
        </w:rPr>
        <w:t xml:space="preserve">.  </w:t>
      </w:r>
    </w:p>
    <w:p w:rsidR="00306236" w:rsidRPr="0093415C" w:rsidRDefault="00D51814" w:rsidP="00D51814">
      <w:pPr>
        <w:numPr>
          <w:ilvl w:val="0"/>
          <w:numId w:val="1"/>
        </w:numPr>
        <w:tabs>
          <w:tab w:val="clear" w:pos="720"/>
          <w:tab w:val="num" w:pos="360"/>
          <w:tab w:val="left" w:pos="567"/>
        </w:tabs>
        <w:spacing w:before="240"/>
        <w:ind w:left="357" w:hanging="357"/>
        <w:jc w:val="both"/>
        <w:rPr>
          <w:rFonts w:ascii="Book Antiqua" w:hAnsi="Book Antiqua" w:cs="Arial"/>
        </w:rPr>
      </w:pPr>
      <w:r w:rsidRPr="0093415C">
        <w:rPr>
          <w:rFonts w:ascii="Book Antiqua" w:hAnsi="Book Antiqua" w:cs="Arial"/>
        </w:rPr>
        <w:t>The appellant</w:t>
      </w:r>
      <w:r w:rsidR="00917BCB" w:rsidRPr="0093415C">
        <w:rPr>
          <w:rFonts w:ascii="Book Antiqua" w:hAnsi="Book Antiqua" w:cs="Arial"/>
        </w:rPr>
        <w:t>’s nationality is in issue: he</w:t>
      </w:r>
      <w:r w:rsidRPr="0093415C">
        <w:rPr>
          <w:rFonts w:ascii="Book Antiqua" w:hAnsi="Book Antiqua" w:cs="Arial"/>
        </w:rPr>
        <w:t xml:space="preserve"> </w:t>
      </w:r>
      <w:r w:rsidR="00917BCB" w:rsidRPr="0093415C">
        <w:rPr>
          <w:rFonts w:ascii="Book Antiqua" w:hAnsi="Book Antiqua" w:cs="Arial"/>
        </w:rPr>
        <w:t>claimed to be a citizen of Eritrea</w:t>
      </w:r>
      <w:r w:rsidR="00EA055D">
        <w:rPr>
          <w:rFonts w:ascii="Book Antiqua" w:hAnsi="Book Antiqua" w:cs="Arial"/>
        </w:rPr>
        <w:t>,</w:t>
      </w:r>
      <w:r w:rsidR="00917BCB" w:rsidRPr="0093415C">
        <w:rPr>
          <w:rFonts w:ascii="Book Antiqua" w:hAnsi="Book Antiqua" w:cs="Arial"/>
        </w:rPr>
        <w:t xml:space="preserve"> but the respondent considered him to be </w:t>
      </w:r>
      <w:r w:rsidR="0093415C">
        <w:rPr>
          <w:rFonts w:ascii="Book Antiqua" w:hAnsi="Book Antiqua" w:cs="Arial"/>
        </w:rPr>
        <w:t>entitled to Ethiopian citizenship, if not already registered as an Ethiopian citizen</w:t>
      </w:r>
      <w:r w:rsidRPr="0093415C">
        <w:rPr>
          <w:rFonts w:ascii="Book Antiqua" w:hAnsi="Book Antiqua" w:cs="Arial"/>
        </w:rPr>
        <w:t xml:space="preserve">. </w:t>
      </w:r>
    </w:p>
    <w:p w:rsidR="00D51814" w:rsidRPr="0093415C" w:rsidRDefault="00D51814" w:rsidP="00D51814">
      <w:pPr>
        <w:tabs>
          <w:tab w:val="left" w:pos="567"/>
        </w:tabs>
        <w:spacing w:before="240"/>
        <w:jc w:val="both"/>
        <w:rPr>
          <w:rFonts w:ascii="Book Antiqua" w:hAnsi="Book Antiqua" w:cs="Arial"/>
        </w:rPr>
      </w:pPr>
      <w:r w:rsidRPr="0093415C">
        <w:rPr>
          <w:rFonts w:ascii="Book Antiqua" w:hAnsi="Book Antiqua" w:cs="Arial"/>
          <w:b/>
        </w:rPr>
        <w:t>Background</w:t>
      </w:r>
      <w:r w:rsidRPr="0093415C">
        <w:rPr>
          <w:rFonts w:ascii="Book Antiqua" w:hAnsi="Book Antiqua" w:cs="Arial"/>
        </w:rPr>
        <w:t xml:space="preserve"> </w:t>
      </w:r>
    </w:p>
    <w:p w:rsidR="00DC1FBD" w:rsidRPr="0093415C" w:rsidRDefault="00917BCB" w:rsidP="00E147B4">
      <w:pPr>
        <w:numPr>
          <w:ilvl w:val="0"/>
          <w:numId w:val="1"/>
        </w:numPr>
        <w:tabs>
          <w:tab w:val="clear" w:pos="720"/>
          <w:tab w:val="num" w:pos="360"/>
          <w:tab w:val="left" w:pos="567"/>
        </w:tabs>
        <w:spacing w:before="240"/>
        <w:ind w:left="360"/>
        <w:jc w:val="both"/>
        <w:rPr>
          <w:rFonts w:ascii="Book Antiqua" w:hAnsi="Book Antiqua" w:cs="Arial"/>
        </w:rPr>
      </w:pPr>
      <w:r w:rsidRPr="0093415C">
        <w:rPr>
          <w:rFonts w:ascii="Book Antiqua" w:hAnsi="Book Antiqua" w:cs="Arial"/>
        </w:rPr>
        <w:t xml:space="preserve">The appellant </w:t>
      </w:r>
      <w:r w:rsidR="00DC1FBD" w:rsidRPr="0093415C">
        <w:rPr>
          <w:rFonts w:ascii="Book Antiqua" w:hAnsi="Book Antiqua" w:cs="Arial"/>
        </w:rPr>
        <w:t xml:space="preserve">says he was born in October 2000 in Eritrea to parents both of whom were Eritrean citizens, but that he and his mother left Eritrea for Ethiopia in 2006, when he was 6 years old. </w:t>
      </w:r>
      <w:r w:rsidR="00543959" w:rsidRPr="0093415C">
        <w:rPr>
          <w:rFonts w:ascii="Book Antiqua" w:hAnsi="Book Antiqua" w:cs="Arial"/>
        </w:rPr>
        <w:t xml:space="preserve"> The appellant could not remember much about Eritrea, not even what his father’s police uniform looked like.  </w:t>
      </w:r>
      <w:r w:rsidR="00DC1FBD" w:rsidRPr="0093415C">
        <w:rPr>
          <w:rFonts w:ascii="Book Antiqua" w:hAnsi="Book Antiqua" w:cs="Arial"/>
        </w:rPr>
        <w:t xml:space="preserve">He does not </w:t>
      </w:r>
      <w:r w:rsidR="00543959" w:rsidRPr="0093415C">
        <w:rPr>
          <w:rFonts w:ascii="Book Antiqua" w:hAnsi="Book Antiqua" w:cs="Arial"/>
        </w:rPr>
        <w:t>remember</w:t>
      </w:r>
      <w:r w:rsidR="00DC1FBD" w:rsidRPr="0093415C">
        <w:rPr>
          <w:rFonts w:ascii="Book Antiqua" w:hAnsi="Book Antiqua" w:cs="Arial"/>
        </w:rPr>
        <w:t xml:space="preserve"> why</w:t>
      </w:r>
      <w:r w:rsidR="00543959" w:rsidRPr="0093415C">
        <w:rPr>
          <w:rFonts w:ascii="Book Antiqua" w:hAnsi="Book Antiqua" w:cs="Arial"/>
        </w:rPr>
        <w:t xml:space="preserve"> they left</w:t>
      </w:r>
      <w:r w:rsidR="00DC1FBD" w:rsidRPr="0093415C">
        <w:rPr>
          <w:rFonts w:ascii="Book Antiqua" w:hAnsi="Book Antiqua" w:cs="Arial"/>
        </w:rPr>
        <w:t xml:space="preserve">, but his mother told him later that the appellant’s father was having problems in his employment as a police officer in Eritrea. His father remained behind and the appellant was told by relatives that he died in 2008, when the appellant was 8 years old. </w:t>
      </w:r>
    </w:p>
    <w:p w:rsidR="0093415C" w:rsidRDefault="00DC1FBD" w:rsidP="00E147B4">
      <w:pPr>
        <w:numPr>
          <w:ilvl w:val="0"/>
          <w:numId w:val="1"/>
        </w:numPr>
        <w:tabs>
          <w:tab w:val="clear" w:pos="720"/>
          <w:tab w:val="num" w:pos="360"/>
          <w:tab w:val="left" w:pos="567"/>
        </w:tabs>
        <w:spacing w:before="240"/>
        <w:ind w:left="360"/>
        <w:jc w:val="both"/>
        <w:rPr>
          <w:rFonts w:ascii="Book Antiqua" w:hAnsi="Book Antiqua" w:cs="Arial"/>
        </w:rPr>
      </w:pPr>
      <w:r w:rsidRPr="0093415C">
        <w:rPr>
          <w:rFonts w:ascii="Book Antiqua" w:hAnsi="Book Antiqua" w:cs="Arial"/>
        </w:rPr>
        <w:t xml:space="preserve">In </w:t>
      </w:r>
      <w:r w:rsidR="00543959" w:rsidRPr="0093415C">
        <w:rPr>
          <w:rFonts w:ascii="Book Antiqua" w:hAnsi="Book Antiqua" w:cs="Arial"/>
        </w:rPr>
        <w:t>Ethiopia</w:t>
      </w:r>
      <w:r w:rsidRPr="0093415C">
        <w:rPr>
          <w:rFonts w:ascii="Book Antiqua" w:hAnsi="Book Antiqua" w:cs="Arial"/>
        </w:rPr>
        <w:t>, the appellant and his mother lived</w:t>
      </w:r>
      <w:r w:rsidR="00543959" w:rsidRPr="0093415C">
        <w:rPr>
          <w:rFonts w:ascii="Book Antiqua" w:hAnsi="Book Antiqua" w:cs="Arial"/>
        </w:rPr>
        <w:t xml:space="preserve"> for the next 6 years</w:t>
      </w:r>
      <w:r w:rsidRPr="0093415C">
        <w:rPr>
          <w:rFonts w:ascii="Book Antiqua" w:hAnsi="Book Antiqua" w:cs="Arial"/>
        </w:rPr>
        <w:t xml:space="preserve"> with a paternal</w:t>
      </w:r>
      <w:r w:rsidR="00543959" w:rsidRPr="0093415C">
        <w:rPr>
          <w:rFonts w:ascii="Book Antiqua" w:hAnsi="Book Antiqua" w:cs="Arial"/>
        </w:rPr>
        <w:t xml:space="preserve"> or maternal</w:t>
      </w:r>
      <w:r w:rsidRPr="0093415C">
        <w:rPr>
          <w:rFonts w:ascii="Book Antiqua" w:hAnsi="Book Antiqua" w:cs="Arial"/>
        </w:rPr>
        <w:t xml:space="preserve"> uncle.   The appellant</w:t>
      </w:r>
      <w:r w:rsidR="00543959" w:rsidRPr="0093415C">
        <w:rPr>
          <w:rFonts w:ascii="Book Antiqua" w:hAnsi="Book Antiqua" w:cs="Arial"/>
        </w:rPr>
        <w:t xml:space="preserve"> said it was difficult for him to go to school in Ethiopia, but that he</w:t>
      </w:r>
      <w:r w:rsidRPr="0093415C">
        <w:rPr>
          <w:rFonts w:ascii="Book Antiqua" w:hAnsi="Book Antiqua" w:cs="Arial"/>
        </w:rPr>
        <w:t xml:space="preserve"> was able to study from grades 1-5 in a fee-paying Ethiopian school, his mother</w:t>
      </w:r>
      <w:r w:rsidR="00C46EDB" w:rsidRPr="0093415C">
        <w:rPr>
          <w:rFonts w:ascii="Book Antiqua" w:hAnsi="Book Antiqua" w:cs="Arial"/>
        </w:rPr>
        <w:t xml:space="preserve"> working as a baker and</w:t>
      </w:r>
      <w:r w:rsidRPr="0093415C">
        <w:rPr>
          <w:rFonts w:ascii="Book Antiqua" w:hAnsi="Book Antiqua" w:cs="Arial"/>
        </w:rPr>
        <w:t xml:space="preserve"> paying the</w:t>
      </w:r>
      <w:r w:rsidR="00C46EDB" w:rsidRPr="0093415C">
        <w:rPr>
          <w:rFonts w:ascii="Book Antiqua" w:hAnsi="Book Antiqua" w:cs="Arial"/>
        </w:rPr>
        <w:t>ir</w:t>
      </w:r>
      <w:r w:rsidR="00543959" w:rsidRPr="0093415C">
        <w:rPr>
          <w:rFonts w:ascii="Book Antiqua" w:hAnsi="Book Antiqua" w:cs="Arial"/>
        </w:rPr>
        <w:t xml:space="preserve"> Ethiopian</w:t>
      </w:r>
      <w:r w:rsidRPr="0093415C">
        <w:rPr>
          <w:rFonts w:ascii="Book Antiqua" w:hAnsi="Book Antiqua" w:cs="Arial"/>
        </w:rPr>
        <w:t xml:space="preserve"> landlord, who in turn paid the school fees.</w:t>
      </w:r>
      <w:r w:rsidR="00543959" w:rsidRPr="0093415C">
        <w:rPr>
          <w:rFonts w:ascii="Book Antiqua" w:hAnsi="Book Antiqua" w:cs="Arial"/>
        </w:rPr>
        <w:t xml:space="preserve">  </w:t>
      </w:r>
      <w:r w:rsidR="0093415C">
        <w:rPr>
          <w:rFonts w:ascii="Book Antiqua" w:hAnsi="Book Antiqua" w:cs="Arial"/>
        </w:rPr>
        <w:t xml:space="preserve">The landlord pretended to be the appellant’s father </w:t>
      </w:r>
      <w:proofErr w:type="gramStart"/>
      <w:r w:rsidR="0093415C">
        <w:rPr>
          <w:rFonts w:ascii="Book Antiqua" w:hAnsi="Book Antiqua" w:cs="Arial"/>
        </w:rPr>
        <w:t>in order for</w:t>
      </w:r>
      <w:proofErr w:type="gramEnd"/>
      <w:r w:rsidR="0093415C">
        <w:rPr>
          <w:rFonts w:ascii="Book Antiqua" w:hAnsi="Book Antiqua" w:cs="Arial"/>
        </w:rPr>
        <w:t xml:space="preserve"> him to have education.  </w:t>
      </w:r>
    </w:p>
    <w:p w:rsidR="0093415C" w:rsidRPr="0093415C" w:rsidRDefault="0093415C" w:rsidP="0093415C">
      <w:pPr>
        <w:numPr>
          <w:ilvl w:val="0"/>
          <w:numId w:val="1"/>
        </w:numPr>
        <w:tabs>
          <w:tab w:val="clear" w:pos="720"/>
          <w:tab w:val="num" w:pos="360"/>
          <w:tab w:val="left" w:pos="567"/>
        </w:tabs>
        <w:spacing w:before="240"/>
        <w:ind w:left="360"/>
        <w:jc w:val="both"/>
        <w:rPr>
          <w:rFonts w:ascii="Book Antiqua" w:hAnsi="Book Antiqua" w:cs="Arial"/>
        </w:rPr>
      </w:pPr>
      <w:r w:rsidRPr="0093415C">
        <w:rPr>
          <w:rFonts w:ascii="Book Antiqua" w:hAnsi="Book Antiqua" w:cs="Arial"/>
        </w:rPr>
        <w:t xml:space="preserve">The appellant’s evidence was that his grandmother still lived in Eritrea and that his </w:t>
      </w:r>
      <w:bookmarkStart w:id="0" w:name="_GoBack"/>
      <w:bookmarkEnd w:id="0"/>
      <w:r w:rsidRPr="0093415C">
        <w:rPr>
          <w:rFonts w:ascii="Book Antiqua" w:hAnsi="Book Antiqua" w:cs="Arial"/>
        </w:rPr>
        <w:t>mother was in contact with her.  The appellant claimed to be at risk of conscription in Eritrea if returned there now.</w:t>
      </w:r>
    </w:p>
    <w:p w:rsidR="00DC1FBD" w:rsidRPr="0093415C" w:rsidRDefault="00543959" w:rsidP="00E147B4">
      <w:pPr>
        <w:numPr>
          <w:ilvl w:val="0"/>
          <w:numId w:val="1"/>
        </w:numPr>
        <w:tabs>
          <w:tab w:val="clear" w:pos="720"/>
          <w:tab w:val="num" w:pos="360"/>
          <w:tab w:val="left" w:pos="567"/>
        </w:tabs>
        <w:spacing w:before="240"/>
        <w:ind w:left="360"/>
        <w:jc w:val="both"/>
        <w:rPr>
          <w:rFonts w:ascii="Book Antiqua" w:hAnsi="Book Antiqua" w:cs="Arial"/>
        </w:rPr>
      </w:pPr>
      <w:r w:rsidRPr="0093415C">
        <w:rPr>
          <w:rFonts w:ascii="Book Antiqua" w:hAnsi="Book Antiqua" w:cs="Arial"/>
        </w:rPr>
        <w:t xml:space="preserve">Neither the appellant nor his mother at any time applied for, or asserted, Ethiopian citizenship. </w:t>
      </w:r>
      <w:r w:rsidR="0093415C" w:rsidRPr="0093415C">
        <w:rPr>
          <w:rFonts w:ascii="Book Antiqua" w:hAnsi="Book Antiqua" w:cs="Arial"/>
        </w:rPr>
        <w:t>The appellant’s evidence was that Tigrinya</w:t>
      </w:r>
      <w:r w:rsidR="0093415C">
        <w:rPr>
          <w:rFonts w:ascii="Book Antiqua" w:hAnsi="Book Antiqua" w:cs="Arial"/>
        </w:rPr>
        <w:t xml:space="preserve">, the principal language of Eritrea, was </w:t>
      </w:r>
      <w:r w:rsidR="0093415C" w:rsidRPr="0093415C">
        <w:rPr>
          <w:rFonts w:ascii="Book Antiqua" w:hAnsi="Book Antiqua" w:cs="Arial"/>
        </w:rPr>
        <w:t>the language spoken in his home, and he gave evidence in</w:t>
      </w:r>
      <w:r w:rsidR="0093415C">
        <w:rPr>
          <w:rFonts w:ascii="Book Antiqua" w:hAnsi="Book Antiqua" w:cs="Arial"/>
        </w:rPr>
        <w:t xml:space="preserve"> that language</w:t>
      </w:r>
      <w:r w:rsidR="0093415C" w:rsidRPr="0093415C">
        <w:rPr>
          <w:rFonts w:ascii="Book Antiqua" w:hAnsi="Book Antiqua" w:cs="Arial"/>
        </w:rPr>
        <w:t>.  The appellant said he spoke</w:t>
      </w:r>
      <w:r w:rsidR="0093415C">
        <w:rPr>
          <w:rFonts w:ascii="Book Antiqua" w:hAnsi="Book Antiqua" w:cs="Arial"/>
        </w:rPr>
        <w:t xml:space="preserve"> some</w:t>
      </w:r>
      <w:r w:rsidR="0093415C" w:rsidRPr="0093415C">
        <w:rPr>
          <w:rFonts w:ascii="Book Antiqua" w:hAnsi="Book Antiqua" w:cs="Arial"/>
        </w:rPr>
        <w:t xml:space="preserve"> Amharic, but was more comfortable in Tigrinya.  </w:t>
      </w:r>
    </w:p>
    <w:p w:rsidR="00543959" w:rsidRPr="0093415C" w:rsidRDefault="00543959" w:rsidP="00E147B4">
      <w:pPr>
        <w:numPr>
          <w:ilvl w:val="0"/>
          <w:numId w:val="1"/>
        </w:numPr>
        <w:tabs>
          <w:tab w:val="clear" w:pos="720"/>
          <w:tab w:val="num" w:pos="360"/>
          <w:tab w:val="left" w:pos="567"/>
        </w:tabs>
        <w:spacing w:before="240"/>
        <w:ind w:left="360"/>
        <w:jc w:val="both"/>
        <w:rPr>
          <w:rFonts w:ascii="Book Antiqua" w:hAnsi="Book Antiqua" w:cs="Arial"/>
        </w:rPr>
      </w:pPr>
      <w:r w:rsidRPr="0093415C">
        <w:rPr>
          <w:rFonts w:ascii="Book Antiqua" w:hAnsi="Book Antiqua" w:cs="Arial"/>
        </w:rPr>
        <w:t xml:space="preserve">In November 2014, when the appellant was 14 years old, the appellant’s mother told him to leave Ethiopia with his uncle and he travelled first to Sudan for 2 months, then for over a year in Libya, where his uncle died in a car accident.  The appellant, still a minor, travelled on to Italy, where he was fingerprinted on 28 May 2016, and on through France to the United Kingdom.  </w:t>
      </w:r>
      <w:r w:rsidR="0093415C">
        <w:rPr>
          <w:rFonts w:ascii="Book Antiqua" w:hAnsi="Book Antiqua" w:cs="Arial"/>
        </w:rPr>
        <w:t xml:space="preserve">  He had no contact with his mother after leaving Ethiopia, on his account. </w:t>
      </w:r>
    </w:p>
    <w:p w:rsidR="00C46EDB" w:rsidRPr="0093415C" w:rsidRDefault="00DC1FBD" w:rsidP="00E147B4">
      <w:pPr>
        <w:numPr>
          <w:ilvl w:val="0"/>
          <w:numId w:val="1"/>
        </w:numPr>
        <w:tabs>
          <w:tab w:val="clear" w:pos="720"/>
          <w:tab w:val="num" w:pos="360"/>
          <w:tab w:val="left" w:pos="567"/>
        </w:tabs>
        <w:spacing w:before="240"/>
        <w:ind w:left="360"/>
        <w:jc w:val="both"/>
        <w:rPr>
          <w:rFonts w:ascii="Book Antiqua" w:hAnsi="Book Antiqua" w:cs="Arial"/>
        </w:rPr>
      </w:pPr>
      <w:r w:rsidRPr="0093415C">
        <w:rPr>
          <w:rFonts w:ascii="Book Antiqua" w:hAnsi="Book Antiqua" w:cs="Arial"/>
        </w:rPr>
        <w:t xml:space="preserve">The appellant </w:t>
      </w:r>
      <w:r w:rsidR="00917BCB" w:rsidRPr="0093415C">
        <w:rPr>
          <w:rFonts w:ascii="Book Antiqua" w:hAnsi="Book Antiqua" w:cs="Arial"/>
        </w:rPr>
        <w:t xml:space="preserve">stated that he entered the United Kingdom clandestinely on 27 January 2017. </w:t>
      </w:r>
      <w:r w:rsidR="00543959" w:rsidRPr="0093415C">
        <w:rPr>
          <w:rFonts w:ascii="Book Antiqua" w:hAnsi="Book Antiqua" w:cs="Arial"/>
        </w:rPr>
        <w:t xml:space="preserve">  He was 16 years old and claimed asylum based on the risk to him of forced military </w:t>
      </w:r>
      <w:proofErr w:type="gramStart"/>
      <w:r w:rsidR="00543959" w:rsidRPr="0093415C">
        <w:rPr>
          <w:rFonts w:ascii="Book Antiqua" w:hAnsi="Book Antiqua" w:cs="Arial"/>
        </w:rPr>
        <w:t>service  in</w:t>
      </w:r>
      <w:proofErr w:type="gramEnd"/>
      <w:r w:rsidR="00543959" w:rsidRPr="0093415C">
        <w:rPr>
          <w:rFonts w:ascii="Book Antiqua" w:hAnsi="Book Antiqua" w:cs="Arial"/>
        </w:rPr>
        <w:t xml:space="preserve"> Eritrea.  On 21 July 2017 the respondent refused international protection</w:t>
      </w:r>
      <w:r w:rsidR="00C46EDB" w:rsidRPr="0093415C">
        <w:rPr>
          <w:rFonts w:ascii="Book Antiqua" w:hAnsi="Book Antiqua" w:cs="Arial"/>
        </w:rPr>
        <w:t>, granting discretionary leave until the appellant would reach the age of 17½.</w:t>
      </w:r>
    </w:p>
    <w:p w:rsidR="00E147B4" w:rsidRPr="0093415C" w:rsidRDefault="00C46EDB" w:rsidP="00E147B4">
      <w:pPr>
        <w:numPr>
          <w:ilvl w:val="0"/>
          <w:numId w:val="1"/>
        </w:numPr>
        <w:tabs>
          <w:tab w:val="clear" w:pos="720"/>
          <w:tab w:val="num" w:pos="360"/>
          <w:tab w:val="left" w:pos="567"/>
        </w:tabs>
        <w:spacing w:before="240"/>
        <w:ind w:left="360"/>
        <w:jc w:val="both"/>
        <w:rPr>
          <w:rFonts w:ascii="Book Antiqua" w:hAnsi="Book Antiqua" w:cs="Arial"/>
        </w:rPr>
      </w:pPr>
      <w:r w:rsidRPr="0093415C">
        <w:rPr>
          <w:rFonts w:ascii="Book Antiqua" w:hAnsi="Book Antiqua" w:cs="Arial"/>
        </w:rPr>
        <w:t xml:space="preserve">The </w:t>
      </w:r>
      <w:r w:rsidR="00543959" w:rsidRPr="0093415C">
        <w:rPr>
          <w:rFonts w:ascii="Book Antiqua" w:hAnsi="Book Antiqua" w:cs="Arial"/>
        </w:rPr>
        <w:t xml:space="preserve">appellant appealed to the First-tier Tribunal. </w:t>
      </w:r>
    </w:p>
    <w:p w:rsidR="007D3892" w:rsidRDefault="007D3892" w:rsidP="00D51814">
      <w:pPr>
        <w:tabs>
          <w:tab w:val="left" w:pos="567"/>
        </w:tabs>
        <w:spacing w:before="240"/>
        <w:jc w:val="both"/>
        <w:rPr>
          <w:rFonts w:ascii="Book Antiqua" w:hAnsi="Book Antiqua" w:cs="Arial"/>
          <w:b/>
        </w:rPr>
      </w:pPr>
    </w:p>
    <w:p w:rsidR="007D3892" w:rsidRDefault="007D3892" w:rsidP="00D51814">
      <w:pPr>
        <w:tabs>
          <w:tab w:val="left" w:pos="567"/>
        </w:tabs>
        <w:spacing w:before="240"/>
        <w:jc w:val="both"/>
        <w:rPr>
          <w:rFonts w:ascii="Book Antiqua" w:hAnsi="Book Antiqua" w:cs="Arial"/>
          <w:b/>
        </w:rPr>
      </w:pPr>
    </w:p>
    <w:p w:rsidR="00D51814" w:rsidRPr="0093415C" w:rsidRDefault="00D51814" w:rsidP="00D51814">
      <w:pPr>
        <w:tabs>
          <w:tab w:val="left" w:pos="567"/>
        </w:tabs>
        <w:spacing w:before="240"/>
        <w:jc w:val="both"/>
        <w:rPr>
          <w:rFonts w:ascii="Book Antiqua" w:hAnsi="Book Antiqua" w:cs="Arial"/>
          <w:b/>
        </w:rPr>
      </w:pPr>
      <w:r w:rsidRPr="0093415C">
        <w:rPr>
          <w:rFonts w:ascii="Book Antiqua" w:hAnsi="Book Antiqua" w:cs="Arial"/>
          <w:b/>
        </w:rPr>
        <w:lastRenderedPageBreak/>
        <w:t xml:space="preserve">First-tier Tribunal decision </w:t>
      </w:r>
    </w:p>
    <w:p w:rsidR="00C46EDB" w:rsidRPr="0093415C" w:rsidRDefault="004A7EF2" w:rsidP="00E147B4">
      <w:pPr>
        <w:numPr>
          <w:ilvl w:val="0"/>
          <w:numId w:val="1"/>
        </w:numPr>
        <w:tabs>
          <w:tab w:val="clear" w:pos="720"/>
          <w:tab w:val="num" w:pos="360"/>
          <w:tab w:val="left" w:pos="567"/>
        </w:tabs>
        <w:spacing w:before="240"/>
        <w:ind w:left="360"/>
        <w:jc w:val="both"/>
        <w:rPr>
          <w:rFonts w:ascii="Book Antiqua" w:hAnsi="Book Antiqua" w:cs="Arial"/>
        </w:rPr>
      </w:pPr>
      <w:r w:rsidRPr="0093415C">
        <w:rPr>
          <w:rFonts w:ascii="Book Antiqua" w:hAnsi="Book Antiqua" w:cs="Arial"/>
        </w:rPr>
        <w:t xml:space="preserve">The First-tier Tribunal considered the appeal and delivered its </w:t>
      </w:r>
      <w:proofErr w:type="gramStart"/>
      <w:r w:rsidRPr="0093415C">
        <w:rPr>
          <w:rFonts w:ascii="Book Antiqua" w:hAnsi="Book Antiqua" w:cs="Arial"/>
        </w:rPr>
        <w:t>decision  on</w:t>
      </w:r>
      <w:proofErr w:type="gramEnd"/>
      <w:r w:rsidRPr="0093415C">
        <w:rPr>
          <w:rFonts w:ascii="Book Antiqua" w:hAnsi="Book Antiqua" w:cs="Arial"/>
        </w:rPr>
        <w:t xml:space="preserve"> 4 September 2017.  The appellant was still 16 years old.  The Judge </w:t>
      </w:r>
      <w:proofErr w:type="gramStart"/>
      <w:r w:rsidRPr="0093415C">
        <w:rPr>
          <w:rFonts w:ascii="Book Antiqua" w:hAnsi="Book Antiqua" w:cs="Arial"/>
        </w:rPr>
        <w:t>took into account</w:t>
      </w:r>
      <w:proofErr w:type="gramEnd"/>
      <w:r w:rsidRPr="0093415C">
        <w:rPr>
          <w:rFonts w:ascii="Book Antiqua" w:hAnsi="Book Antiqua" w:cs="Arial"/>
        </w:rPr>
        <w:t xml:space="preserve"> the appellant’s young age and the lower standard of proof applicable in international protection appeals.   He accepted that the appellant’s first language was Tigrinya, the principal language in Eritrea.  </w:t>
      </w:r>
      <w:r w:rsidR="00C46EDB" w:rsidRPr="0093415C">
        <w:rPr>
          <w:rFonts w:ascii="Book Antiqua" w:hAnsi="Book Antiqua" w:cs="Arial"/>
        </w:rPr>
        <w:t>He had not had any contact with his mother since leaving Ethiopia, which the Judge considered damaged his credibility, as did the appellant’s failure to access protection in Italy or France en route to the United Kingdom.</w:t>
      </w:r>
    </w:p>
    <w:p w:rsidR="004A7EF2" w:rsidRPr="0093415C" w:rsidRDefault="004A7EF2" w:rsidP="00E147B4">
      <w:pPr>
        <w:numPr>
          <w:ilvl w:val="0"/>
          <w:numId w:val="1"/>
        </w:numPr>
        <w:tabs>
          <w:tab w:val="clear" w:pos="720"/>
          <w:tab w:val="num" w:pos="360"/>
          <w:tab w:val="left" w:pos="567"/>
        </w:tabs>
        <w:spacing w:before="240"/>
        <w:ind w:left="360"/>
        <w:jc w:val="both"/>
        <w:rPr>
          <w:rFonts w:ascii="Book Antiqua" w:hAnsi="Book Antiqua" w:cs="Arial"/>
        </w:rPr>
      </w:pPr>
      <w:r w:rsidRPr="0093415C">
        <w:rPr>
          <w:rFonts w:ascii="Book Antiqua" w:hAnsi="Book Antiqua" w:cs="Arial"/>
        </w:rPr>
        <w:t xml:space="preserve">The Judge did not treat the appellant’s language as determinative of his nationality.  He noted that the appellant’s evidence about Eritrea was vague, but had regard to the fact that he left Eritrea aged 6.  He noted evidence that the appellant was the only one of 3 brothers and sisters who received education in Ethiopia, and that his landlord pretended to be the appellant’s father </w:t>
      </w:r>
      <w:proofErr w:type="gramStart"/>
      <w:r w:rsidRPr="0093415C">
        <w:rPr>
          <w:rFonts w:ascii="Book Antiqua" w:hAnsi="Book Antiqua" w:cs="Arial"/>
        </w:rPr>
        <w:t>in order to</w:t>
      </w:r>
      <w:proofErr w:type="gramEnd"/>
      <w:r w:rsidRPr="0093415C">
        <w:rPr>
          <w:rFonts w:ascii="Book Antiqua" w:hAnsi="Book Antiqua" w:cs="Arial"/>
        </w:rPr>
        <w:t xml:space="preserve"> obtain paid education for him.</w:t>
      </w:r>
    </w:p>
    <w:p w:rsidR="0093415C" w:rsidRDefault="004A7EF2" w:rsidP="00E147B4">
      <w:pPr>
        <w:numPr>
          <w:ilvl w:val="0"/>
          <w:numId w:val="1"/>
        </w:numPr>
        <w:tabs>
          <w:tab w:val="clear" w:pos="720"/>
          <w:tab w:val="num" w:pos="360"/>
          <w:tab w:val="left" w:pos="567"/>
        </w:tabs>
        <w:spacing w:before="240"/>
        <w:ind w:left="360"/>
        <w:jc w:val="both"/>
        <w:rPr>
          <w:rFonts w:ascii="Book Antiqua" w:hAnsi="Book Antiqua" w:cs="Arial"/>
        </w:rPr>
      </w:pPr>
      <w:r w:rsidRPr="0093415C">
        <w:rPr>
          <w:rFonts w:ascii="Book Antiqua" w:hAnsi="Book Antiqua" w:cs="Arial"/>
        </w:rPr>
        <w:t xml:space="preserve">The Judge found that the nationality information in the respondent’s refusal letter indicated that he and his mother could and should have accessed Ethiopian nationality while they were living there. </w:t>
      </w:r>
      <w:r w:rsidR="00C46EDB" w:rsidRPr="0093415C">
        <w:rPr>
          <w:rFonts w:ascii="Book Antiqua" w:hAnsi="Book Antiqua" w:cs="Arial"/>
        </w:rPr>
        <w:t xml:space="preserve"> The Judge made a comprehensive </w:t>
      </w:r>
      <w:r w:rsidR="0011139A" w:rsidRPr="0093415C">
        <w:rPr>
          <w:rFonts w:ascii="Book Antiqua" w:hAnsi="Book Antiqua" w:cs="Arial"/>
        </w:rPr>
        <w:t>negative</w:t>
      </w:r>
      <w:r w:rsidR="00C46EDB" w:rsidRPr="0093415C">
        <w:rPr>
          <w:rFonts w:ascii="Book Antiqua" w:hAnsi="Book Antiqua" w:cs="Arial"/>
        </w:rPr>
        <w:t xml:space="preserve"> credibility finding and dismissed the appeal.  </w:t>
      </w:r>
    </w:p>
    <w:p w:rsidR="004A7EF2" w:rsidRPr="0093415C" w:rsidRDefault="00C46EDB" w:rsidP="00E147B4">
      <w:pPr>
        <w:numPr>
          <w:ilvl w:val="0"/>
          <w:numId w:val="1"/>
        </w:numPr>
        <w:tabs>
          <w:tab w:val="clear" w:pos="720"/>
          <w:tab w:val="num" w:pos="360"/>
          <w:tab w:val="left" w:pos="567"/>
        </w:tabs>
        <w:spacing w:before="240"/>
        <w:ind w:left="360"/>
        <w:jc w:val="both"/>
        <w:rPr>
          <w:rFonts w:ascii="Book Antiqua" w:hAnsi="Book Antiqua" w:cs="Arial"/>
        </w:rPr>
      </w:pPr>
      <w:r w:rsidRPr="0093415C">
        <w:rPr>
          <w:rFonts w:ascii="Book Antiqua" w:hAnsi="Book Antiqua" w:cs="Arial"/>
        </w:rPr>
        <w:t xml:space="preserve">The appellant appealed to the Upper Tribunal.  </w:t>
      </w:r>
    </w:p>
    <w:p w:rsidR="00D51814" w:rsidRPr="0093415C" w:rsidRDefault="00D51814" w:rsidP="00D51814">
      <w:pPr>
        <w:tabs>
          <w:tab w:val="left" w:pos="567"/>
        </w:tabs>
        <w:spacing w:before="240"/>
        <w:jc w:val="both"/>
        <w:rPr>
          <w:rFonts w:ascii="Book Antiqua" w:hAnsi="Book Antiqua" w:cs="Arial"/>
          <w:b/>
        </w:rPr>
      </w:pPr>
      <w:r w:rsidRPr="0093415C">
        <w:rPr>
          <w:rFonts w:ascii="Book Antiqua" w:hAnsi="Book Antiqua" w:cs="Arial"/>
          <w:b/>
        </w:rPr>
        <w:t xml:space="preserve">Permission to appeal </w:t>
      </w:r>
    </w:p>
    <w:p w:rsidR="0093415C" w:rsidRDefault="00C46EDB" w:rsidP="00E147B4">
      <w:pPr>
        <w:numPr>
          <w:ilvl w:val="0"/>
          <w:numId w:val="1"/>
        </w:numPr>
        <w:tabs>
          <w:tab w:val="clear" w:pos="720"/>
          <w:tab w:val="num" w:pos="360"/>
          <w:tab w:val="left" w:pos="567"/>
        </w:tabs>
        <w:spacing w:before="240"/>
        <w:ind w:left="360"/>
        <w:jc w:val="both"/>
        <w:rPr>
          <w:rFonts w:ascii="Book Antiqua" w:hAnsi="Book Antiqua" w:cs="Arial"/>
        </w:rPr>
      </w:pPr>
      <w:r w:rsidRPr="0093415C">
        <w:rPr>
          <w:rFonts w:ascii="Book Antiqua" w:hAnsi="Book Antiqua" w:cs="Arial"/>
        </w:rPr>
        <w:t xml:space="preserve">The grounds of appeal contained a challenge to the Judge’s reasoning, arguing that immaterial matters had been </w:t>
      </w:r>
      <w:proofErr w:type="gramStart"/>
      <w:r w:rsidRPr="0093415C">
        <w:rPr>
          <w:rFonts w:ascii="Book Antiqua" w:hAnsi="Book Antiqua" w:cs="Arial"/>
        </w:rPr>
        <w:t>taken into account</w:t>
      </w:r>
      <w:proofErr w:type="gramEnd"/>
      <w:r w:rsidRPr="0093415C">
        <w:rPr>
          <w:rFonts w:ascii="Book Antiqua" w:hAnsi="Book Antiqua" w:cs="Arial"/>
        </w:rPr>
        <w:t xml:space="preserve"> when assessing the appellant’s evidence and in particular, that there was no finding whether he had left Eritrea legally or not.  </w:t>
      </w:r>
    </w:p>
    <w:p w:rsidR="00D51814" w:rsidRPr="0093415C" w:rsidRDefault="00C46EDB" w:rsidP="00E147B4">
      <w:pPr>
        <w:numPr>
          <w:ilvl w:val="0"/>
          <w:numId w:val="1"/>
        </w:numPr>
        <w:tabs>
          <w:tab w:val="clear" w:pos="720"/>
          <w:tab w:val="num" w:pos="360"/>
          <w:tab w:val="left" w:pos="567"/>
        </w:tabs>
        <w:spacing w:before="240"/>
        <w:ind w:left="360"/>
        <w:jc w:val="both"/>
        <w:rPr>
          <w:rFonts w:ascii="Book Antiqua" w:hAnsi="Book Antiqua" w:cs="Arial"/>
        </w:rPr>
      </w:pPr>
      <w:r w:rsidRPr="0093415C">
        <w:rPr>
          <w:rFonts w:ascii="Book Antiqua" w:hAnsi="Book Antiqua" w:cs="Arial"/>
        </w:rPr>
        <w:t>Permission to appeal was granted on the basis that</w:t>
      </w:r>
      <w:proofErr w:type="gramStart"/>
      <w:r w:rsidRPr="0093415C">
        <w:rPr>
          <w:rFonts w:ascii="Book Antiqua" w:hAnsi="Book Antiqua" w:cs="Arial"/>
        </w:rPr>
        <w:t>, in particular, the</w:t>
      </w:r>
      <w:proofErr w:type="gramEnd"/>
      <w:r w:rsidRPr="0093415C">
        <w:rPr>
          <w:rFonts w:ascii="Book Antiqua" w:hAnsi="Book Antiqua" w:cs="Arial"/>
        </w:rPr>
        <w:t xml:space="preserve"> Judge’s reasoning on the acquisition of Ethiopian nationality was arguably erroneous and that the failure to contact his mother had been given disproportionate weight and insufficient weight given to his age at the various material times, including at the date of hearing. </w:t>
      </w:r>
    </w:p>
    <w:p w:rsidR="00D51814" w:rsidRPr="0093415C" w:rsidRDefault="00D51814" w:rsidP="00D51814">
      <w:pPr>
        <w:tabs>
          <w:tab w:val="left" w:pos="567"/>
        </w:tabs>
        <w:spacing w:before="240"/>
        <w:jc w:val="both"/>
        <w:rPr>
          <w:rFonts w:ascii="Book Antiqua" w:hAnsi="Book Antiqua" w:cs="Arial"/>
          <w:b/>
        </w:rPr>
      </w:pPr>
      <w:r w:rsidRPr="0093415C">
        <w:rPr>
          <w:rFonts w:ascii="Book Antiqua" w:hAnsi="Book Antiqua" w:cs="Arial"/>
          <w:b/>
        </w:rPr>
        <w:t>Rule 24 Reply</w:t>
      </w:r>
    </w:p>
    <w:p w:rsidR="00D51814" w:rsidRPr="0093415C" w:rsidRDefault="0011139A" w:rsidP="00E147B4">
      <w:pPr>
        <w:numPr>
          <w:ilvl w:val="0"/>
          <w:numId w:val="1"/>
        </w:numPr>
        <w:tabs>
          <w:tab w:val="clear" w:pos="720"/>
          <w:tab w:val="num" w:pos="360"/>
          <w:tab w:val="left" w:pos="567"/>
        </w:tabs>
        <w:spacing w:before="240"/>
        <w:ind w:left="360"/>
        <w:jc w:val="both"/>
        <w:rPr>
          <w:rFonts w:ascii="Book Antiqua" w:hAnsi="Book Antiqua" w:cs="Arial"/>
        </w:rPr>
      </w:pPr>
      <w:r w:rsidRPr="0093415C">
        <w:rPr>
          <w:rFonts w:ascii="Book Antiqua" w:hAnsi="Book Antiqua" w:cs="Arial"/>
        </w:rPr>
        <w:t xml:space="preserve">The respondent in his Rule 24 Reply asserted that the First-tier Tribunal had directed itself appropriately, that the findings of fact were adequate, and adequately reasoned, and that the First-tier Tribunal had been entitled to find that the appellant was not an Eritrean citizen, for the reasons given at page 4 of the Judge’s decision. </w:t>
      </w:r>
    </w:p>
    <w:p w:rsidR="00D51814" w:rsidRPr="0093415C" w:rsidRDefault="00D51814" w:rsidP="00E147B4">
      <w:pPr>
        <w:numPr>
          <w:ilvl w:val="0"/>
          <w:numId w:val="1"/>
        </w:numPr>
        <w:tabs>
          <w:tab w:val="clear" w:pos="720"/>
          <w:tab w:val="num" w:pos="360"/>
          <w:tab w:val="left" w:pos="567"/>
        </w:tabs>
        <w:spacing w:before="240"/>
        <w:ind w:left="360"/>
        <w:jc w:val="both"/>
        <w:rPr>
          <w:rFonts w:ascii="Book Antiqua" w:hAnsi="Book Antiqua" w:cs="Arial"/>
        </w:rPr>
      </w:pPr>
      <w:r w:rsidRPr="0093415C">
        <w:rPr>
          <w:rFonts w:ascii="Book Antiqua" w:hAnsi="Book Antiqua" w:cs="Arial"/>
        </w:rPr>
        <w:t>That is the basis on which this appeal came before the Upper Tribunal.</w:t>
      </w:r>
    </w:p>
    <w:p w:rsidR="00D51814" w:rsidRPr="0093415C" w:rsidRDefault="00D51814" w:rsidP="00D51814">
      <w:pPr>
        <w:tabs>
          <w:tab w:val="left" w:pos="567"/>
        </w:tabs>
        <w:spacing w:before="240"/>
        <w:jc w:val="both"/>
        <w:rPr>
          <w:rFonts w:ascii="Book Antiqua" w:hAnsi="Book Antiqua" w:cs="Arial"/>
          <w:b/>
        </w:rPr>
      </w:pPr>
      <w:r w:rsidRPr="0093415C">
        <w:rPr>
          <w:rFonts w:ascii="Book Antiqua" w:hAnsi="Book Antiqua" w:cs="Arial"/>
          <w:b/>
        </w:rPr>
        <w:t>Upper Tribunal hearing</w:t>
      </w:r>
    </w:p>
    <w:p w:rsidR="00D51814" w:rsidRPr="0093415C" w:rsidRDefault="0011139A" w:rsidP="00E147B4">
      <w:pPr>
        <w:numPr>
          <w:ilvl w:val="0"/>
          <w:numId w:val="1"/>
        </w:numPr>
        <w:tabs>
          <w:tab w:val="clear" w:pos="720"/>
          <w:tab w:val="num" w:pos="360"/>
          <w:tab w:val="left" w:pos="567"/>
        </w:tabs>
        <w:spacing w:before="240"/>
        <w:ind w:left="360"/>
        <w:jc w:val="both"/>
        <w:rPr>
          <w:rFonts w:ascii="Book Antiqua" w:hAnsi="Book Antiqua" w:cs="Arial"/>
        </w:rPr>
      </w:pPr>
      <w:r w:rsidRPr="0093415C">
        <w:rPr>
          <w:rFonts w:ascii="Book Antiqua" w:hAnsi="Book Antiqua" w:cs="Arial"/>
        </w:rPr>
        <w:t xml:space="preserve">At the hearing, Mr Diwnycz for the respondent reminded me that the respondent had sought to withdraw and remake </w:t>
      </w:r>
      <w:r w:rsidR="0093415C">
        <w:rPr>
          <w:rFonts w:ascii="Book Antiqua" w:hAnsi="Book Antiqua" w:cs="Arial"/>
        </w:rPr>
        <w:t>his</w:t>
      </w:r>
      <w:r w:rsidRPr="0093415C">
        <w:rPr>
          <w:rFonts w:ascii="Book Antiqua" w:hAnsi="Book Antiqua" w:cs="Arial"/>
        </w:rPr>
        <w:t xml:space="preserve"> decision, but that the First-tier Tribunal had refused permission for withdrawal, and the respondent had not challenged that ruling.  The respondent was not now seeking to withdraw the decision.</w:t>
      </w:r>
    </w:p>
    <w:p w:rsidR="00D51814" w:rsidRPr="0093415C" w:rsidRDefault="00D51814" w:rsidP="00D51814">
      <w:pPr>
        <w:tabs>
          <w:tab w:val="left" w:pos="567"/>
        </w:tabs>
        <w:spacing w:before="240"/>
        <w:jc w:val="both"/>
        <w:rPr>
          <w:rFonts w:ascii="Book Antiqua" w:hAnsi="Book Antiqua" w:cs="Arial"/>
          <w:b/>
        </w:rPr>
      </w:pPr>
      <w:r w:rsidRPr="0093415C">
        <w:rPr>
          <w:rFonts w:ascii="Book Antiqua" w:hAnsi="Book Antiqua" w:cs="Arial"/>
          <w:b/>
        </w:rPr>
        <w:lastRenderedPageBreak/>
        <w:t xml:space="preserve">Discussion </w:t>
      </w:r>
    </w:p>
    <w:p w:rsidR="0011139A" w:rsidRPr="0093415C" w:rsidRDefault="0011139A" w:rsidP="0011139A">
      <w:pPr>
        <w:numPr>
          <w:ilvl w:val="0"/>
          <w:numId w:val="1"/>
        </w:numPr>
        <w:tabs>
          <w:tab w:val="clear" w:pos="720"/>
          <w:tab w:val="num" w:pos="360"/>
          <w:tab w:val="left" w:pos="567"/>
        </w:tabs>
        <w:spacing w:before="240"/>
        <w:ind w:left="360"/>
        <w:jc w:val="both"/>
        <w:rPr>
          <w:rFonts w:ascii="Book Antiqua" w:hAnsi="Book Antiqua" w:cs="Arial"/>
        </w:rPr>
      </w:pPr>
      <w:r w:rsidRPr="0093415C">
        <w:rPr>
          <w:rFonts w:ascii="Book Antiqua" w:hAnsi="Book Antiqua" w:cs="Arial"/>
        </w:rPr>
        <w:t>The Tribunal Procedure (First-tier Tribunal) (Immigration and Asylum Chamber) Rules 2014 at paragraph 17(2) requires the First-tier Tribunal to treat an appeal as withdrawn where the respondent has either given written or oral notice of withdrawal, specifying reasons, unless there are good reasons for refusing to accept a withdrawal.</w:t>
      </w:r>
      <w:r w:rsidR="00870B38" w:rsidRPr="0093415C">
        <w:rPr>
          <w:rFonts w:ascii="Book Antiqua" w:hAnsi="Book Antiqua" w:cs="Arial"/>
        </w:rPr>
        <w:t xml:space="preserve">  Page 2 of the decision (there are no paragraph numbers) applies that test correctly.  The respondent was not seeking to alter or review her decision, but rather to give different reasons with the outcome (apparently prejudged at the date of hearing) being the same.   The respondent, properly in my view, has not challenged or renewed that application to withdraw and has made no further decision in relation to this appellant. </w:t>
      </w:r>
      <w:r w:rsidRPr="0093415C">
        <w:rPr>
          <w:rFonts w:ascii="Book Antiqua" w:hAnsi="Book Antiqua" w:cs="Arial"/>
        </w:rPr>
        <w:t xml:space="preserve"> </w:t>
      </w:r>
    </w:p>
    <w:p w:rsidR="0011139A" w:rsidRPr="0093415C" w:rsidRDefault="0011139A" w:rsidP="00870B38">
      <w:pPr>
        <w:numPr>
          <w:ilvl w:val="0"/>
          <w:numId w:val="1"/>
        </w:numPr>
        <w:tabs>
          <w:tab w:val="clear" w:pos="720"/>
          <w:tab w:val="left" w:pos="567"/>
        </w:tabs>
        <w:spacing w:before="240"/>
        <w:ind w:left="360"/>
        <w:jc w:val="both"/>
        <w:rPr>
          <w:rFonts w:ascii="Book Antiqua" w:hAnsi="Book Antiqua" w:cs="Arial"/>
        </w:rPr>
      </w:pPr>
      <w:r w:rsidRPr="0093415C">
        <w:rPr>
          <w:rFonts w:ascii="Book Antiqua" w:hAnsi="Book Antiqua" w:cs="Arial"/>
        </w:rPr>
        <w:t>The</w:t>
      </w:r>
      <w:r w:rsidR="00870B38" w:rsidRPr="0093415C">
        <w:rPr>
          <w:rFonts w:ascii="Book Antiqua" w:hAnsi="Book Antiqua" w:cs="Arial"/>
        </w:rPr>
        <w:t xml:space="preserve"> </w:t>
      </w:r>
      <w:r w:rsidR="00870B38" w:rsidRPr="0093415C">
        <w:rPr>
          <w:rFonts w:ascii="Book Antiqua" w:hAnsi="Book Antiqua" w:cs="Arial"/>
          <w:i/>
        </w:rPr>
        <w:t>Tribunals Judiciary (Immigration and Asylum Chambers)</w:t>
      </w:r>
      <w:r w:rsidRPr="0093415C">
        <w:rPr>
          <w:rFonts w:ascii="Book Antiqua" w:hAnsi="Book Antiqua" w:cs="Arial"/>
          <w:i/>
        </w:rPr>
        <w:t xml:space="preserve"> </w:t>
      </w:r>
      <w:r w:rsidR="00870B38" w:rsidRPr="0093415C">
        <w:rPr>
          <w:rFonts w:ascii="Book Antiqua" w:hAnsi="Book Antiqua" w:cs="Arial"/>
          <w:i/>
        </w:rPr>
        <w:t xml:space="preserve">Joint Presidential Guidance Note No 2 of 2010: Child, </w:t>
      </w:r>
      <w:proofErr w:type="gramStart"/>
      <w:r w:rsidR="00870B38" w:rsidRPr="0093415C">
        <w:rPr>
          <w:rFonts w:ascii="Book Antiqua" w:hAnsi="Book Antiqua" w:cs="Arial"/>
          <w:i/>
        </w:rPr>
        <w:t>vulnerable  adult</w:t>
      </w:r>
      <w:proofErr w:type="gramEnd"/>
      <w:r w:rsidR="00870B38" w:rsidRPr="0093415C">
        <w:rPr>
          <w:rFonts w:ascii="Book Antiqua" w:hAnsi="Book Antiqua" w:cs="Arial"/>
          <w:i/>
        </w:rPr>
        <w:t xml:space="preserve"> and sensitive appellant guidance</w:t>
      </w:r>
      <w:r w:rsidR="00870B38" w:rsidRPr="0093415C">
        <w:rPr>
          <w:rFonts w:ascii="Book Antiqua" w:hAnsi="Book Antiqua" w:cs="Arial"/>
        </w:rPr>
        <w:t xml:space="preserve"> was not expressly applied in this decision</w:t>
      </w:r>
      <w:r w:rsidRPr="0093415C">
        <w:rPr>
          <w:rFonts w:ascii="Book Antiqua" w:hAnsi="Book Antiqua" w:cs="Arial"/>
        </w:rPr>
        <w:t>.</w:t>
      </w:r>
      <w:r w:rsidR="00870B38" w:rsidRPr="0093415C">
        <w:rPr>
          <w:rFonts w:ascii="Book Antiqua" w:hAnsi="Book Antiqua" w:cs="Arial"/>
        </w:rPr>
        <w:t xml:space="preserve">  However, I can discern no matter within that guidance which would have affected the outcome of the appeal.</w:t>
      </w:r>
      <w:r w:rsidRPr="0093415C">
        <w:rPr>
          <w:rFonts w:ascii="Book Antiqua" w:hAnsi="Book Antiqua" w:cs="Arial"/>
        </w:rPr>
        <w:t xml:space="preserve"> </w:t>
      </w:r>
    </w:p>
    <w:p w:rsidR="0093415C" w:rsidRDefault="00870B38" w:rsidP="00311AA9">
      <w:pPr>
        <w:numPr>
          <w:ilvl w:val="0"/>
          <w:numId w:val="1"/>
        </w:numPr>
        <w:tabs>
          <w:tab w:val="clear" w:pos="720"/>
          <w:tab w:val="num" w:pos="360"/>
          <w:tab w:val="left" w:pos="567"/>
        </w:tabs>
        <w:spacing w:before="240"/>
        <w:ind w:left="360"/>
        <w:jc w:val="both"/>
        <w:rPr>
          <w:rFonts w:ascii="Book Antiqua" w:hAnsi="Book Antiqua" w:cs="Arial"/>
        </w:rPr>
      </w:pPr>
      <w:r w:rsidRPr="0093415C">
        <w:rPr>
          <w:rFonts w:ascii="Book Antiqua" w:hAnsi="Book Antiqua" w:cs="Arial"/>
        </w:rPr>
        <w:t xml:space="preserve">There is, however, unarguably an error in the Tribunal’s approach to the question of Ethiopian nationality.  Reference is made to the excerpt </w:t>
      </w:r>
      <w:r w:rsidR="0093415C">
        <w:rPr>
          <w:rFonts w:ascii="Book Antiqua" w:hAnsi="Book Antiqua" w:cs="Arial"/>
        </w:rPr>
        <w:t>of the Ethiopian</w:t>
      </w:r>
      <w:r w:rsidRPr="0093415C">
        <w:rPr>
          <w:rFonts w:ascii="Book Antiqua" w:hAnsi="Book Antiqua" w:cs="Arial"/>
        </w:rPr>
        <w:t xml:space="preserve"> </w:t>
      </w:r>
      <w:r w:rsidR="0093415C" w:rsidRPr="0093415C">
        <w:rPr>
          <w:rFonts w:ascii="Book Antiqua" w:hAnsi="Book Antiqua" w:cs="Arial"/>
        </w:rPr>
        <w:t>Nationality</w:t>
      </w:r>
      <w:r w:rsidR="0093415C">
        <w:rPr>
          <w:rFonts w:ascii="Book Antiqua" w:hAnsi="Book Antiqua" w:cs="Arial"/>
        </w:rPr>
        <w:t xml:space="preserve"> Proclamation No.378/2003, arts 4, 5 and 9 of which (if complete) </w:t>
      </w:r>
      <w:r w:rsidRPr="0093415C">
        <w:rPr>
          <w:rFonts w:ascii="Book Antiqua" w:hAnsi="Book Antiqua" w:cs="Arial"/>
        </w:rPr>
        <w:t>appear at paragraph 13 of the refusal letter</w:t>
      </w:r>
      <w:r w:rsidR="0093415C">
        <w:rPr>
          <w:rFonts w:ascii="Book Antiqua" w:hAnsi="Book Antiqua" w:cs="Arial"/>
        </w:rPr>
        <w:t xml:space="preserve">.  </w:t>
      </w:r>
      <w:r w:rsidR="0093415C" w:rsidRPr="0093415C">
        <w:rPr>
          <w:rFonts w:ascii="Book Antiqua" w:hAnsi="Book Antiqua" w:cs="Arial"/>
        </w:rPr>
        <w:t xml:space="preserve">The </w:t>
      </w:r>
      <w:r w:rsidR="00311AA9" w:rsidRPr="0093415C">
        <w:rPr>
          <w:rFonts w:ascii="Book Antiqua" w:hAnsi="Book Antiqua" w:cs="Arial"/>
        </w:rPr>
        <w:t xml:space="preserve">Judge did not address his mind to the analysis of the Upper Tribunal in </w:t>
      </w:r>
      <w:r w:rsidR="00311AA9" w:rsidRPr="0093415C">
        <w:rPr>
          <w:rFonts w:ascii="Book Antiqua" w:hAnsi="Book Antiqua" w:cs="Arial"/>
          <w:i/>
        </w:rPr>
        <w:t>KK and others</w:t>
      </w:r>
      <w:r w:rsidR="00311AA9" w:rsidRPr="0093415C">
        <w:rPr>
          <w:rFonts w:ascii="Book Antiqua" w:hAnsi="Book Antiqua" w:cs="Arial"/>
        </w:rPr>
        <w:t xml:space="preserve"> (Nationality: North Korea) Korea CG [2011] UKUT 92 (IAC)</w:t>
      </w:r>
      <w:r w:rsidR="0093415C">
        <w:rPr>
          <w:rFonts w:ascii="Book Antiqua" w:hAnsi="Book Antiqua" w:cs="Arial"/>
        </w:rPr>
        <w:t xml:space="preserve"> as to nationality which a person ‘has’ and nationality which they may be able to acquire</w:t>
      </w:r>
      <w:r w:rsidRPr="0093415C">
        <w:rPr>
          <w:rFonts w:ascii="Book Antiqua" w:hAnsi="Book Antiqua" w:cs="Arial"/>
        </w:rPr>
        <w:t xml:space="preserve">.  </w:t>
      </w:r>
    </w:p>
    <w:p w:rsidR="00D51814" w:rsidRPr="0093415C" w:rsidRDefault="0093415C" w:rsidP="00311AA9">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In addition</w:t>
      </w:r>
      <w:r w:rsidR="00870B38" w:rsidRPr="0093415C">
        <w:rPr>
          <w:rFonts w:ascii="Book Antiqua" w:hAnsi="Book Antiqua" w:cs="Arial"/>
        </w:rPr>
        <w:t xml:space="preserve">, in concluding that the appellant’s credibility was diminished by his failure to claim Ethiopian nationality, the Judge failed to engage with the terms of the </w:t>
      </w:r>
      <w:r>
        <w:rPr>
          <w:rFonts w:ascii="Book Antiqua" w:hAnsi="Book Antiqua" w:cs="Arial"/>
        </w:rPr>
        <w:t>Proclamation</w:t>
      </w:r>
      <w:r w:rsidR="00870B38" w:rsidRPr="0093415C">
        <w:rPr>
          <w:rFonts w:ascii="Book Antiqua" w:hAnsi="Book Antiqua" w:cs="Arial"/>
        </w:rPr>
        <w:t xml:space="preserve"> as therein set out, in particular with the requirement that </w:t>
      </w:r>
      <w:r w:rsidR="00311AA9" w:rsidRPr="0093415C">
        <w:rPr>
          <w:rFonts w:ascii="Book Antiqua" w:hAnsi="Book Antiqua" w:cs="Arial"/>
        </w:rPr>
        <w:t xml:space="preserve">naturalisation applications can be made only by adults (which while in Ethiopia, this appellant never was) or as the child of a naturalised parent, with the consent of </w:t>
      </w:r>
      <w:r w:rsidR="00311AA9" w:rsidRPr="0093415C">
        <w:rPr>
          <w:rFonts w:ascii="Book Antiqua" w:hAnsi="Book Antiqua" w:cs="Arial"/>
          <w:i/>
        </w:rPr>
        <w:t xml:space="preserve">both </w:t>
      </w:r>
      <w:r w:rsidR="00311AA9" w:rsidRPr="0093415C">
        <w:rPr>
          <w:rFonts w:ascii="Book Antiqua" w:hAnsi="Book Antiqua" w:cs="Arial"/>
        </w:rPr>
        <w:t xml:space="preserve">parents, where the child can show that he has been released from his previous nationality or has the possibility of obtaining such release.  The evidence in this case as set out in the decision may, or may not meet those requirements, but clear reasoning was required for a finding either way. </w:t>
      </w:r>
      <w:r w:rsidR="00870B38" w:rsidRPr="0093415C">
        <w:rPr>
          <w:rFonts w:ascii="Book Antiqua" w:hAnsi="Book Antiqua" w:cs="Arial"/>
        </w:rPr>
        <w:t xml:space="preserve"> </w:t>
      </w:r>
    </w:p>
    <w:p w:rsidR="00311AA9" w:rsidRPr="0093415C" w:rsidRDefault="00C32491" w:rsidP="00C32491">
      <w:pPr>
        <w:numPr>
          <w:ilvl w:val="0"/>
          <w:numId w:val="1"/>
        </w:numPr>
        <w:tabs>
          <w:tab w:val="clear" w:pos="720"/>
          <w:tab w:val="left" w:pos="567"/>
        </w:tabs>
        <w:spacing w:before="240"/>
        <w:ind w:left="360"/>
        <w:jc w:val="both"/>
        <w:rPr>
          <w:rFonts w:ascii="Book Antiqua" w:hAnsi="Book Antiqua" w:cs="Arial"/>
        </w:rPr>
      </w:pPr>
      <w:r w:rsidRPr="0093415C">
        <w:rPr>
          <w:rFonts w:ascii="Book Antiqua" w:hAnsi="Book Antiqua" w:cs="Arial"/>
        </w:rPr>
        <w:t xml:space="preserve">The respondent has not disputed that the appellant left Eritrea when he was 6 years old to live in Ethiopia. </w:t>
      </w:r>
      <w:r w:rsidR="00311AA9" w:rsidRPr="0093415C">
        <w:rPr>
          <w:rFonts w:ascii="Book Antiqua" w:hAnsi="Book Antiqua" w:cs="Arial"/>
        </w:rPr>
        <w:t>The Upper Tribunal in</w:t>
      </w:r>
      <w:r w:rsidRPr="0093415C">
        <w:rPr>
          <w:rFonts w:ascii="Book Antiqua" w:hAnsi="Book Antiqua" w:cs="Arial"/>
        </w:rPr>
        <w:t xml:space="preserve"> </w:t>
      </w:r>
      <w:r w:rsidRPr="0093415C">
        <w:rPr>
          <w:rFonts w:ascii="Book Antiqua" w:hAnsi="Book Antiqua" w:cs="Arial"/>
          <w:i/>
        </w:rPr>
        <w:t>MST and Others</w:t>
      </w:r>
      <w:r w:rsidRPr="0093415C">
        <w:rPr>
          <w:rFonts w:ascii="Book Antiqua" w:hAnsi="Book Antiqua" w:cs="Arial"/>
        </w:rPr>
        <w:t xml:space="preserve"> (national service – risk categories) Eritrea CG [2016] UKUT 443 (</w:t>
      </w:r>
      <w:proofErr w:type="gramStart"/>
      <w:r w:rsidRPr="0093415C">
        <w:rPr>
          <w:rFonts w:ascii="Book Antiqua" w:hAnsi="Book Antiqua" w:cs="Arial"/>
        </w:rPr>
        <w:t>IAC)</w:t>
      </w:r>
      <w:r w:rsidR="00311AA9" w:rsidRPr="0093415C">
        <w:rPr>
          <w:rFonts w:ascii="Book Antiqua" w:hAnsi="Book Antiqua" w:cs="Arial"/>
        </w:rPr>
        <w:t xml:space="preserve">  held</w:t>
      </w:r>
      <w:proofErr w:type="gramEnd"/>
      <w:r w:rsidR="00311AA9" w:rsidRPr="0093415C">
        <w:rPr>
          <w:rFonts w:ascii="Book Antiqua" w:hAnsi="Book Antiqua" w:cs="Arial"/>
        </w:rPr>
        <w:t xml:space="preserve"> that </w:t>
      </w:r>
    </w:p>
    <w:p w:rsidR="00311AA9" w:rsidRPr="0093415C" w:rsidRDefault="00311AA9" w:rsidP="00311AA9">
      <w:pPr>
        <w:spacing w:before="100" w:beforeAutospacing="1" w:after="100" w:afterAutospacing="1"/>
        <w:ind w:left="1134"/>
        <w:jc w:val="both"/>
        <w:rPr>
          <w:rFonts w:ascii="Book Antiqua" w:hAnsi="Book Antiqua" w:cs="Arial"/>
        </w:rPr>
      </w:pPr>
      <w:r w:rsidRPr="0093415C">
        <w:rPr>
          <w:rFonts w:ascii="Book Antiqua" w:hAnsi="Book Antiqua" w:cs="Arial"/>
          <w:sz w:val="22"/>
        </w:rPr>
        <w:t>“…</w:t>
      </w:r>
      <w:r w:rsidRPr="0093415C">
        <w:rPr>
          <w:rFonts w:ascii="Book Antiqua" w:hAnsi="Book Antiqua"/>
          <w:i/>
          <w:iCs/>
          <w:sz w:val="22"/>
        </w:rPr>
        <w:t>10. Accordingly, a person whose asylum claim has not been found credible, but who is able to satisfy a decision-maker (</w:t>
      </w:r>
      <w:proofErr w:type="spellStart"/>
      <w:r w:rsidRPr="0093415C">
        <w:rPr>
          <w:rFonts w:ascii="Book Antiqua" w:hAnsi="Book Antiqua"/>
          <w:i/>
          <w:iCs/>
          <w:sz w:val="22"/>
        </w:rPr>
        <w:t>i</w:t>
      </w:r>
      <w:proofErr w:type="spellEnd"/>
      <w:r w:rsidRPr="0093415C">
        <w:rPr>
          <w:rFonts w:ascii="Book Antiqua" w:hAnsi="Book Antiqua"/>
          <w:i/>
          <w:iCs/>
          <w:sz w:val="22"/>
        </w:rPr>
        <w:t>) that he or she left illegally, and (ii) that he or she is of or approaching draft age, is likely to be perceived on return as a draft evader or deserter from national service and as a result face a real risk of persecution or serious harm.”</w:t>
      </w:r>
    </w:p>
    <w:p w:rsidR="00EA055D" w:rsidRDefault="00C32491" w:rsidP="00C32491">
      <w:pPr>
        <w:numPr>
          <w:ilvl w:val="0"/>
          <w:numId w:val="1"/>
        </w:numPr>
        <w:tabs>
          <w:tab w:val="clear" w:pos="720"/>
          <w:tab w:val="left" w:pos="567"/>
        </w:tabs>
        <w:spacing w:before="240"/>
        <w:ind w:left="360"/>
        <w:jc w:val="both"/>
        <w:rPr>
          <w:rFonts w:ascii="Book Antiqua" w:hAnsi="Book Antiqua" w:cs="Arial"/>
        </w:rPr>
      </w:pPr>
      <w:r w:rsidRPr="0093415C">
        <w:rPr>
          <w:rFonts w:ascii="Book Antiqua" w:hAnsi="Book Antiqua" w:cs="Arial"/>
        </w:rPr>
        <w:t>The failure of the First-tier Tribunal to make any finding as to whether the appellant left Eritrea unlawfully and/or whether on return he was liable to military service</w:t>
      </w:r>
      <w:r w:rsidR="0093415C" w:rsidRPr="0093415C">
        <w:rPr>
          <w:rFonts w:ascii="Book Antiqua" w:hAnsi="Book Antiqua" w:cs="Arial"/>
        </w:rPr>
        <w:t xml:space="preserve"> is a material error of law and there is no alternative but to set the decision aside</w:t>
      </w:r>
      <w:r w:rsidR="00EA055D">
        <w:rPr>
          <w:rFonts w:ascii="Book Antiqua" w:hAnsi="Book Antiqua" w:cs="Arial"/>
        </w:rPr>
        <w:t>.</w:t>
      </w:r>
    </w:p>
    <w:p w:rsidR="00C32491" w:rsidRPr="0093415C" w:rsidRDefault="00EA055D" w:rsidP="00C32491">
      <w:pPr>
        <w:numPr>
          <w:ilvl w:val="0"/>
          <w:numId w:val="1"/>
        </w:numPr>
        <w:tabs>
          <w:tab w:val="clear" w:pos="720"/>
          <w:tab w:val="left" w:pos="567"/>
        </w:tabs>
        <w:spacing w:before="240"/>
        <w:ind w:left="360"/>
        <w:jc w:val="both"/>
        <w:rPr>
          <w:rFonts w:ascii="Book Antiqua" w:hAnsi="Book Antiqua" w:cs="Arial"/>
        </w:rPr>
      </w:pPr>
      <w:r>
        <w:rPr>
          <w:rFonts w:ascii="Book Antiqua" w:hAnsi="Book Antiqua" w:cs="Arial"/>
        </w:rPr>
        <w:t xml:space="preserve">At the oral hearing, I indicated that it would be appropriate to allow the appeal outright at the hearing.  However, it is the written decision which is the decision of record and </w:t>
      </w:r>
      <w:r>
        <w:rPr>
          <w:rFonts w:ascii="Book Antiqua" w:hAnsi="Book Antiqua" w:cs="Arial"/>
        </w:rPr>
        <w:lastRenderedPageBreak/>
        <w:t xml:space="preserve">on further reflection, in the absence of the material findings set out at [24] above, I do not consider that to be the appropriate course.  The decision will be remade in the First-tier Tribunal. </w:t>
      </w:r>
      <w:r w:rsidR="0093415C" w:rsidRPr="0093415C">
        <w:rPr>
          <w:rFonts w:ascii="Book Antiqua" w:hAnsi="Book Antiqua" w:cs="Arial"/>
        </w:rPr>
        <w:t xml:space="preserve"> </w:t>
      </w:r>
      <w:r>
        <w:rPr>
          <w:rFonts w:ascii="Book Antiqua" w:hAnsi="Book Antiqua" w:cs="Arial"/>
        </w:rPr>
        <w:t xml:space="preserve"> </w:t>
      </w:r>
    </w:p>
    <w:p w:rsidR="00306236" w:rsidRPr="0093415C" w:rsidRDefault="00306236" w:rsidP="00BF23BB">
      <w:pPr>
        <w:tabs>
          <w:tab w:val="left" w:pos="567"/>
        </w:tabs>
        <w:ind w:left="567" w:hanging="567"/>
        <w:jc w:val="both"/>
        <w:rPr>
          <w:rFonts w:ascii="Book Antiqua" w:hAnsi="Book Antiqua" w:cs="Arial"/>
        </w:rPr>
      </w:pPr>
    </w:p>
    <w:p w:rsidR="00306236" w:rsidRPr="0093415C" w:rsidRDefault="00306236" w:rsidP="00BF23BB">
      <w:pPr>
        <w:tabs>
          <w:tab w:val="left" w:pos="567"/>
        </w:tabs>
        <w:ind w:left="567" w:hanging="567"/>
        <w:jc w:val="both"/>
        <w:rPr>
          <w:rFonts w:ascii="Book Antiqua" w:hAnsi="Book Antiqua" w:cs="Arial"/>
        </w:rPr>
      </w:pPr>
      <w:r w:rsidRPr="0093415C">
        <w:rPr>
          <w:rFonts w:ascii="Book Antiqua" w:hAnsi="Book Antiqua" w:cs="Arial"/>
          <w:b/>
        </w:rPr>
        <w:t>DECISION</w:t>
      </w:r>
    </w:p>
    <w:p w:rsidR="001F2716" w:rsidRPr="0093415C" w:rsidRDefault="001F2716" w:rsidP="00780F86">
      <w:pPr>
        <w:ind w:left="540" w:hanging="540"/>
        <w:jc w:val="both"/>
        <w:rPr>
          <w:rFonts w:ascii="Book Antiqua" w:hAnsi="Book Antiqua" w:cs="Arial"/>
        </w:rPr>
      </w:pPr>
    </w:p>
    <w:p w:rsidR="00306236" w:rsidRDefault="00306236" w:rsidP="00306236">
      <w:pPr>
        <w:numPr>
          <w:ilvl w:val="0"/>
          <w:numId w:val="1"/>
        </w:numPr>
        <w:tabs>
          <w:tab w:val="clear" w:pos="720"/>
          <w:tab w:val="num" w:pos="360"/>
          <w:tab w:val="left" w:pos="567"/>
        </w:tabs>
        <w:ind w:left="360"/>
        <w:jc w:val="both"/>
        <w:rPr>
          <w:rFonts w:ascii="Book Antiqua" w:hAnsi="Book Antiqua" w:cs="Arial"/>
        </w:rPr>
      </w:pPr>
      <w:r w:rsidRPr="0093415C">
        <w:rPr>
          <w:rFonts w:ascii="Book Antiqua" w:hAnsi="Book Antiqua" w:cs="Arial"/>
        </w:rPr>
        <w:t>For the foregoing reasons, my decision is as follows:</w:t>
      </w:r>
    </w:p>
    <w:p w:rsidR="00EA055D" w:rsidRPr="0093415C" w:rsidRDefault="00EA055D" w:rsidP="00EA055D">
      <w:pPr>
        <w:tabs>
          <w:tab w:val="left" w:pos="567"/>
        </w:tabs>
        <w:ind w:left="360"/>
        <w:jc w:val="both"/>
        <w:rPr>
          <w:rFonts w:ascii="Book Antiqua" w:hAnsi="Book Antiqua" w:cs="Arial"/>
        </w:rPr>
      </w:pPr>
    </w:p>
    <w:p w:rsidR="00306236" w:rsidRPr="0093415C" w:rsidRDefault="00306236" w:rsidP="00306236">
      <w:pPr>
        <w:tabs>
          <w:tab w:val="left" w:pos="567"/>
        </w:tabs>
        <w:ind w:left="360"/>
        <w:jc w:val="both"/>
        <w:rPr>
          <w:rFonts w:ascii="Book Antiqua" w:hAnsi="Book Antiqua" w:cs="Arial"/>
        </w:rPr>
      </w:pPr>
      <w:r w:rsidRPr="0093415C">
        <w:rPr>
          <w:rFonts w:ascii="Book Antiqua" w:hAnsi="Book Antiqua" w:cs="Arial"/>
        </w:rPr>
        <w:t xml:space="preserve">The making of the previous decision involved the making of </w:t>
      </w:r>
      <w:r w:rsidR="00EA055D">
        <w:rPr>
          <w:rFonts w:ascii="Book Antiqua" w:hAnsi="Book Antiqua" w:cs="Arial"/>
        </w:rPr>
        <w:t>an</w:t>
      </w:r>
      <w:r w:rsidRPr="0093415C">
        <w:rPr>
          <w:rFonts w:ascii="Book Antiqua" w:hAnsi="Book Antiqua" w:cs="Arial"/>
        </w:rPr>
        <w:t xml:space="preserve"> error on a point of law</w:t>
      </w:r>
    </w:p>
    <w:p w:rsidR="00EA055D" w:rsidRDefault="00EA055D" w:rsidP="00194C8C">
      <w:pPr>
        <w:tabs>
          <w:tab w:val="left" w:pos="567"/>
        </w:tabs>
        <w:ind w:left="360"/>
        <w:jc w:val="both"/>
        <w:rPr>
          <w:rFonts w:ascii="Book Antiqua" w:hAnsi="Book Antiqua" w:cs="Arial"/>
        </w:rPr>
      </w:pPr>
    </w:p>
    <w:p w:rsidR="00194C8C" w:rsidRPr="0093415C" w:rsidRDefault="00194C8C" w:rsidP="00194C8C">
      <w:pPr>
        <w:tabs>
          <w:tab w:val="left" w:pos="567"/>
        </w:tabs>
        <w:ind w:left="360"/>
        <w:jc w:val="both"/>
        <w:rPr>
          <w:rFonts w:ascii="Book Antiqua" w:hAnsi="Book Antiqua" w:cs="Arial"/>
        </w:rPr>
      </w:pPr>
      <w:r w:rsidRPr="0093415C">
        <w:rPr>
          <w:rFonts w:ascii="Book Antiqua" w:hAnsi="Book Antiqua" w:cs="Arial"/>
        </w:rPr>
        <w:t xml:space="preserve">I set aside the previous decision.  </w:t>
      </w:r>
      <w:r w:rsidR="0093415C" w:rsidRPr="0093415C">
        <w:rPr>
          <w:rFonts w:ascii="Book Antiqua" w:hAnsi="Book Antiqua" w:cs="Arial"/>
        </w:rPr>
        <w:t xml:space="preserve">The decision in this appeal will be remade in the First-tier Tribunal on a date to be fixed. </w:t>
      </w:r>
    </w:p>
    <w:p w:rsidR="009F5220" w:rsidRPr="0093415C" w:rsidRDefault="009F5220" w:rsidP="00780F86">
      <w:pPr>
        <w:ind w:left="540" w:hanging="540"/>
        <w:jc w:val="both"/>
        <w:rPr>
          <w:rFonts w:ascii="Book Antiqua" w:hAnsi="Book Antiqua" w:cs="Arial"/>
        </w:rPr>
      </w:pPr>
    </w:p>
    <w:p w:rsidR="001F2716" w:rsidRPr="0093415C" w:rsidRDefault="00306236" w:rsidP="00185211">
      <w:pPr>
        <w:rPr>
          <w:rFonts w:ascii="Book Antiqua" w:hAnsi="Book Antiqua" w:cs="Arial"/>
        </w:rPr>
      </w:pPr>
      <w:r w:rsidRPr="0093415C">
        <w:rPr>
          <w:rFonts w:ascii="Book Antiqua" w:hAnsi="Book Antiqua" w:cs="Arial"/>
        </w:rPr>
        <w:t>Date:</w:t>
      </w:r>
      <w:r w:rsidR="00AD7978" w:rsidRPr="0093415C">
        <w:rPr>
          <w:rFonts w:ascii="Book Antiqua" w:hAnsi="Book Antiqua" w:cs="Arial"/>
        </w:rPr>
        <w:tab/>
      </w:r>
      <w:r w:rsidRPr="0093415C">
        <w:rPr>
          <w:rFonts w:ascii="Book Antiqua" w:hAnsi="Book Antiqua" w:cs="Arial"/>
        </w:rPr>
        <w:tab/>
      </w:r>
      <w:r w:rsidR="0093415C" w:rsidRPr="0093415C">
        <w:rPr>
          <w:rFonts w:ascii="Book Antiqua" w:hAnsi="Book Antiqua" w:cs="Arial"/>
        </w:rPr>
        <w:t>9 May 2018</w:t>
      </w:r>
      <w:r w:rsidR="00185211" w:rsidRPr="0093415C">
        <w:rPr>
          <w:rFonts w:ascii="Book Antiqua" w:hAnsi="Book Antiqua" w:cs="Arial"/>
        </w:rPr>
        <w:tab/>
      </w:r>
      <w:r w:rsidR="00185211" w:rsidRPr="0093415C">
        <w:rPr>
          <w:rFonts w:ascii="Book Antiqua" w:hAnsi="Book Antiqua" w:cs="Arial"/>
        </w:rPr>
        <w:tab/>
      </w:r>
      <w:r w:rsidRPr="0093415C">
        <w:rPr>
          <w:rFonts w:ascii="Book Antiqua" w:hAnsi="Book Antiqua" w:cs="Arial"/>
        </w:rPr>
        <w:tab/>
      </w:r>
      <w:r w:rsidRPr="0093415C">
        <w:rPr>
          <w:rFonts w:ascii="Book Antiqua" w:hAnsi="Book Antiqua" w:cs="Arial"/>
        </w:rPr>
        <w:tab/>
      </w:r>
      <w:r w:rsidR="00780F86" w:rsidRPr="0093415C">
        <w:rPr>
          <w:rFonts w:ascii="Book Antiqua" w:hAnsi="Book Antiqua" w:cs="Arial"/>
        </w:rPr>
        <w:t>Signed</w:t>
      </w:r>
      <w:r w:rsidR="00780F86" w:rsidRPr="0093415C">
        <w:rPr>
          <w:rFonts w:ascii="Book Antiqua" w:hAnsi="Book Antiqua" w:cs="Arial"/>
        </w:rPr>
        <w:tab/>
      </w:r>
      <w:r w:rsidR="00185211" w:rsidRPr="0093415C">
        <w:rPr>
          <w:rFonts w:ascii="Rage Italic" w:hAnsi="Rage Italic" w:cs="Arial"/>
          <w:color w:val="0070C0"/>
          <w:sz w:val="36"/>
          <w:szCs w:val="28"/>
        </w:rPr>
        <w:t>Judith AJC Gleeson</w:t>
      </w:r>
      <w:r w:rsidR="00780F86" w:rsidRPr="0093415C">
        <w:rPr>
          <w:rFonts w:ascii="Book Antiqua" w:hAnsi="Book Antiqua" w:cs="Arial"/>
        </w:rPr>
        <w:tab/>
      </w:r>
      <w:r w:rsidR="00780F86" w:rsidRPr="0093415C">
        <w:rPr>
          <w:rFonts w:ascii="Book Antiqua" w:hAnsi="Book Antiqua" w:cs="Arial"/>
        </w:rPr>
        <w:tab/>
      </w:r>
      <w:r w:rsidR="00780F86" w:rsidRPr="0093415C">
        <w:rPr>
          <w:rFonts w:ascii="Book Antiqua" w:hAnsi="Book Antiqua" w:cs="Arial"/>
        </w:rPr>
        <w:tab/>
      </w:r>
      <w:r w:rsidR="00780F86" w:rsidRPr="0093415C">
        <w:rPr>
          <w:rFonts w:ascii="Book Antiqua" w:hAnsi="Book Antiqua" w:cs="Arial"/>
        </w:rPr>
        <w:tab/>
      </w:r>
      <w:r w:rsidR="00185211" w:rsidRPr="0093415C">
        <w:rPr>
          <w:rFonts w:ascii="Book Antiqua" w:hAnsi="Book Antiqua" w:cs="Arial"/>
        </w:rPr>
        <w:tab/>
      </w:r>
      <w:r w:rsidR="00185211" w:rsidRPr="0093415C">
        <w:rPr>
          <w:rFonts w:ascii="Book Antiqua" w:hAnsi="Book Antiqua" w:cs="Arial"/>
        </w:rPr>
        <w:tab/>
      </w:r>
      <w:r w:rsidR="00185211" w:rsidRPr="0093415C">
        <w:rPr>
          <w:rFonts w:ascii="Book Antiqua" w:hAnsi="Book Antiqua" w:cs="Arial"/>
        </w:rPr>
        <w:tab/>
      </w:r>
      <w:r w:rsidR="00185211" w:rsidRPr="0093415C">
        <w:rPr>
          <w:rFonts w:ascii="Book Antiqua" w:hAnsi="Book Antiqua" w:cs="Arial"/>
        </w:rPr>
        <w:tab/>
      </w:r>
      <w:r w:rsidR="00185211" w:rsidRPr="0093415C">
        <w:rPr>
          <w:rFonts w:ascii="Book Antiqua" w:hAnsi="Book Antiqua" w:cs="Arial"/>
        </w:rPr>
        <w:tab/>
      </w:r>
      <w:r w:rsidR="00185211" w:rsidRPr="0093415C">
        <w:rPr>
          <w:rFonts w:ascii="Book Antiqua" w:hAnsi="Book Antiqua" w:cs="Arial"/>
        </w:rPr>
        <w:tab/>
      </w:r>
      <w:r w:rsidR="00AD7978" w:rsidRPr="0093415C">
        <w:rPr>
          <w:rFonts w:ascii="Book Antiqua" w:hAnsi="Book Antiqua" w:cs="Arial"/>
        </w:rPr>
        <w:tab/>
      </w:r>
      <w:r w:rsidR="00185211" w:rsidRPr="0093415C">
        <w:rPr>
          <w:rFonts w:ascii="Book Antiqua" w:hAnsi="Book Antiqua" w:cs="Arial"/>
        </w:rPr>
        <w:tab/>
      </w:r>
      <w:r w:rsidR="00AD7978" w:rsidRPr="0093415C">
        <w:rPr>
          <w:rFonts w:ascii="Book Antiqua" w:hAnsi="Book Antiqua" w:cs="Arial"/>
        </w:rPr>
        <w:t xml:space="preserve">Upper Tribunal </w:t>
      </w:r>
      <w:r w:rsidRPr="0093415C">
        <w:rPr>
          <w:rFonts w:ascii="Book Antiqua" w:hAnsi="Book Antiqua" w:cs="Arial"/>
        </w:rPr>
        <w:t xml:space="preserve">Judge Gleeson </w:t>
      </w:r>
    </w:p>
    <w:p w:rsidR="00D51814" w:rsidRPr="0093415C" w:rsidRDefault="00AD7978" w:rsidP="00306236">
      <w:pPr>
        <w:tabs>
          <w:tab w:val="left" w:pos="2520"/>
        </w:tabs>
        <w:ind w:left="6181" w:hanging="539"/>
        <w:rPr>
          <w:rFonts w:ascii="Book Antiqua" w:hAnsi="Book Antiqua" w:cs="Arial"/>
          <w:color w:val="000000"/>
        </w:rPr>
      </w:pPr>
      <w:r w:rsidRPr="0093415C">
        <w:rPr>
          <w:rFonts w:ascii="Book Antiqua" w:hAnsi="Book Antiqua" w:cs="Arial"/>
          <w:color w:val="000000"/>
        </w:rPr>
        <w:t xml:space="preserve"> </w:t>
      </w:r>
      <w:r w:rsidR="005F1F19" w:rsidRPr="0093415C">
        <w:rPr>
          <w:rFonts w:ascii="Book Antiqua" w:hAnsi="Book Antiqua" w:cs="Arial"/>
          <w:color w:val="000000"/>
        </w:rPr>
        <w:t xml:space="preserve"> </w:t>
      </w:r>
    </w:p>
    <w:sectPr w:rsidR="00D51814" w:rsidRPr="0093415C" w:rsidSect="00896E59">
      <w:headerReference w:type="default" r:id="rId8"/>
      <w:footerReference w:type="default" r:id="rId9"/>
      <w:footerReference w:type="first" r:id="rId10"/>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BFC" w:rsidRDefault="00206BFC">
      <w:r>
        <w:separator/>
      </w:r>
    </w:p>
  </w:endnote>
  <w:endnote w:type="continuationSeparator" w:id="0">
    <w:p w:rsidR="00206BFC" w:rsidRDefault="0020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0B38" w:rsidRPr="00896E59" w:rsidRDefault="00870B38" w:rsidP="00593795">
    <w:pPr>
      <w:pStyle w:val="Footer"/>
      <w:jc w:val="center"/>
      <w:rPr>
        <w:rFonts w:ascii="Book Antiqua" w:hAnsi="Book Antiqua" w:cs="Arial"/>
      </w:rPr>
    </w:pPr>
    <w:r w:rsidRPr="00896E59">
      <w:rPr>
        <w:rStyle w:val="PageNumber"/>
        <w:rFonts w:ascii="Book Antiqua" w:hAnsi="Book Antiqua" w:cs="Arial"/>
      </w:rPr>
      <w:fldChar w:fldCharType="begin"/>
    </w:r>
    <w:r w:rsidRPr="00896E59">
      <w:rPr>
        <w:rStyle w:val="PageNumber"/>
        <w:rFonts w:ascii="Book Antiqua" w:hAnsi="Book Antiqua" w:cs="Arial"/>
      </w:rPr>
      <w:instrText xml:space="preserve"> PAGE </w:instrText>
    </w:r>
    <w:r w:rsidRPr="00896E59">
      <w:rPr>
        <w:rStyle w:val="PageNumber"/>
        <w:rFonts w:ascii="Book Antiqua" w:hAnsi="Book Antiqua" w:cs="Arial"/>
      </w:rPr>
      <w:fldChar w:fldCharType="separate"/>
    </w:r>
    <w:r w:rsidR="00F91135">
      <w:rPr>
        <w:rStyle w:val="PageNumber"/>
        <w:rFonts w:ascii="Book Antiqua" w:hAnsi="Book Antiqua" w:cs="Arial"/>
        <w:noProof/>
      </w:rPr>
      <w:t>5</w:t>
    </w:r>
    <w:r w:rsidRPr="00896E5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0B38" w:rsidRPr="00896E59" w:rsidRDefault="00870B38" w:rsidP="00090CF9">
    <w:pPr>
      <w:jc w:val="center"/>
      <w:rPr>
        <w:rFonts w:ascii="Book Antiqua" w:hAnsi="Book Antiqua" w:cs="Arial"/>
        <w:b/>
      </w:rPr>
    </w:pPr>
    <w:r w:rsidRPr="00896E59">
      <w:rPr>
        <w:rFonts w:ascii="Book Antiqua" w:hAnsi="Book Antiqua" w:cs="Arial"/>
        <w:b/>
        <w:spacing w:val="-6"/>
      </w:rPr>
      <w:t>©</w:t>
    </w:r>
    <w:r w:rsidRPr="00896E59">
      <w:rPr>
        <w:rFonts w:ascii="Book Antiqua" w:hAnsi="Book Antiqua" w:cs="Arial"/>
        <w:b/>
      </w:rPr>
      <w:t xml:space="preserve"> CROWN COPYRIGHT </w:t>
    </w:r>
    <w:r w:rsidRPr="00896E59">
      <w:rPr>
        <w:rFonts w:ascii="Book Antiqua" w:hAnsi="Book Antiqua" w:cs="Arial"/>
        <w:b/>
      </w:rPr>
      <w:fldChar w:fldCharType="begin"/>
    </w:r>
    <w:r w:rsidRPr="00896E59">
      <w:rPr>
        <w:rFonts w:ascii="Book Antiqua" w:hAnsi="Book Antiqua" w:cs="Arial"/>
        <w:b/>
      </w:rPr>
      <w:instrText xml:space="preserve"> DATE  \@ "yyyy" </w:instrText>
    </w:r>
    <w:r w:rsidRPr="00896E59">
      <w:rPr>
        <w:rFonts w:ascii="Book Antiqua" w:hAnsi="Book Antiqua" w:cs="Arial"/>
        <w:b/>
      </w:rPr>
      <w:fldChar w:fldCharType="separate"/>
    </w:r>
    <w:r w:rsidR="00896E59" w:rsidRPr="00896E59">
      <w:rPr>
        <w:rFonts w:ascii="Book Antiqua" w:hAnsi="Book Antiqua" w:cs="Arial"/>
        <w:b/>
        <w:noProof/>
      </w:rPr>
      <w:t>2018</w:t>
    </w:r>
    <w:r w:rsidRPr="00896E59">
      <w:rPr>
        <w:rFonts w:ascii="Book Antiqua" w:hAnsi="Book Antiqua" w:cs="Arial"/>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BFC" w:rsidRDefault="00206BFC">
      <w:r>
        <w:separator/>
      </w:r>
    </w:p>
  </w:footnote>
  <w:footnote w:type="continuationSeparator" w:id="0">
    <w:p w:rsidR="00206BFC" w:rsidRDefault="0020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0B38" w:rsidRDefault="00870B38" w:rsidP="00593795">
    <w:pPr>
      <w:pStyle w:val="Header"/>
      <w:jc w:val="right"/>
      <w:rPr>
        <w:rFonts w:ascii="Book Antiqua" w:hAnsi="Book Antiqua" w:cs="Arial"/>
        <w:sz w:val="16"/>
        <w:szCs w:val="16"/>
      </w:rPr>
    </w:pPr>
    <w:r w:rsidRPr="00896E59">
      <w:rPr>
        <w:rFonts w:ascii="Book Antiqua" w:hAnsi="Book Antiqua" w:cs="Arial"/>
        <w:sz w:val="16"/>
        <w:szCs w:val="16"/>
      </w:rPr>
      <w:t xml:space="preserve">Appeal Number:  PA/07244/2017 </w:t>
    </w:r>
  </w:p>
  <w:p w:rsidR="00896E59" w:rsidRPr="00896E59" w:rsidRDefault="00896E59"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608ED"/>
    <w:multiLevelType w:val="hybridMultilevel"/>
    <w:tmpl w:val="B2E2101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EC0"/>
    <w:rsid w:val="00000621"/>
    <w:rsid w:val="000036C2"/>
    <w:rsid w:val="000060DE"/>
    <w:rsid w:val="00023EC0"/>
    <w:rsid w:val="00033D3D"/>
    <w:rsid w:val="00057601"/>
    <w:rsid w:val="00062F02"/>
    <w:rsid w:val="00071A7E"/>
    <w:rsid w:val="000746C0"/>
    <w:rsid w:val="00074D1D"/>
    <w:rsid w:val="00090CF9"/>
    <w:rsid w:val="00092580"/>
    <w:rsid w:val="00093D4D"/>
    <w:rsid w:val="000A1DD6"/>
    <w:rsid w:val="000A5FF3"/>
    <w:rsid w:val="000D0CB5"/>
    <w:rsid w:val="000D5D94"/>
    <w:rsid w:val="000E01B8"/>
    <w:rsid w:val="000F1A0E"/>
    <w:rsid w:val="0011139A"/>
    <w:rsid w:val="00113ECC"/>
    <w:rsid w:val="001165A7"/>
    <w:rsid w:val="00167D3A"/>
    <w:rsid w:val="00185211"/>
    <w:rsid w:val="00194C8C"/>
    <w:rsid w:val="001A3082"/>
    <w:rsid w:val="001B186A"/>
    <w:rsid w:val="001B2F75"/>
    <w:rsid w:val="001B3ABC"/>
    <w:rsid w:val="001C5C75"/>
    <w:rsid w:val="001F2716"/>
    <w:rsid w:val="00201E53"/>
    <w:rsid w:val="00206BFC"/>
    <w:rsid w:val="00207617"/>
    <w:rsid w:val="00211B48"/>
    <w:rsid w:val="0023134B"/>
    <w:rsid w:val="0026015E"/>
    <w:rsid w:val="002667BE"/>
    <w:rsid w:val="00270E13"/>
    <w:rsid w:val="00283659"/>
    <w:rsid w:val="002B243C"/>
    <w:rsid w:val="002B5149"/>
    <w:rsid w:val="002C650D"/>
    <w:rsid w:val="002C6BD4"/>
    <w:rsid w:val="002D68BF"/>
    <w:rsid w:val="002F6B98"/>
    <w:rsid w:val="00306236"/>
    <w:rsid w:val="00311AA9"/>
    <w:rsid w:val="00336CBF"/>
    <w:rsid w:val="00343FE3"/>
    <w:rsid w:val="003546C8"/>
    <w:rsid w:val="003A7CF2"/>
    <w:rsid w:val="003C5CE5"/>
    <w:rsid w:val="003E267B"/>
    <w:rsid w:val="003E3BB6"/>
    <w:rsid w:val="003E5773"/>
    <w:rsid w:val="003E7CD1"/>
    <w:rsid w:val="00402B9E"/>
    <w:rsid w:val="00420643"/>
    <w:rsid w:val="004249CB"/>
    <w:rsid w:val="00436115"/>
    <w:rsid w:val="0044127D"/>
    <w:rsid w:val="004448DB"/>
    <w:rsid w:val="00446C9A"/>
    <w:rsid w:val="00452F2B"/>
    <w:rsid w:val="004571D7"/>
    <w:rsid w:val="00471BF0"/>
    <w:rsid w:val="00477193"/>
    <w:rsid w:val="00496861"/>
    <w:rsid w:val="004A1848"/>
    <w:rsid w:val="004A6F4A"/>
    <w:rsid w:val="004A7EF2"/>
    <w:rsid w:val="004E4717"/>
    <w:rsid w:val="005035E7"/>
    <w:rsid w:val="00507FEC"/>
    <w:rsid w:val="00510F0E"/>
    <w:rsid w:val="00543959"/>
    <w:rsid w:val="005479E1"/>
    <w:rsid w:val="00553E0A"/>
    <w:rsid w:val="005570FD"/>
    <w:rsid w:val="005575EA"/>
    <w:rsid w:val="0057790C"/>
    <w:rsid w:val="00581C5C"/>
    <w:rsid w:val="00593795"/>
    <w:rsid w:val="00593821"/>
    <w:rsid w:val="005A3B95"/>
    <w:rsid w:val="005A549B"/>
    <w:rsid w:val="005A75FF"/>
    <w:rsid w:val="005D10AB"/>
    <w:rsid w:val="005F1F19"/>
    <w:rsid w:val="00601D8F"/>
    <w:rsid w:val="0060752B"/>
    <w:rsid w:val="00611011"/>
    <w:rsid w:val="006334F4"/>
    <w:rsid w:val="00653E97"/>
    <w:rsid w:val="00676204"/>
    <w:rsid w:val="00684A74"/>
    <w:rsid w:val="00690B8A"/>
    <w:rsid w:val="006F2CF1"/>
    <w:rsid w:val="007038ED"/>
    <w:rsid w:val="00703BC3"/>
    <w:rsid w:val="00704B61"/>
    <w:rsid w:val="007334B3"/>
    <w:rsid w:val="007552A9"/>
    <w:rsid w:val="00761858"/>
    <w:rsid w:val="00767D59"/>
    <w:rsid w:val="00776E97"/>
    <w:rsid w:val="00780F86"/>
    <w:rsid w:val="007912AD"/>
    <w:rsid w:val="007A37E8"/>
    <w:rsid w:val="007B0824"/>
    <w:rsid w:val="007B5D3C"/>
    <w:rsid w:val="007D3892"/>
    <w:rsid w:val="00821B72"/>
    <w:rsid w:val="00823EF2"/>
    <w:rsid w:val="008303B8"/>
    <w:rsid w:val="00833DCE"/>
    <w:rsid w:val="00870B38"/>
    <w:rsid w:val="00871D34"/>
    <w:rsid w:val="00880370"/>
    <w:rsid w:val="00896E59"/>
    <w:rsid w:val="008B270C"/>
    <w:rsid w:val="008B382D"/>
    <w:rsid w:val="008B5078"/>
    <w:rsid w:val="008C3D3D"/>
    <w:rsid w:val="008D4131"/>
    <w:rsid w:val="008F1932"/>
    <w:rsid w:val="00917BCB"/>
    <w:rsid w:val="00921062"/>
    <w:rsid w:val="00925AB2"/>
    <w:rsid w:val="0093415C"/>
    <w:rsid w:val="00954C87"/>
    <w:rsid w:val="009722BC"/>
    <w:rsid w:val="009727A3"/>
    <w:rsid w:val="00987774"/>
    <w:rsid w:val="009A11E8"/>
    <w:rsid w:val="009F5220"/>
    <w:rsid w:val="00A15234"/>
    <w:rsid w:val="00A16913"/>
    <w:rsid w:val="00A201AB"/>
    <w:rsid w:val="00A240AA"/>
    <w:rsid w:val="00A253BF"/>
    <w:rsid w:val="00A31C8B"/>
    <w:rsid w:val="00A509FA"/>
    <w:rsid w:val="00A845DC"/>
    <w:rsid w:val="00A87238"/>
    <w:rsid w:val="00AD7978"/>
    <w:rsid w:val="00AF0A6B"/>
    <w:rsid w:val="00AF3B01"/>
    <w:rsid w:val="00B26AA2"/>
    <w:rsid w:val="00B3524D"/>
    <w:rsid w:val="00B40F69"/>
    <w:rsid w:val="00B46616"/>
    <w:rsid w:val="00B7040A"/>
    <w:rsid w:val="00B83391"/>
    <w:rsid w:val="00B95326"/>
    <w:rsid w:val="00B9753D"/>
    <w:rsid w:val="00BC7802"/>
    <w:rsid w:val="00BD4196"/>
    <w:rsid w:val="00BF22CA"/>
    <w:rsid w:val="00BF23BB"/>
    <w:rsid w:val="00C12F97"/>
    <w:rsid w:val="00C26032"/>
    <w:rsid w:val="00C32491"/>
    <w:rsid w:val="00C345E1"/>
    <w:rsid w:val="00C43BFD"/>
    <w:rsid w:val="00C46EDB"/>
    <w:rsid w:val="00CB6E35"/>
    <w:rsid w:val="00CE1A46"/>
    <w:rsid w:val="00D20757"/>
    <w:rsid w:val="00D22636"/>
    <w:rsid w:val="00D31AEA"/>
    <w:rsid w:val="00D40FD9"/>
    <w:rsid w:val="00D51814"/>
    <w:rsid w:val="00D53769"/>
    <w:rsid w:val="00D85BFA"/>
    <w:rsid w:val="00D85C13"/>
    <w:rsid w:val="00D9111A"/>
    <w:rsid w:val="00D91BE3"/>
    <w:rsid w:val="00D94AFC"/>
    <w:rsid w:val="00DB70AE"/>
    <w:rsid w:val="00DC1FBD"/>
    <w:rsid w:val="00DD5071"/>
    <w:rsid w:val="00DD5C39"/>
    <w:rsid w:val="00DE7DB7"/>
    <w:rsid w:val="00E00A0A"/>
    <w:rsid w:val="00E066DE"/>
    <w:rsid w:val="00E07F57"/>
    <w:rsid w:val="00E147B4"/>
    <w:rsid w:val="00E20264"/>
    <w:rsid w:val="00E30683"/>
    <w:rsid w:val="00E453D8"/>
    <w:rsid w:val="00E50BCE"/>
    <w:rsid w:val="00E574BF"/>
    <w:rsid w:val="00E61292"/>
    <w:rsid w:val="00E77C4D"/>
    <w:rsid w:val="00E80AD9"/>
    <w:rsid w:val="00E81D01"/>
    <w:rsid w:val="00EA055D"/>
    <w:rsid w:val="00EA391E"/>
    <w:rsid w:val="00EA49E6"/>
    <w:rsid w:val="00EE43F3"/>
    <w:rsid w:val="00EE45D8"/>
    <w:rsid w:val="00F22430"/>
    <w:rsid w:val="00F22EDA"/>
    <w:rsid w:val="00F91135"/>
    <w:rsid w:val="00F97703"/>
    <w:rsid w:val="00FD4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6E7E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05475">
      <w:bodyDiv w:val="1"/>
      <w:marLeft w:val="0"/>
      <w:marRight w:val="0"/>
      <w:marTop w:val="0"/>
      <w:marBottom w:val="0"/>
      <w:divBdr>
        <w:top w:val="none" w:sz="0" w:space="0" w:color="auto"/>
        <w:left w:val="none" w:sz="0" w:space="0" w:color="auto"/>
        <w:bottom w:val="none" w:sz="0" w:space="0" w:color="auto"/>
        <w:right w:val="none" w:sz="0" w:space="0" w:color="auto"/>
      </w:divBdr>
      <w:divsChild>
        <w:div w:id="400951661">
          <w:marLeft w:val="0"/>
          <w:marRight w:val="0"/>
          <w:marTop w:val="0"/>
          <w:marBottom w:val="0"/>
          <w:divBdr>
            <w:top w:val="none" w:sz="0" w:space="0" w:color="auto"/>
            <w:left w:val="none" w:sz="0" w:space="0" w:color="auto"/>
            <w:bottom w:val="none" w:sz="0" w:space="0" w:color="auto"/>
            <w:right w:val="none" w:sz="0" w:space="0" w:color="auto"/>
          </w:divBdr>
          <w:divsChild>
            <w:div w:id="2301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8542">
      <w:bodyDiv w:val="1"/>
      <w:marLeft w:val="0"/>
      <w:marRight w:val="0"/>
      <w:marTop w:val="0"/>
      <w:marBottom w:val="0"/>
      <w:divBdr>
        <w:top w:val="none" w:sz="0" w:space="0" w:color="auto"/>
        <w:left w:val="none" w:sz="0" w:space="0" w:color="auto"/>
        <w:bottom w:val="none" w:sz="0" w:space="0" w:color="auto"/>
        <w:right w:val="none" w:sz="0" w:space="0" w:color="auto"/>
      </w:divBdr>
    </w:div>
    <w:div w:id="917250537">
      <w:bodyDiv w:val="1"/>
      <w:marLeft w:val="0"/>
      <w:marRight w:val="0"/>
      <w:marTop w:val="0"/>
      <w:marBottom w:val="0"/>
      <w:divBdr>
        <w:top w:val="none" w:sz="0" w:space="0" w:color="auto"/>
        <w:left w:val="none" w:sz="0" w:space="0" w:color="auto"/>
        <w:bottom w:val="none" w:sz="0" w:space="0" w:color="auto"/>
        <w:right w:val="none" w:sz="0" w:space="0" w:color="auto"/>
      </w:divBdr>
      <w:divsChild>
        <w:div w:id="2054504034">
          <w:marLeft w:val="0"/>
          <w:marRight w:val="0"/>
          <w:marTop w:val="0"/>
          <w:marBottom w:val="0"/>
          <w:divBdr>
            <w:top w:val="none" w:sz="0" w:space="0" w:color="auto"/>
            <w:left w:val="none" w:sz="0" w:space="0" w:color="auto"/>
            <w:bottom w:val="none" w:sz="0" w:space="0" w:color="auto"/>
            <w:right w:val="none" w:sz="0" w:space="0" w:color="auto"/>
          </w:divBdr>
        </w:div>
        <w:div w:id="1642925121">
          <w:marLeft w:val="0"/>
          <w:marRight w:val="0"/>
          <w:marTop w:val="0"/>
          <w:marBottom w:val="0"/>
          <w:divBdr>
            <w:top w:val="none" w:sz="0" w:space="0" w:color="auto"/>
            <w:left w:val="none" w:sz="0" w:space="0" w:color="auto"/>
            <w:bottom w:val="none" w:sz="0" w:space="0" w:color="auto"/>
            <w:right w:val="none" w:sz="0" w:space="0" w:color="auto"/>
          </w:divBdr>
        </w:div>
        <w:div w:id="302656243">
          <w:marLeft w:val="0"/>
          <w:marRight w:val="0"/>
          <w:marTop w:val="0"/>
          <w:marBottom w:val="0"/>
          <w:divBdr>
            <w:top w:val="none" w:sz="0" w:space="0" w:color="auto"/>
            <w:left w:val="none" w:sz="0" w:space="0" w:color="auto"/>
            <w:bottom w:val="none" w:sz="0" w:space="0" w:color="auto"/>
            <w:right w:val="none" w:sz="0" w:space="0" w:color="auto"/>
          </w:divBdr>
        </w:div>
        <w:div w:id="1391922664">
          <w:marLeft w:val="0"/>
          <w:marRight w:val="0"/>
          <w:marTop w:val="0"/>
          <w:marBottom w:val="0"/>
          <w:divBdr>
            <w:top w:val="none" w:sz="0" w:space="0" w:color="auto"/>
            <w:left w:val="none" w:sz="0" w:space="0" w:color="auto"/>
            <w:bottom w:val="none" w:sz="0" w:space="0" w:color="auto"/>
            <w:right w:val="none" w:sz="0" w:space="0" w:color="auto"/>
          </w:divBdr>
        </w:div>
        <w:div w:id="216818640">
          <w:marLeft w:val="0"/>
          <w:marRight w:val="0"/>
          <w:marTop w:val="0"/>
          <w:marBottom w:val="0"/>
          <w:divBdr>
            <w:top w:val="none" w:sz="0" w:space="0" w:color="auto"/>
            <w:left w:val="none" w:sz="0" w:space="0" w:color="auto"/>
            <w:bottom w:val="none" w:sz="0" w:space="0" w:color="auto"/>
            <w:right w:val="none" w:sz="0" w:space="0" w:color="auto"/>
          </w:divBdr>
        </w:div>
      </w:divsChild>
    </w:div>
    <w:div w:id="972708330">
      <w:bodyDiv w:val="1"/>
      <w:marLeft w:val="0"/>
      <w:marRight w:val="0"/>
      <w:marTop w:val="0"/>
      <w:marBottom w:val="0"/>
      <w:divBdr>
        <w:top w:val="none" w:sz="0" w:space="0" w:color="auto"/>
        <w:left w:val="none" w:sz="0" w:space="0" w:color="auto"/>
        <w:bottom w:val="none" w:sz="0" w:space="0" w:color="auto"/>
        <w:right w:val="none" w:sz="0" w:space="0" w:color="auto"/>
      </w:divBdr>
    </w:div>
    <w:div w:id="144503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1783</Words>
  <Characters>9105</Characters>
  <Application>Microsoft Office Word</Application>
  <DocSecurity>0</DocSecurity>
  <Lines>75</Lines>
  <Paragraphs>21</Paragraphs>
  <ScaleCrop>false</ScaleCrop>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2018-06-08T15:39:00Z</dcterms:created>
  <dcterms:modified xsi:type="dcterms:W3CDTF">2018-06-08T15:39:00Z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