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81030C" w:rsidRDefault="00721FBC" w:rsidP="008A6059">
      <w:pPr>
        <w:jc w:val="center"/>
        <w:rPr>
          <w:rFonts w:ascii="Book Antiqua" w:hAnsi="Book Antiqua" w:cs="Arial"/>
          <w:caps/>
          <w:color w:val="000000"/>
          <w:sz w:val="16"/>
          <w:szCs w:val="16"/>
        </w:rPr>
      </w:pPr>
      <w:r w:rsidRPr="0081030C">
        <w:rPr>
          <w:noProof/>
          <w:sz w:val="16"/>
          <w:szCs w:val="16"/>
        </w:rPr>
        <w:drawing>
          <wp:inline distT="0" distB="0" distL="0" distR="0" wp14:anchorId="00A6EFE6" wp14:editId="1F4DEDC6">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rsidR="00D94AFC" w:rsidRPr="0081030C"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E5BF7">
        <w:rPr>
          <w:rFonts w:ascii="Book Antiqua" w:hAnsi="Book Antiqua" w:cs="Arial"/>
          <w:caps/>
          <w:color w:val="000000"/>
        </w:rPr>
        <w:t>PA/07351/2017</w:t>
      </w:r>
      <w:bookmarkEnd w:id="0"/>
    </w:p>
    <w:p w:rsidR="00C345E1" w:rsidRPr="009B7433" w:rsidRDefault="00C345E1" w:rsidP="00C345E1">
      <w:pPr>
        <w:jc w:val="center"/>
        <w:rPr>
          <w:rFonts w:ascii="Book Antiqua" w:hAnsi="Book Antiqua" w:cs="Arial"/>
          <w:color w:val="000000"/>
        </w:rPr>
      </w:pPr>
    </w:p>
    <w:p w:rsidR="0081030C" w:rsidRDefault="0081030C"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81030C" w:rsidRPr="009B7433" w:rsidRDefault="0081030C"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587829">
              <w:rPr>
                <w:rFonts w:ascii="Book Antiqua" w:hAnsi="Book Antiqua" w:cs="Arial"/>
                <w:b/>
              </w:rPr>
              <w:t>Newport</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AE5BF7">
              <w:rPr>
                <w:rFonts w:ascii="Book Antiqua" w:hAnsi="Book Antiqua" w:cs="Arial"/>
                <w:b/>
              </w:rPr>
              <w:t>22 August 2018</w:t>
            </w:r>
          </w:p>
        </w:tc>
        <w:tc>
          <w:tcPr>
            <w:tcW w:w="3960" w:type="dxa"/>
          </w:tcPr>
          <w:p w:rsidR="00D22636" w:rsidRPr="009B7433" w:rsidRDefault="003B0545" w:rsidP="004A1848">
            <w:pPr>
              <w:jc w:val="both"/>
              <w:rPr>
                <w:rFonts w:ascii="Book Antiqua" w:hAnsi="Book Antiqua" w:cs="Arial"/>
                <w:b/>
              </w:rPr>
            </w:pPr>
            <w:r>
              <w:rPr>
                <w:rFonts w:ascii="Book Antiqua" w:hAnsi="Book Antiqua" w:cs="Arial"/>
                <w:b/>
              </w:rPr>
              <w:t>On 6 September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81030C" w:rsidRDefault="0081030C" w:rsidP="004C576E">
      <w:pPr>
        <w:rPr>
          <w:rFonts w:ascii="Book Antiqua" w:hAnsi="Book Antiqua" w:cs="Arial"/>
          <w:b/>
        </w:rPr>
      </w:pPr>
    </w:p>
    <w:p w:rsidR="0081030C" w:rsidRDefault="0081030C" w:rsidP="004C576E">
      <w:pPr>
        <w:rPr>
          <w:rFonts w:ascii="Book Antiqua" w:hAnsi="Book Antiqua" w:cs="Arial"/>
          <w:b/>
        </w:rPr>
      </w:pPr>
    </w:p>
    <w:p w:rsidR="00A845DC" w:rsidRDefault="00A845DC" w:rsidP="0081030C">
      <w:pPr>
        <w:jc w:val="center"/>
        <w:rPr>
          <w:rFonts w:ascii="Book Antiqua" w:hAnsi="Book Antiqua" w:cs="Arial"/>
          <w:b/>
        </w:rPr>
      </w:pPr>
      <w:r w:rsidRPr="009B7433">
        <w:rPr>
          <w:rFonts w:ascii="Book Antiqua" w:hAnsi="Book Antiqua" w:cs="Arial"/>
          <w:b/>
        </w:rPr>
        <w:t>Between</w:t>
      </w:r>
    </w:p>
    <w:p w:rsidR="0081030C" w:rsidRPr="009B7433" w:rsidRDefault="0081030C" w:rsidP="0081030C">
      <w:pPr>
        <w:jc w:val="center"/>
        <w:rPr>
          <w:rFonts w:ascii="Book Antiqua" w:hAnsi="Book Antiqua" w:cs="Arial"/>
          <w:b/>
        </w:rPr>
      </w:pPr>
    </w:p>
    <w:p w:rsidR="004C576E" w:rsidRPr="009B7433" w:rsidRDefault="004C576E" w:rsidP="004C576E">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4C576E" w:rsidRDefault="004C576E" w:rsidP="004C576E">
      <w:pPr>
        <w:jc w:val="center"/>
        <w:rPr>
          <w:rFonts w:ascii="Book Antiqua" w:hAnsi="Book Antiqua" w:cs="Arial"/>
          <w:b/>
          <w:caps/>
        </w:rPr>
      </w:pPr>
      <w:r>
        <w:rPr>
          <w:rFonts w:ascii="Book Antiqua" w:hAnsi="Book Antiqua" w:cs="Arial"/>
          <w:b/>
        </w:rPr>
        <w:t>S M</w:t>
      </w:r>
    </w:p>
    <w:p w:rsidR="004C576E" w:rsidRPr="0081030C" w:rsidRDefault="004C576E" w:rsidP="004C576E">
      <w:pPr>
        <w:jc w:val="center"/>
        <w:rPr>
          <w:rFonts w:ascii="Book Antiqua" w:hAnsi="Book Antiqua" w:cs="Arial"/>
          <w:b/>
          <w:caps/>
          <w:sz w:val="22"/>
        </w:rPr>
      </w:pPr>
      <w:r w:rsidRPr="0081030C">
        <w:rPr>
          <w:rFonts w:ascii="Book Antiqua" w:hAnsi="Book Antiqua" w:cs="Arial"/>
          <w:b/>
          <w:caps/>
          <w:sz w:val="22"/>
        </w:rPr>
        <w:t>(ANONYMITY DIRECTION 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81030C" w:rsidRPr="009B7433" w:rsidRDefault="0081030C"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67A94">
        <w:rPr>
          <w:rFonts w:ascii="Book Antiqua" w:hAnsi="Book Antiqua" w:cs="Arial"/>
        </w:rPr>
        <w:t>Mr Bates, Senior Home Office Presenting Officer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F3EAC">
        <w:rPr>
          <w:rFonts w:ascii="Book Antiqua" w:hAnsi="Book Antiqua" w:cs="Arial"/>
        </w:rPr>
        <w:t xml:space="preserve">Ms </w:t>
      </w:r>
      <w:proofErr w:type="spellStart"/>
      <w:r w:rsidR="00CF3EAC">
        <w:rPr>
          <w:rFonts w:ascii="Book Antiqua" w:hAnsi="Book Antiqua" w:cs="Arial"/>
        </w:rPr>
        <w:t>Casely</w:t>
      </w:r>
      <w:proofErr w:type="spellEnd"/>
      <w:r w:rsidR="00CF3EAC">
        <w:rPr>
          <w:rFonts w:ascii="Book Antiqua" w:hAnsi="Book Antiqua" w:cs="Arial"/>
        </w:rPr>
        <w:t xml:space="preserve">, </w:t>
      </w:r>
      <w:r w:rsidR="00CB12BF">
        <w:rPr>
          <w:rFonts w:ascii="Book Antiqua" w:hAnsi="Book Antiqua" w:cs="Arial"/>
        </w:rPr>
        <w:t>instructed by Avon &amp;</w:t>
      </w:r>
      <w:r w:rsidR="009545A2">
        <w:rPr>
          <w:rFonts w:ascii="Book Antiqua" w:hAnsi="Book Antiqua" w:cs="Arial"/>
        </w:rPr>
        <w:t xml:space="preserve"> Bristol</w:t>
      </w:r>
      <w:r w:rsidR="00CB12BF">
        <w:rPr>
          <w:rFonts w:ascii="Book Antiqua" w:hAnsi="Book Antiqua" w:cs="Arial"/>
        </w:rPr>
        <w:t xml:space="preserve"> Community Law</w:t>
      </w:r>
      <w:r w:rsidR="009545A2">
        <w:rPr>
          <w:rFonts w:ascii="Book Antiqua" w:hAnsi="Book Antiqua" w:cs="Arial"/>
        </w:rPr>
        <w:t xml:space="preserve"> Centre</w:t>
      </w:r>
    </w:p>
    <w:p w:rsidR="00DE7DB7" w:rsidRDefault="00DE7DB7" w:rsidP="00402B9E">
      <w:pPr>
        <w:tabs>
          <w:tab w:val="left" w:pos="2520"/>
        </w:tabs>
        <w:jc w:val="center"/>
        <w:rPr>
          <w:rFonts w:ascii="Book Antiqua" w:hAnsi="Book Antiqua" w:cs="Arial"/>
        </w:rPr>
      </w:pPr>
    </w:p>
    <w:p w:rsidR="0081030C" w:rsidRPr="009B7433" w:rsidRDefault="0081030C"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AE5BF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appeals against a decision of First-tier Tribunal Judge Povey in which he allowed the appellant’s appeal against a decision of the respondent made on 17 July 2017 to refuse his application for asylum and to refuse his protection claim.  </w:t>
      </w:r>
    </w:p>
    <w:p w:rsidR="00AE5BF7" w:rsidRDefault="00AE5BF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1B205A">
        <w:rPr>
          <w:rFonts w:ascii="Book Antiqua" w:hAnsi="Book Antiqua" w:cs="Arial"/>
        </w:rPr>
        <w:t>respondent</w:t>
      </w:r>
      <w:r>
        <w:rPr>
          <w:rFonts w:ascii="Book Antiqua" w:hAnsi="Book Antiqua" w:cs="Arial"/>
        </w:rPr>
        <w:t xml:space="preserve"> arrived in the United Kingdom on 7 April 2015, a few weeks before his 16</w:t>
      </w:r>
      <w:r w:rsidRPr="00AE5BF7">
        <w:rPr>
          <w:rFonts w:ascii="Book Antiqua" w:hAnsi="Book Antiqua" w:cs="Arial"/>
          <w:vertAlign w:val="superscript"/>
        </w:rPr>
        <w:t>th</w:t>
      </w:r>
      <w:r>
        <w:rPr>
          <w:rFonts w:ascii="Book Antiqua" w:hAnsi="Book Antiqua" w:cs="Arial"/>
        </w:rPr>
        <w:t xml:space="preserve"> birthday.  He is from a village in Paktika province of Afghanistan.  His case is that he at risk on return</w:t>
      </w:r>
      <w:r w:rsidR="0062496A">
        <w:rPr>
          <w:rFonts w:ascii="Book Antiqua" w:hAnsi="Book Antiqua" w:cs="Arial"/>
        </w:rPr>
        <w:t>, h</w:t>
      </w:r>
      <w:r>
        <w:rPr>
          <w:rFonts w:ascii="Book Antiqua" w:hAnsi="Book Antiqua" w:cs="Arial"/>
        </w:rPr>
        <w:t>aving lost all contact with family</w:t>
      </w:r>
      <w:r w:rsidR="0062496A">
        <w:rPr>
          <w:rFonts w:ascii="Book Antiqua" w:hAnsi="Book Antiqua" w:cs="Arial"/>
        </w:rPr>
        <w:t xml:space="preserve"> there</w:t>
      </w:r>
      <w:r>
        <w:rPr>
          <w:rFonts w:ascii="Book Antiqua" w:hAnsi="Book Antiqua" w:cs="Arial"/>
        </w:rPr>
        <w:t>.  The case was pursued, as is noted in Judge Povey’s decision at [10</w:t>
      </w:r>
      <w:r w:rsidR="001B205A">
        <w:rPr>
          <w:rFonts w:ascii="Book Antiqua" w:hAnsi="Book Antiqua" w:cs="Arial"/>
        </w:rPr>
        <w:t>]</w:t>
      </w:r>
      <w:r>
        <w:rPr>
          <w:rFonts w:ascii="Book Antiqua" w:hAnsi="Book Antiqua" w:cs="Arial"/>
        </w:rPr>
        <w:t xml:space="preserve"> to </w:t>
      </w:r>
      <w:r w:rsidR="001B205A">
        <w:rPr>
          <w:rFonts w:ascii="Book Antiqua" w:hAnsi="Book Antiqua" w:cs="Arial"/>
        </w:rPr>
        <w:t>[</w:t>
      </w:r>
      <w:r>
        <w:rPr>
          <w:rFonts w:ascii="Book Antiqua" w:hAnsi="Book Antiqua" w:cs="Arial"/>
        </w:rPr>
        <w:t>12]</w:t>
      </w:r>
      <w:r w:rsidR="0062496A">
        <w:rPr>
          <w:rFonts w:ascii="Book Antiqua" w:hAnsi="Book Antiqua" w:cs="Arial"/>
        </w:rPr>
        <w:t>, that i</w:t>
      </w:r>
      <w:r>
        <w:rPr>
          <w:rFonts w:ascii="Book Antiqua" w:hAnsi="Book Antiqua" w:cs="Arial"/>
        </w:rPr>
        <w:t xml:space="preserve">n essence, the </w:t>
      </w:r>
      <w:r w:rsidR="001B205A">
        <w:rPr>
          <w:rFonts w:ascii="Book Antiqua" w:hAnsi="Book Antiqua" w:cs="Arial"/>
        </w:rPr>
        <w:lastRenderedPageBreak/>
        <w:t>respondent</w:t>
      </w:r>
      <w:r>
        <w:rPr>
          <w:rFonts w:ascii="Book Antiqua" w:hAnsi="Book Antiqua" w:cs="Arial"/>
        </w:rPr>
        <w:t xml:space="preserve"> was at risk on return on account of his westernisation compounded by his poor mental health and lack of family support.</w:t>
      </w:r>
    </w:p>
    <w:p w:rsidR="00AE5BF7" w:rsidRDefault="00AE5BF7"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w:t>
      </w:r>
      <w:r w:rsidR="0062496A">
        <w:rPr>
          <w:rFonts w:ascii="Book Antiqua" w:hAnsi="Book Antiqua" w:cs="Arial"/>
        </w:rPr>
        <w:t>of note t</w:t>
      </w:r>
      <w:r>
        <w:rPr>
          <w:rFonts w:ascii="Book Antiqua" w:hAnsi="Book Antiqua" w:cs="Arial"/>
        </w:rPr>
        <w:t xml:space="preserve">hat it was agreed that the parties would not question the </w:t>
      </w:r>
      <w:r w:rsidR="001B205A">
        <w:rPr>
          <w:rFonts w:ascii="Book Antiqua" w:hAnsi="Book Antiqua" w:cs="Arial"/>
        </w:rPr>
        <w:t>respondent</w:t>
      </w:r>
      <w:r>
        <w:rPr>
          <w:rFonts w:ascii="Book Antiqua" w:hAnsi="Book Antiqua" w:cs="Arial"/>
        </w:rPr>
        <w:t xml:space="preserve"> about his experiences in Afghanistan</w:t>
      </w:r>
      <w:r w:rsidR="0062496A">
        <w:rPr>
          <w:rFonts w:ascii="Book Antiqua" w:hAnsi="Book Antiqua" w:cs="Arial"/>
        </w:rPr>
        <w:t>,</w:t>
      </w:r>
      <w:r>
        <w:rPr>
          <w:rFonts w:ascii="Book Antiqua" w:hAnsi="Book Antiqua" w:cs="Arial"/>
        </w:rPr>
        <w:t xml:space="preserve"> and also that Ms Lewis for the Secretary of State confirmed that he took no issue with the </w:t>
      </w:r>
      <w:r w:rsidR="002D265B">
        <w:rPr>
          <w:rFonts w:ascii="Book Antiqua" w:hAnsi="Book Antiqua" w:cs="Arial"/>
        </w:rPr>
        <w:t>responde</w:t>
      </w:r>
      <w:r>
        <w:rPr>
          <w:rFonts w:ascii="Book Antiqua" w:hAnsi="Book Antiqua" w:cs="Arial"/>
        </w:rPr>
        <w:t xml:space="preserve">nt’s mental health or his westernisation [11], </w:t>
      </w:r>
      <w:r w:rsidR="002D265B">
        <w:rPr>
          <w:rFonts w:ascii="Book Antiqua" w:hAnsi="Book Antiqua" w:cs="Arial"/>
        </w:rPr>
        <w:t>the</w:t>
      </w:r>
      <w:r>
        <w:rPr>
          <w:rFonts w:ascii="Book Antiqua" w:hAnsi="Book Antiqua" w:cs="Arial"/>
        </w:rPr>
        <w:t xml:space="preserve"> case being that any risks from either of </w:t>
      </w:r>
      <w:r w:rsidR="00F22AC4">
        <w:rPr>
          <w:rFonts w:ascii="Book Antiqua" w:hAnsi="Book Antiqua" w:cs="Arial"/>
        </w:rPr>
        <w:t>these facts w</w:t>
      </w:r>
      <w:r w:rsidR="0062496A">
        <w:rPr>
          <w:rFonts w:ascii="Book Antiqua" w:hAnsi="Book Antiqua" w:cs="Arial"/>
        </w:rPr>
        <w:t xml:space="preserve">ould be alleviated by the benefit of family support </w:t>
      </w:r>
      <w:r>
        <w:rPr>
          <w:rFonts w:ascii="Book Antiqua" w:hAnsi="Book Antiqua" w:cs="Arial"/>
        </w:rPr>
        <w:t xml:space="preserve">on return </w:t>
      </w:r>
      <w:r w:rsidR="0062496A">
        <w:rPr>
          <w:rFonts w:ascii="Book Antiqua" w:hAnsi="Book Antiqua" w:cs="Arial"/>
        </w:rPr>
        <w:t xml:space="preserve">or the availability of </w:t>
      </w:r>
      <w:r>
        <w:rPr>
          <w:rFonts w:ascii="Book Antiqua" w:hAnsi="Book Antiqua" w:cs="Arial"/>
        </w:rPr>
        <w:t xml:space="preserve">financial support.  </w:t>
      </w:r>
    </w:p>
    <w:p w:rsidR="00AE5BF7" w:rsidRDefault="00AE5BF7" w:rsidP="004D6B45">
      <w:pPr>
        <w:numPr>
          <w:ilvl w:val="0"/>
          <w:numId w:val="1"/>
        </w:numPr>
        <w:tabs>
          <w:tab w:val="clear" w:pos="567"/>
        </w:tabs>
        <w:spacing w:before="240"/>
        <w:jc w:val="both"/>
        <w:rPr>
          <w:rFonts w:ascii="Book Antiqua" w:hAnsi="Book Antiqua" w:cs="Arial"/>
        </w:rPr>
      </w:pPr>
      <w:r>
        <w:rPr>
          <w:rFonts w:ascii="Book Antiqua" w:hAnsi="Book Antiqua" w:cs="Arial"/>
        </w:rPr>
        <w:t>The judge found</w:t>
      </w:r>
      <w:r w:rsidR="002D265B">
        <w:rPr>
          <w:rFonts w:ascii="Book Antiqua" w:hAnsi="Book Antiqua" w:cs="Arial"/>
        </w:rPr>
        <w:t xml:space="preserve"> </w:t>
      </w:r>
      <w:proofErr w:type="gramStart"/>
      <w:r w:rsidR="002D265B">
        <w:rPr>
          <w:rFonts w:ascii="Book Antiqua" w:hAnsi="Book Antiqua" w:cs="Arial"/>
        </w:rPr>
        <w:t>that</w:t>
      </w:r>
      <w:r>
        <w:rPr>
          <w:rFonts w:ascii="Book Antiqua" w:hAnsi="Book Antiqua" w:cs="Arial"/>
        </w:rPr>
        <w:t>:-</w:t>
      </w:r>
      <w:proofErr w:type="gramEnd"/>
    </w:p>
    <w:p w:rsidR="00AE5BF7" w:rsidRDefault="00AE5BF7"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the </w:t>
      </w:r>
      <w:r w:rsidR="002D265B">
        <w:rPr>
          <w:rFonts w:ascii="Book Antiqua" w:hAnsi="Book Antiqua" w:cs="Arial"/>
        </w:rPr>
        <w:t>respondent</w:t>
      </w:r>
      <w:r>
        <w:rPr>
          <w:rFonts w:ascii="Book Antiqua" w:hAnsi="Book Antiqua" w:cs="Arial"/>
        </w:rPr>
        <w:t xml:space="preserve"> was a credible witness [21];</w:t>
      </w:r>
    </w:p>
    <w:p w:rsidR="00C332DC" w:rsidRDefault="002D265B"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t</w:t>
      </w:r>
      <w:r w:rsidR="00AE5BF7">
        <w:rPr>
          <w:rFonts w:ascii="Book Antiqua" w:hAnsi="Book Antiqua" w:cs="Arial"/>
        </w:rPr>
        <w:t xml:space="preserve">he </w:t>
      </w:r>
      <w:r>
        <w:rPr>
          <w:rFonts w:ascii="Book Antiqua" w:hAnsi="Book Antiqua" w:cs="Arial"/>
        </w:rPr>
        <w:t>respondent</w:t>
      </w:r>
      <w:r w:rsidR="00AE5BF7">
        <w:rPr>
          <w:rFonts w:ascii="Book Antiqua" w:hAnsi="Book Antiqua" w:cs="Arial"/>
        </w:rPr>
        <w:t xml:space="preserve"> had lost all contact with his family in Afghanistan and </w:t>
      </w:r>
      <w:r w:rsidR="0062496A">
        <w:rPr>
          <w:rFonts w:ascii="Book Antiqua" w:hAnsi="Book Antiqua" w:cs="Arial"/>
        </w:rPr>
        <w:t>although he</w:t>
      </w:r>
      <w:r w:rsidR="00AE5BF7">
        <w:rPr>
          <w:rFonts w:ascii="Book Antiqua" w:hAnsi="Book Antiqua" w:cs="Arial"/>
        </w:rPr>
        <w:t xml:space="preserve"> claim</w:t>
      </w:r>
      <w:r w:rsidR="0062496A">
        <w:rPr>
          <w:rFonts w:ascii="Book Antiqua" w:hAnsi="Book Antiqua" w:cs="Arial"/>
        </w:rPr>
        <w:t>ed</w:t>
      </w:r>
      <w:r w:rsidR="00AE5BF7">
        <w:rPr>
          <w:rFonts w:ascii="Book Antiqua" w:hAnsi="Book Antiqua" w:cs="Arial"/>
        </w:rPr>
        <w:t xml:space="preserve"> to be the nephew of an Afghan politician, enquiries made revealed that that</w:t>
      </w:r>
      <w:r w:rsidR="00C332DC">
        <w:rPr>
          <w:rFonts w:ascii="Book Antiqua" w:hAnsi="Book Antiqua" w:cs="Arial"/>
        </w:rPr>
        <w:t xml:space="preserve"> person denied any knowledge of a relationship with </w:t>
      </w:r>
      <w:r>
        <w:rPr>
          <w:rFonts w:ascii="Book Antiqua" w:hAnsi="Book Antiqua" w:cs="Arial"/>
        </w:rPr>
        <w:t>the respondent</w:t>
      </w:r>
      <w:r w:rsidR="00C332DC">
        <w:rPr>
          <w:rFonts w:ascii="Book Antiqua" w:hAnsi="Book Antiqua" w:cs="Arial"/>
        </w:rPr>
        <w:t xml:space="preserve"> and </w:t>
      </w:r>
      <w:r w:rsidR="0062496A">
        <w:rPr>
          <w:rFonts w:ascii="Book Antiqua" w:hAnsi="Book Antiqua" w:cs="Arial"/>
        </w:rPr>
        <w:t xml:space="preserve">in any event </w:t>
      </w:r>
      <w:r w:rsidR="00C332DC">
        <w:rPr>
          <w:rFonts w:ascii="Book Antiqua" w:hAnsi="Book Antiqua" w:cs="Arial"/>
        </w:rPr>
        <w:t>even if he was not his uncle, was not prepared to offer support or assistance on return to Afghanistan [22.2];</w:t>
      </w:r>
    </w:p>
    <w:p w:rsidR="00AE5BF7" w:rsidRDefault="00C332DC"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the </w:t>
      </w:r>
      <w:r w:rsidR="002D265B">
        <w:rPr>
          <w:rFonts w:ascii="Book Antiqua" w:hAnsi="Book Antiqua" w:cs="Arial"/>
        </w:rPr>
        <w:t>respondent</w:t>
      </w:r>
      <w:r>
        <w:rPr>
          <w:rFonts w:ascii="Book Antiqua" w:hAnsi="Book Antiqua" w:cs="Arial"/>
        </w:rPr>
        <w:t xml:space="preserve"> although no</w:t>
      </w:r>
      <w:r w:rsidR="002D265B">
        <w:rPr>
          <w:rFonts w:ascii="Book Antiqua" w:hAnsi="Book Antiqua" w:cs="Arial"/>
        </w:rPr>
        <w:t xml:space="preserve"> longer</w:t>
      </w:r>
      <w:r>
        <w:rPr>
          <w:rFonts w:ascii="Book Antiqua" w:hAnsi="Book Antiqua" w:cs="Arial"/>
        </w:rPr>
        <w:t xml:space="preserve"> a child still had significant </w:t>
      </w:r>
      <w:r w:rsidR="0062496A">
        <w:rPr>
          <w:rFonts w:ascii="Book Antiqua" w:hAnsi="Book Antiqua" w:cs="Arial"/>
        </w:rPr>
        <w:t>vulnerabilities</w:t>
      </w:r>
      <w:r>
        <w:rPr>
          <w:rFonts w:ascii="Book Antiqua" w:hAnsi="Book Antiqua" w:cs="Arial"/>
        </w:rPr>
        <w:t xml:space="preserve"> and support needs, having PTSD and depression, being supported in school by mental health nurse [22.4], his difficulties in coping without support, the risk of him being exploited and his vulnerability would not be alleviated by the provision of financial support alone;</w:t>
      </w:r>
    </w:p>
    <w:p w:rsidR="00C332DC" w:rsidRDefault="00C332DC"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if returned to Afghanistan </w:t>
      </w:r>
      <w:r w:rsidR="00315221">
        <w:rPr>
          <w:rFonts w:ascii="Book Antiqua" w:hAnsi="Book Antiqua" w:cs="Arial"/>
        </w:rPr>
        <w:t>t</w:t>
      </w:r>
      <w:r>
        <w:rPr>
          <w:rFonts w:ascii="Book Antiqua" w:hAnsi="Book Antiqua" w:cs="Arial"/>
        </w:rPr>
        <w:t xml:space="preserve">he </w:t>
      </w:r>
      <w:r w:rsidR="00315221">
        <w:rPr>
          <w:rFonts w:ascii="Book Antiqua" w:hAnsi="Book Antiqua" w:cs="Arial"/>
        </w:rPr>
        <w:t xml:space="preserve">respondent </w:t>
      </w:r>
      <w:r>
        <w:rPr>
          <w:rFonts w:ascii="Book Antiqua" w:hAnsi="Book Antiqua" w:cs="Arial"/>
        </w:rPr>
        <w:t>would be considered westernised;</w:t>
      </w:r>
    </w:p>
    <w:p w:rsidR="00C332DC" w:rsidRDefault="00C332DC"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there is a significant Taliban presence in the </w:t>
      </w:r>
      <w:r w:rsidR="00153787">
        <w:rPr>
          <w:rFonts w:ascii="Book Antiqua" w:hAnsi="Book Antiqua" w:cs="Arial"/>
        </w:rPr>
        <w:t>respondent</w:t>
      </w:r>
      <w:r>
        <w:rPr>
          <w:rFonts w:ascii="Book Antiqua" w:hAnsi="Book Antiqua" w:cs="Arial"/>
        </w:rPr>
        <w:t xml:space="preserve">’s home area and given that </w:t>
      </w:r>
      <w:r w:rsidR="00153787">
        <w:rPr>
          <w:rFonts w:ascii="Book Antiqua" w:hAnsi="Book Antiqua" w:cs="Arial"/>
        </w:rPr>
        <w:t>he is we</w:t>
      </w:r>
      <w:r>
        <w:rPr>
          <w:rFonts w:ascii="Book Antiqua" w:hAnsi="Book Antiqua" w:cs="Arial"/>
        </w:rPr>
        <w:t>sternis</w:t>
      </w:r>
      <w:r w:rsidR="00153787">
        <w:rPr>
          <w:rFonts w:ascii="Book Antiqua" w:hAnsi="Book Antiqua" w:cs="Arial"/>
        </w:rPr>
        <w:t>ed,</w:t>
      </w:r>
      <w:r>
        <w:rPr>
          <w:rFonts w:ascii="Book Antiqua" w:hAnsi="Book Antiqua" w:cs="Arial"/>
        </w:rPr>
        <w:t xml:space="preserve"> he would be at risk of being targeted by the Taliban, as set out in the </w:t>
      </w:r>
      <w:r w:rsidR="00153787">
        <w:rPr>
          <w:rFonts w:ascii="Book Antiqua" w:hAnsi="Book Antiqua" w:cs="Arial"/>
        </w:rPr>
        <w:t>Secretary of State’s</w:t>
      </w:r>
      <w:r>
        <w:rPr>
          <w:rFonts w:ascii="Book Antiqua" w:hAnsi="Book Antiqua" w:cs="Arial"/>
        </w:rPr>
        <w:t xml:space="preserve"> CPIN at 8.9;</w:t>
      </w:r>
    </w:p>
    <w:p w:rsidR="00C332DC" w:rsidRDefault="00C332DC"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 the lack of support on return </w:t>
      </w:r>
      <w:r w:rsidR="0062496A">
        <w:rPr>
          <w:rFonts w:ascii="Book Antiqua" w:hAnsi="Book Antiqua" w:cs="Arial"/>
        </w:rPr>
        <w:t>to his home area w</w:t>
      </w:r>
      <w:r>
        <w:rPr>
          <w:rFonts w:ascii="Book Antiqua" w:hAnsi="Book Antiqua" w:cs="Arial"/>
        </w:rPr>
        <w:t>ould put him at further risk of persecution and serious harm [24], Paktika being one of the least secure provinces in Afghanistan [25];</w:t>
      </w:r>
    </w:p>
    <w:p w:rsidR="00AE5BF7" w:rsidRPr="00C332DC" w:rsidRDefault="00C332DC" w:rsidP="0081030C">
      <w:pPr>
        <w:numPr>
          <w:ilvl w:val="2"/>
          <w:numId w:val="1"/>
        </w:numPr>
        <w:tabs>
          <w:tab w:val="left" w:pos="1134"/>
        </w:tabs>
        <w:spacing w:before="120"/>
        <w:ind w:left="1134"/>
        <w:jc w:val="both"/>
        <w:rPr>
          <w:rFonts w:ascii="Book Antiqua" w:hAnsi="Book Antiqua" w:cs="Arial"/>
        </w:rPr>
      </w:pPr>
      <w:r>
        <w:rPr>
          <w:rFonts w:ascii="Book Antiqua" w:hAnsi="Book Antiqua" w:cs="Arial"/>
        </w:rPr>
        <w:t xml:space="preserve"> it would be unreasonable and unduly harsh to expect him to relocate to Kabul or any other area of Afghanistan where he would face the same difficulties in order to minimise the risk</w:t>
      </w:r>
      <w:r w:rsidR="0062496A">
        <w:rPr>
          <w:rFonts w:ascii="Book Antiqua" w:hAnsi="Book Antiqua" w:cs="Arial"/>
        </w:rPr>
        <w:t>s</w:t>
      </w:r>
      <w:r>
        <w:rPr>
          <w:rFonts w:ascii="Book Antiqua" w:hAnsi="Book Antiqua" w:cs="Arial"/>
        </w:rPr>
        <w:t xml:space="preserve"> he would face from the Taliban in Paktika [28].</w:t>
      </w:r>
    </w:p>
    <w:p w:rsidR="00C332DC" w:rsidRDefault="00C332DC" w:rsidP="00C332DC">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concluded that the </w:t>
      </w:r>
      <w:r w:rsidR="00153787">
        <w:rPr>
          <w:rFonts w:ascii="Book Antiqua" w:hAnsi="Book Antiqua" w:cs="Arial"/>
        </w:rPr>
        <w:t>respondent</w:t>
      </w:r>
      <w:r>
        <w:rPr>
          <w:rFonts w:ascii="Book Antiqua" w:hAnsi="Book Antiqua" w:cs="Arial"/>
        </w:rPr>
        <w:t xml:space="preserve"> would be at risk of persecution by reason of his westernisation, the risk from non-state </w:t>
      </w:r>
      <w:r w:rsidR="0062496A">
        <w:rPr>
          <w:rFonts w:ascii="Book Antiqua" w:hAnsi="Book Antiqua" w:cs="Arial"/>
        </w:rPr>
        <w:t>actors</w:t>
      </w:r>
      <w:r>
        <w:rPr>
          <w:rFonts w:ascii="Book Antiqua" w:hAnsi="Book Antiqua" w:cs="Arial"/>
        </w:rPr>
        <w:t xml:space="preserve"> not being reasonably addressed by sufficiency of protection or by internal relocation [30].  The judge concluded that the </w:t>
      </w:r>
      <w:r w:rsidR="0091521B">
        <w:rPr>
          <w:rFonts w:ascii="Book Antiqua" w:hAnsi="Book Antiqua" w:cs="Arial"/>
        </w:rPr>
        <w:t xml:space="preserve">fear of persecution </w:t>
      </w:r>
      <w:r>
        <w:rPr>
          <w:rFonts w:ascii="Book Antiqua" w:hAnsi="Book Antiqua" w:cs="Arial"/>
        </w:rPr>
        <w:t xml:space="preserve">was on the basis of membership of a particular social group and </w:t>
      </w:r>
      <w:r w:rsidR="0091521B">
        <w:rPr>
          <w:rFonts w:ascii="Book Antiqua" w:hAnsi="Book Antiqua" w:cs="Arial"/>
        </w:rPr>
        <w:t xml:space="preserve">that </w:t>
      </w:r>
      <w:r>
        <w:rPr>
          <w:rFonts w:ascii="Book Antiqua" w:hAnsi="Book Antiqua" w:cs="Arial"/>
        </w:rPr>
        <w:t>in the circumstances it was unnecessary for him to consider the grounds of appeal advanced.</w:t>
      </w:r>
    </w:p>
    <w:p w:rsidR="00AE5BF7" w:rsidRPr="00C332DC" w:rsidRDefault="00C332DC" w:rsidP="00C332DC">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153787">
        <w:rPr>
          <w:rFonts w:ascii="Book Antiqua" w:hAnsi="Book Antiqua" w:cs="Arial"/>
        </w:rPr>
        <w:t>Secretary of State</w:t>
      </w:r>
      <w:r>
        <w:rPr>
          <w:rFonts w:ascii="Book Antiqua" w:hAnsi="Book Antiqua" w:cs="Arial"/>
        </w:rPr>
        <w:t xml:space="preserve"> sought permission to appeal on the grounds that Afghans being perceived as westernised do not form a particular social group in that they do not share an immutable or innate characteristic which cannot be changed, are not perceived as </w:t>
      </w:r>
      <w:r>
        <w:rPr>
          <w:rFonts w:ascii="Book Antiqua" w:hAnsi="Book Antiqua" w:cs="Arial"/>
        </w:rPr>
        <w:lastRenderedPageBreak/>
        <w:t>different and do not have a distinct identity in Afghan society, albeit that some Afghans who return from</w:t>
      </w:r>
      <w:r w:rsidR="00AE5BF7" w:rsidRPr="00C332DC">
        <w:rPr>
          <w:rFonts w:ascii="Book Antiqua" w:hAnsi="Book Antiqua" w:cs="Arial"/>
        </w:rPr>
        <w:tab/>
      </w:r>
      <w:r>
        <w:rPr>
          <w:rFonts w:ascii="Book Antiqua" w:hAnsi="Book Antiqua" w:cs="Arial"/>
        </w:rPr>
        <w:t>western states may face discrimination and social stigma.</w:t>
      </w:r>
    </w:p>
    <w:p w:rsidR="00C332DC" w:rsidRDefault="00C332D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were confined to asylum grounds only and it </w:t>
      </w:r>
      <w:r w:rsidR="00153787">
        <w:rPr>
          <w:rFonts w:ascii="Book Antiqua" w:hAnsi="Book Antiqua" w:cs="Arial"/>
        </w:rPr>
        <w:t>was</w:t>
      </w:r>
      <w:r>
        <w:rPr>
          <w:rFonts w:ascii="Book Antiqua" w:hAnsi="Book Antiqua" w:cs="Arial"/>
        </w:rPr>
        <w:t xml:space="preserve"> submitted that the </w:t>
      </w:r>
      <w:r w:rsidR="00153787">
        <w:rPr>
          <w:rFonts w:ascii="Book Antiqua" w:hAnsi="Book Antiqua" w:cs="Arial"/>
        </w:rPr>
        <w:t>respondent</w:t>
      </w:r>
      <w:r>
        <w:rPr>
          <w:rFonts w:ascii="Book Antiqua" w:hAnsi="Book Antiqua" w:cs="Arial"/>
        </w:rPr>
        <w:t xml:space="preserve"> cannot</w:t>
      </w:r>
      <w:r w:rsidR="0091521B">
        <w:rPr>
          <w:rFonts w:ascii="Book Antiqua" w:hAnsi="Book Antiqua" w:cs="Arial"/>
        </w:rPr>
        <w:t xml:space="preserve"> be</w:t>
      </w:r>
      <w:r>
        <w:rPr>
          <w:rFonts w:ascii="Book Antiqua" w:hAnsi="Book Antiqua" w:cs="Arial"/>
        </w:rPr>
        <w:t xml:space="preserve"> </w:t>
      </w:r>
      <w:r w:rsidR="00F22AC4">
        <w:rPr>
          <w:rFonts w:ascii="Book Antiqua" w:hAnsi="Book Antiqua" w:cs="Arial"/>
        </w:rPr>
        <w:t>granted</w:t>
      </w:r>
      <w:r>
        <w:rPr>
          <w:rFonts w:ascii="Book Antiqua" w:hAnsi="Book Antiqua" w:cs="Arial"/>
        </w:rPr>
        <w:t xml:space="preserve"> refugee</w:t>
      </w:r>
      <w:r w:rsidR="0091521B">
        <w:rPr>
          <w:rFonts w:ascii="Book Antiqua" w:hAnsi="Book Antiqua" w:cs="Arial"/>
        </w:rPr>
        <w:t xml:space="preserve"> protection</w:t>
      </w:r>
      <w:r w:rsidR="00515A66">
        <w:rPr>
          <w:rFonts w:ascii="Book Antiqua" w:hAnsi="Book Antiqua" w:cs="Arial"/>
        </w:rPr>
        <w:t>,</w:t>
      </w:r>
      <w:r w:rsidR="0091521B">
        <w:rPr>
          <w:rFonts w:ascii="Book Antiqua" w:hAnsi="Book Antiqua" w:cs="Arial"/>
        </w:rPr>
        <w:t xml:space="preserve"> the decision needs to be set aside for a new hearing where all </w:t>
      </w:r>
      <w:r w:rsidR="00515A66">
        <w:rPr>
          <w:rFonts w:ascii="Book Antiqua" w:hAnsi="Book Antiqua" w:cs="Arial"/>
        </w:rPr>
        <w:t>m</w:t>
      </w:r>
      <w:r>
        <w:rPr>
          <w:rFonts w:ascii="Book Antiqua" w:hAnsi="Book Antiqua" w:cs="Arial"/>
        </w:rPr>
        <w:t xml:space="preserve">atters could be considered.  </w:t>
      </w:r>
    </w:p>
    <w:p w:rsidR="00C332DC" w:rsidRDefault="00C332D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On 5 February 2018 First-tier Tribunal Judge Pedro granted permission.  </w:t>
      </w:r>
    </w:p>
    <w:p w:rsidR="00C332DC" w:rsidRDefault="00C332D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unclear from the grounds whether the Secretary of State is asserting simply that there is no nexus with the Refugee Convention; or, that there is insufficient evidence to allow a finding that the appellant is at risk of ill-treatment.  </w:t>
      </w:r>
    </w:p>
    <w:p w:rsidR="00C332DC" w:rsidRDefault="00C332D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Mr Bates relied on the grounds submitting that there was in this case no particular social group, being westernised not amounting to an immutable characteristic.  He </w:t>
      </w:r>
      <w:r w:rsidR="00322D23">
        <w:rPr>
          <w:rFonts w:ascii="Book Antiqua" w:hAnsi="Book Antiqua" w:cs="Arial"/>
        </w:rPr>
        <w:t>relied also on</w:t>
      </w:r>
      <w:r>
        <w:rPr>
          <w:rFonts w:ascii="Book Antiqua" w:hAnsi="Book Antiqua" w:cs="Arial"/>
        </w:rPr>
        <w:t xml:space="preserve"> </w:t>
      </w:r>
      <w:r w:rsidRPr="00322D23">
        <w:rPr>
          <w:rFonts w:ascii="Book Antiqua" w:hAnsi="Book Antiqua" w:cs="Arial"/>
          <w:u w:val="single"/>
        </w:rPr>
        <w:t>AS (</w:t>
      </w:r>
      <w:r w:rsidR="0091521B" w:rsidRPr="00322D23">
        <w:rPr>
          <w:rFonts w:ascii="Book Antiqua" w:hAnsi="Book Antiqua" w:cs="Arial"/>
          <w:u w:val="single"/>
        </w:rPr>
        <w:t xml:space="preserve">Safety </w:t>
      </w:r>
      <w:r w:rsidRPr="00322D23">
        <w:rPr>
          <w:rFonts w:ascii="Book Antiqua" w:hAnsi="Book Antiqua" w:cs="Arial"/>
          <w:u w:val="single"/>
        </w:rPr>
        <w:t>of Kabul) Afghanistan CG</w:t>
      </w:r>
      <w:r w:rsidRPr="0081030C">
        <w:rPr>
          <w:rFonts w:ascii="Book Antiqua" w:hAnsi="Book Antiqua" w:cs="Arial"/>
        </w:rPr>
        <w:t xml:space="preserve"> </w:t>
      </w:r>
      <w:r w:rsidRPr="00322D23">
        <w:rPr>
          <w:rFonts w:ascii="Book Antiqua" w:hAnsi="Book Antiqua" w:cs="Arial"/>
        </w:rPr>
        <w:t>[2018] UKUT 118 (IAC</w:t>
      </w:r>
      <w:r w:rsidRPr="0091521B">
        <w:rPr>
          <w:rFonts w:ascii="Book Antiqua" w:hAnsi="Book Antiqua" w:cs="Arial"/>
          <w:b/>
        </w:rPr>
        <w:t>)</w:t>
      </w:r>
      <w:r>
        <w:rPr>
          <w:rFonts w:ascii="Book Antiqua" w:hAnsi="Book Antiqua" w:cs="Arial"/>
        </w:rPr>
        <w:t xml:space="preserve"> at paragraph 187.  He accepted that there was no challenge made to the findings of fact but he did accept that the point was a narrow one</w:t>
      </w:r>
      <w:r w:rsidR="00315221">
        <w:rPr>
          <w:rFonts w:ascii="Book Antiqua" w:hAnsi="Book Antiqua" w:cs="Arial"/>
        </w:rPr>
        <w:t xml:space="preserve">. He expressly conceded </w:t>
      </w:r>
      <w:r>
        <w:rPr>
          <w:rFonts w:ascii="Book Antiqua" w:hAnsi="Book Antiqua" w:cs="Arial"/>
        </w:rPr>
        <w:t xml:space="preserve">that the respondent would be entitled to a grant of humanitarian protection </w:t>
      </w:r>
      <w:r w:rsidR="0091521B">
        <w:rPr>
          <w:rFonts w:ascii="Book Antiqua" w:hAnsi="Book Antiqua" w:cs="Arial"/>
        </w:rPr>
        <w:t>were it</w:t>
      </w:r>
      <w:r>
        <w:rPr>
          <w:rFonts w:ascii="Book Antiqua" w:hAnsi="Book Antiqua" w:cs="Arial"/>
        </w:rPr>
        <w:t xml:space="preserve"> not shown that there was a nexus with the Refugee Convention.  </w:t>
      </w:r>
    </w:p>
    <w:p w:rsidR="00721FBC" w:rsidRDefault="00C332D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r w:rsidR="0091521B">
        <w:rPr>
          <w:rFonts w:ascii="Book Antiqua" w:hAnsi="Book Antiqua" w:cs="Arial"/>
        </w:rPr>
        <w:t>Caseley</w:t>
      </w:r>
      <w:r>
        <w:rPr>
          <w:rFonts w:ascii="Book Antiqua" w:hAnsi="Book Antiqua" w:cs="Arial"/>
        </w:rPr>
        <w:t xml:space="preserve"> </w:t>
      </w:r>
      <w:r w:rsidR="0091521B">
        <w:rPr>
          <w:rFonts w:ascii="Book Antiqua" w:hAnsi="Book Antiqua" w:cs="Arial"/>
        </w:rPr>
        <w:t xml:space="preserve">relied </w:t>
      </w:r>
      <w:r>
        <w:rPr>
          <w:rFonts w:ascii="Book Antiqua" w:hAnsi="Book Antiqua" w:cs="Arial"/>
        </w:rPr>
        <w:t xml:space="preserve">on her Rule 24 notice submitting that it could not be argued that a failure to rely on a country guidance decision which was not available at the time of promulgation amounted to an </w:t>
      </w:r>
      <w:r w:rsidR="00721FBC">
        <w:rPr>
          <w:rFonts w:ascii="Book Antiqua" w:hAnsi="Book Antiqua" w:cs="Arial"/>
        </w:rPr>
        <w:t>error of law where that decision did not make a finding on an error of law in another decision.  She submitted that</w:t>
      </w:r>
      <w:r w:rsidR="004F5140">
        <w:rPr>
          <w:rFonts w:ascii="Book Antiqua" w:hAnsi="Book Antiqua" w:cs="Arial"/>
        </w:rPr>
        <w:t>,</w:t>
      </w:r>
      <w:r w:rsidR="00721FBC">
        <w:rPr>
          <w:rFonts w:ascii="Book Antiqua" w:hAnsi="Book Antiqua" w:cs="Arial"/>
        </w:rPr>
        <w:t xml:space="preserve"> on the evidence</w:t>
      </w:r>
      <w:r w:rsidR="004F5140">
        <w:rPr>
          <w:rFonts w:ascii="Book Antiqua" w:hAnsi="Book Antiqua" w:cs="Arial"/>
        </w:rPr>
        <w:t>,</w:t>
      </w:r>
      <w:r w:rsidR="00721FBC">
        <w:rPr>
          <w:rFonts w:ascii="Book Antiqua" w:hAnsi="Book Antiqua" w:cs="Arial"/>
        </w:rPr>
        <w:t xml:space="preserve"> being westernised was an immutable characteristic </w:t>
      </w:r>
      <w:r w:rsidR="004F5140">
        <w:rPr>
          <w:rFonts w:ascii="Book Antiqua" w:hAnsi="Book Antiqua" w:cs="Arial"/>
        </w:rPr>
        <w:t xml:space="preserve">which </w:t>
      </w:r>
      <w:r w:rsidR="0091521B">
        <w:rPr>
          <w:rFonts w:ascii="Book Antiqua" w:hAnsi="Book Antiqua" w:cs="Arial"/>
        </w:rPr>
        <w:t>f</w:t>
      </w:r>
      <w:r w:rsidR="00721FBC">
        <w:rPr>
          <w:rFonts w:ascii="Book Antiqua" w:hAnsi="Book Antiqua" w:cs="Arial"/>
        </w:rPr>
        <w:t>orm</w:t>
      </w:r>
      <w:r w:rsidR="004F5140">
        <w:rPr>
          <w:rFonts w:ascii="Book Antiqua" w:hAnsi="Book Antiqua" w:cs="Arial"/>
        </w:rPr>
        <w:t>s</w:t>
      </w:r>
      <w:r w:rsidR="00721FBC">
        <w:rPr>
          <w:rFonts w:ascii="Book Antiqua" w:hAnsi="Book Antiqua" w:cs="Arial"/>
        </w:rPr>
        <w:t xml:space="preserve"> part of </w:t>
      </w:r>
      <w:r w:rsidR="004F5140">
        <w:rPr>
          <w:rFonts w:ascii="Book Antiqua" w:hAnsi="Book Antiqua" w:cs="Arial"/>
        </w:rPr>
        <w:t>the respondent’s</w:t>
      </w:r>
      <w:r w:rsidR="00721FBC">
        <w:rPr>
          <w:rFonts w:ascii="Book Antiqua" w:hAnsi="Book Antiqua" w:cs="Arial"/>
        </w:rPr>
        <w:t xml:space="preserve"> identity since he had been in the United Kingdom and on the facts of this case the evidence was in his home area the risk was significantly greater.  </w:t>
      </w:r>
    </w:p>
    <w:p w:rsidR="00721FBC" w:rsidRDefault="00721FBC"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Ms </w:t>
      </w:r>
      <w:r w:rsidR="0091521B">
        <w:rPr>
          <w:rFonts w:ascii="Book Antiqua" w:hAnsi="Book Antiqua" w:cs="Arial"/>
        </w:rPr>
        <w:t>Caseley</w:t>
      </w:r>
      <w:r>
        <w:rPr>
          <w:rFonts w:ascii="Book Antiqua" w:hAnsi="Book Antiqua" w:cs="Arial"/>
        </w:rPr>
        <w:t xml:space="preserve"> </w:t>
      </w:r>
      <w:r w:rsidR="0091521B">
        <w:rPr>
          <w:rFonts w:ascii="Book Antiqua" w:hAnsi="Book Antiqua" w:cs="Arial"/>
        </w:rPr>
        <w:t>s</w:t>
      </w:r>
      <w:r>
        <w:rPr>
          <w:rFonts w:ascii="Book Antiqua" w:hAnsi="Book Antiqua" w:cs="Arial"/>
        </w:rPr>
        <w:t xml:space="preserve">ubmitted that those returning face different treatment, particularly in difficult areas and it was difficult to predict how they would be treated.  She submitted that there was sufficient evidence to show that he would be at risk of ill-treatment on return to Afghanistan.  </w:t>
      </w:r>
    </w:p>
    <w:p w:rsidR="00EC477A" w:rsidRDefault="00EC477A" w:rsidP="004D6B45">
      <w:pPr>
        <w:numPr>
          <w:ilvl w:val="0"/>
          <w:numId w:val="1"/>
        </w:numPr>
        <w:tabs>
          <w:tab w:val="clear" w:pos="567"/>
        </w:tabs>
        <w:spacing w:before="240"/>
        <w:jc w:val="both"/>
        <w:rPr>
          <w:rFonts w:ascii="Book Antiqua" w:hAnsi="Book Antiqua" w:cs="Arial"/>
        </w:rPr>
      </w:pPr>
      <w:r>
        <w:rPr>
          <w:rFonts w:ascii="Book Antiqua" w:hAnsi="Book Antiqua" w:cs="Arial"/>
        </w:rPr>
        <w:t>The grounds of challenge appear to conflate t</w:t>
      </w:r>
      <w:r w:rsidR="0091521B">
        <w:rPr>
          <w:rFonts w:ascii="Book Antiqua" w:hAnsi="Book Antiqua" w:cs="Arial"/>
        </w:rPr>
        <w:t>w</w:t>
      </w:r>
      <w:r>
        <w:rPr>
          <w:rFonts w:ascii="Book Antiqua" w:hAnsi="Book Antiqua" w:cs="Arial"/>
        </w:rPr>
        <w:t xml:space="preserve">o issues.  Whether a group of individuals constitutes a particular social group is a question separate from whether an individual faces persecution </w:t>
      </w:r>
      <w:r w:rsidRPr="0091521B">
        <w:rPr>
          <w:rFonts w:ascii="Book Antiqua" w:hAnsi="Book Antiqua" w:cs="Arial"/>
          <w:u w:val="single"/>
        </w:rPr>
        <w:t>on account of</w:t>
      </w:r>
      <w:r>
        <w:rPr>
          <w:rFonts w:ascii="Book Antiqua" w:hAnsi="Book Antiqua" w:cs="Arial"/>
        </w:rPr>
        <w:t xml:space="preserve"> </w:t>
      </w:r>
      <w:r w:rsidRPr="0091521B">
        <w:rPr>
          <w:rFonts w:ascii="Book Antiqua" w:hAnsi="Book Antiqua" w:cs="Arial"/>
        </w:rPr>
        <w:t>membership of a particular social group</w:t>
      </w:r>
      <w:r w:rsidR="0091521B">
        <w:rPr>
          <w:rFonts w:ascii="Book Antiqua" w:hAnsi="Book Antiqua" w:cs="Arial"/>
        </w:rPr>
        <w:t xml:space="preserve">.  </w:t>
      </w:r>
      <w:r w:rsidR="00300D6E">
        <w:rPr>
          <w:rFonts w:ascii="Book Antiqua" w:hAnsi="Book Antiqua" w:cs="Arial"/>
        </w:rPr>
        <w:t>Those</w:t>
      </w:r>
      <w:r>
        <w:rPr>
          <w:rFonts w:ascii="Book Antiqua" w:hAnsi="Book Antiqua" w:cs="Arial"/>
        </w:rPr>
        <w:t xml:space="preserve"> who meet the second criteria will inevitably </w:t>
      </w:r>
      <w:r w:rsidR="00300D6E">
        <w:rPr>
          <w:rFonts w:ascii="Book Antiqua" w:hAnsi="Book Antiqua" w:cs="Arial"/>
        </w:rPr>
        <w:t xml:space="preserve">form </w:t>
      </w:r>
      <w:r>
        <w:rPr>
          <w:rFonts w:ascii="Book Antiqua" w:hAnsi="Book Antiqua" w:cs="Arial"/>
        </w:rPr>
        <w:t xml:space="preserve">a subset of the particular social group.  </w:t>
      </w:r>
      <w:r w:rsidR="00CB2E4F">
        <w:rPr>
          <w:rFonts w:ascii="Book Antiqua" w:hAnsi="Book Antiqua" w:cs="Arial"/>
        </w:rPr>
        <w:t>There is no requirement that all members of a group face persecution for it to be a social group.</w:t>
      </w:r>
    </w:p>
    <w:p w:rsidR="00BC66C9" w:rsidRDefault="00EC477A" w:rsidP="00546A3D">
      <w:pPr>
        <w:numPr>
          <w:ilvl w:val="0"/>
          <w:numId w:val="1"/>
        </w:numPr>
        <w:tabs>
          <w:tab w:val="clear" w:pos="567"/>
        </w:tabs>
        <w:spacing w:before="240"/>
        <w:jc w:val="both"/>
        <w:rPr>
          <w:rFonts w:ascii="Book Antiqua" w:hAnsi="Book Antiqua" w:cs="Arial"/>
        </w:rPr>
      </w:pPr>
      <w:r w:rsidRPr="009F24DC">
        <w:rPr>
          <w:rFonts w:ascii="Book Antiqua" w:hAnsi="Book Antiqua" w:cs="Arial"/>
        </w:rPr>
        <w:t>It is sensible first to consider the provisions of the Qualification Directive which underpin the Immigration Rules</w:t>
      </w:r>
      <w:r w:rsidR="009F24DC" w:rsidRPr="009F24DC">
        <w:rPr>
          <w:rFonts w:ascii="Book Antiqua" w:hAnsi="Book Antiqua" w:cs="Arial"/>
        </w:rPr>
        <w:t xml:space="preserve">, and </w:t>
      </w:r>
      <w:r w:rsidR="009F24DC">
        <w:rPr>
          <w:rFonts w:ascii="Book Antiqua" w:hAnsi="Book Antiqua" w:cs="Arial"/>
        </w:rPr>
        <w:t>i</w:t>
      </w:r>
      <w:r w:rsidR="00173A4A" w:rsidRPr="009F24DC">
        <w:rPr>
          <w:rFonts w:ascii="Book Antiqua" w:hAnsi="Book Antiqua" w:cs="Arial"/>
        </w:rPr>
        <w:t>n</w:t>
      </w:r>
      <w:r w:rsidR="00BC66C9" w:rsidRPr="009F24DC">
        <w:rPr>
          <w:rFonts w:ascii="Book Antiqua" w:hAnsi="Book Antiqua" w:cs="Arial"/>
        </w:rPr>
        <w:t xml:space="preserve"> this context</w:t>
      </w:r>
      <w:r w:rsidR="00292AE6">
        <w:rPr>
          <w:rFonts w:ascii="Book Antiqua" w:hAnsi="Book Antiqua" w:cs="Arial"/>
        </w:rPr>
        <w:t>,</w:t>
      </w:r>
      <w:r w:rsidR="00BC66C9" w:rsidRPr="009F24DC">
        <w:rPr>
          <w:rFonts w:ascii="Book Antiqua" w:hAnsi="Book Antiqua" w:cs="Arial"/>
        </w:rPr>
        <w:t xml:space="preserve"> to have regard to </w:t>
      </w:r>
      <w:r w:rsidR="00BC66C9" w:rsidRPr="009F24DC">
        <w:rPr>
          <w:rFonts w:ascii="Book Antiqua" w:hAnsi="Book Antiqua" w:cs="Arial"/>
          <w:u w:val="single"/>
        </w:rPr>
        <w:t>SSHD v K</w:t>
      </w:r>
      <w:r w:rsidR="00BC66C9" w:rsidRPr="009F24DC">
        <w:rPr>
          <w:rFonts w:ascii="Book Antiqua" w:hAnsi="Book Antiqua" w:cs="Arial"/>
        </w:rPr>
        <w:t xml:space="preserve"> [2006] UKHL 46</w:t>
      </w:r>
      <w:r w:rsidR="00B132A3" w:rsidRPr="009F24DC">
        <w:rPr>
          <w:rFonts w:ascii="Book Antiqua" w:hAnsi="Book Antiqua" w:cs="Arial"/>
        </w:rPr>
        <w:t xml:space="preserve"> which at </w:t>
      </w:r>
      <w:r w:rsidR="00BC66C9" w:rsidRPr="009F24DC">
        <w:rPr>
          <w:rFonts w:ascii="Book Antiqua" w:hAnsi="Book Antiqua" w:cs="Arial"/>
        </w:rPr>
        <w:t xml:space="preserve">paragraphs </w:t>
      </w:r>
      <w:r w:rsidR="00173A4A" w:rsidRPr="009F24DC">
        <w:rPr>
          <w:rFonts w:ascii="Book Antiqua" w:hAnsi="Book Antiqua" w:cs="Arial"/>
        </w:rPr>
        <w:t>[</w:t>
      </w:r>
      <w:r w:rsidR="00BC66C9" w:rsidRPr="009F24DC">
        <w:rPr>
          <w:rFonts w:ascii="Book Antiqua" w:hAnsi="Book Antiqua" w:cs="Arial"/>
        </w:rPr>
        <w:t>11</w:t>
      </w:r>
      <w:r w:rsidR="00173A4A" w:rsidRPr="009F24DC">
        <w:rPr>
          <w:rFonts w:ascii="Book Antiqua" w:hAnsi="Book Antiqua" w:cs="Arial"/>
        </w:rPr>
        <w:t>]</w:t>
      </w:r>
      <w:r w:rsidR="00BC66C9" w:rsidRPr="009F24DC">
        <w:rPr>
          <w:rFonts w:ascii="Book Antiqua" w:hAnsi="Book Antiqua" w:cs="Arial"/>
        </w:rPr>
        <w:t xml:space="preserve"> to </w:t>
      </w:r>
      <w:r w:rsidR="00173A4A" w:rsidRPr="009F24DC">
        <w:rPr>
          <w:rFonts w:ascii="Book Antiqua" w:hAnsi="Book Antiqua" w:cs="Arial"/>
        </w:rPr>
        <w:t>[</w:t>
      </w:r>
      <w:r w:rsidR="00BC66C9" w:rsidRPr="009F24DC">
        <w:rPr>
          <w:rFonts w:ascii="Book Antiqua" w:hAnsi="Book Antiqua" w:cs="Arial"/>
        </w:rPr>
        <w:t>16</w:t>
      </w:r>
      <w:r w:rsidR="00173A4A" w:rsidRPr="009F24DC">
        <w:rPr>
          <w:rFonts w:ascii="Book Antiqua" w:hAnsi="Book Antiqua" w:cs="Arial"/>
        </w:rPr>
        <w:t>]</w:t>
      </w:r>
      <w:r w:rsidR="009F24DC" w:rsidRPr="009F24DC">
        <w:rPr>
          <w:rFonts w:ascii="Book Antiqua" w:hAnsi="Book Antiqua" w:cs="Arial"/>
        </w:rPr>
        <w:t xml:space="preserve"> considered the </w:t>
      </w:r>
      <w:r w:rsidR="000A3A6E">
        <w:rPr>
          <w:rFonts w:ascii="Book Antiqua" w:hAnsi="Book Antiqua" w:cs="Arial"/>
        </w:rPr>
        <w:t>issue of social group. At [16], Lord</w:t>
      </w:r>
      <w:r w:rsidR="00EE52B2">
        <w:rPr>
          <w:rFonts w:ascii="Book Antiqua" w:hAnsi="Book Antiqua" w:cs="Arial"/>
        </w:rPr>
        <w:t xml:space="preserve"> Bingham held</w:t>
      </w:r>
    </w:p>
    <w:p w:rsidR="000A3A6E" w:rsidRPr="00EE52B2" w:rsidRDefault="0081030C" w:rsidP="0081030C">
      <w:pPr>
        <w:pStyle w:val="ListParagraph"/>
        <w:tabs>
          <w:tab w:val="left" w:pos="1701"/>
        </w:tabs>
        <w:spacing w:before="120" w:after="120" w:line="240" w:lineRule="auto"/>
        <w:ind w:left="1134" w:right="567"/>
        <w:contextualSpacing w:val="0"/>
        <w:jc w:val="both"/>
        <w:rPr>
          <w:rFonts w:ascii="Book Antiqua" w:hAnsi="Book Antiqua"/>
        </w:rPr>
      </w:pPr>
      <w:r>
        <w:rPr>
          <w:rFonts w:ascii="Book Antiqua" w:hAnsi="Book Antiqua"/>
        </w:rPr>
        <w:t>“</w:t>
      </w:r>
      <w:r w:rsidR="00EE52B2" w:rsidRPr="00EE52B2">
        <w:rPr>
          <w:rFonts w:ascii="Book Antiqua" w:hAnsi="Book Antiqua"/>
        </w:rPr>
        <w:t>16.</w:t>
      </w:r>
      <w:bookmarkStart w:id="2" w:name="para16"/>
      <w:r>
        <w:rPr>
          <w:rFonts w:ascii="Book Antiqua" w:hAnsi="Book Antiqua"/>
        </w:rPr>
        <w:tab/>
      </w:r>
      <w:r w:rsidR="000A3A6E" w:rsidRPr="00EE52B2">
        <w:rPr>
          <w:rFonts w:ascii="Book Antiqua" w:hAnsi="Book Antiqua"/>
        </w:rPr>
        <w:t xml:space="preserve">EU Council Directive 2004/83/EC of 29 April 2004, effective as of 10 October 2006, is directed to the setting of minimum standards among member states for the qualification and status of third country nationals or stateless persons as refugees, </w:t>
      </w:r>
      <w:r w:rsidR="000A3A6E" w:rsidRPr="00EE52B2">
        <w:rPr>
          <w:rFonts w:ascii="Book Antiqua" w:hAnsi="Book Antiqua"/>
        </w:rPr>
        <w:lastRenderedPageBreak/>
        <w:t xml:space="preserve">or as persons who otherwise need international protection, and setting minimum standards for the content of the protection granted. The recitals recognise the need for minimum standards and common criteria in the recognition of refugees, and for a common concept of "membership of a particular social group as a persecution ground". The Directive expressly permits member states to apply standards more favourable to the applicant than the minimum laid down. Article 10 provides (with Roman numerals added to the text): </w:t>
      </w:r>
      <w:bookmarkEnd w:id="2"/>
    </w:p>
    <w:p w:rsidR="000A3A6E" w:rsidRPr="00EE52B2" w:rsidRDefault="000A3A6E" w:rsidP="0081030C">
      <w:pPr>
        <w:pStyle w:val="ListParagraph"/>
        <w:spacing w:before="120" w:after="120" w:line="240" w:lineRule="auto"/>
        <w:ind w:left="1560" w:right="567"/>
        <w:contextualSpacing w:val="0"/>
        <w:jc w:val="both"/>
        <w:rPr>
          <w:rFonts w:ascii="Book Antiqua" w:hAnsi="Book Antiqua"/>
        </w:rPr>
      </w:pPr>
      <w:r w:rsidRPr="00EE52B2">
        <w:rPr>
          <w:rFonts w:ascii="Book Antiqua" w:hAnsi="Book Antiqua"/>
        </w:rPr>
        <w:t>"</w:t>
      </w:r>
      <w:r w:rsidRPr="00EE52B2">
        <w:rPr>
          <w:rFonts w:ascii="Book Antiqua" w:hAnsi="Book Antiqua"/>
          <w:i/>
          <w:iCs/>
        </w:rPr>
        <w:t>Reasons for persecution</w:t>
      </w:r>
    </w:p>
    <w:p w:rsidR="000A3A6E" w:rsidRPr="00EE52B2" w:rsidRDefault="000A3A6E" w:rsidP="0081030C">
      <w:pPr>
        <w:pStyle w:val="ListParagraph"/>
        <w:tabs>
          <w:tab w:val="left" w:pos="2127"/>
        </w:tabs>
        <w:spacing w:before="120" w:after="120" w:line="240" w:lineRule="auto"/>
        <w:ind w:left="1560" w:right="567"/>
        <w:contextualSpacing w:val="0"/>
        <w:jc w:val="both"/>
        <w:rPr>
          <w:rFonts w:ascii="Book Antiqua" w:hAnsi="Book Antiqua"/>
        </w:rPr>
      </w:pPr>
      <w:r w:rsidRPr="00EE52B2">
        <w:rPr>
          <w:rFonts w:ascii="Book Antiqua" w:hAnsi="Book Antiqua"/>
        </w:rPr>
        <w:t>I</w:t>
      </w:r>
      <w:r w:rsidR="0081030C">
        <w:rPr>
          <w:rFonts w:ascii="Book Antiqua" w:hAnsi="Book Antiqua"/>
        </w:rPr>
        <w:tab/>
      </w:r>
      <w:r w:rsidRPr="00EE52B2">
        <w:rPr>
          <w:rFonts w:ascii="Book Antiqua" w:hAnsi="Book Antiqua"/>
        </w:rPr>
        <w:t>Member States shall take the following elements into account when assessing the reasons for persecution …</w:t>
      </w:r>
    </w:p>
    <w:p w:rsidR="000A3A6E" w:rsidRPr="00EE52B2" w:rsidRDefault="000A3A6E" w:rsidP="0081030C">
      <w:pPr>
        <w:pStyle w:val="ListParagraph"/>
        <w:tabs>
          <w:tab w:val="left" w:pos="2694"/>
        </w:tabs>
        <w:spacing w:before="120" w:after="120" w:line="240" w:lineRule="auto"/>
        <w:ind w:left="2127" w:right="567"/>
        <w:contextualSpacing w:val="0"/>
        <w:jc w:val="both"/>
        <w:rPr>
          <w:rFonts w:ascii="Book Antiqua" w:hAnsi="Book Antiqua"/>
        </w:rPr>
      </w:pPr>
      <w:r w:rsidRPr="00EE52B2">
        <w:rPr>
          <w:rFonts w:ascii="Book Antiqua" w:hAnsi="Book Antiqua"/>
        </w:rPr>
        <w:t>(d)</w:t>
      </w:r>
      <w:r w:rsidR="0081030C">
        <w:rPr>
          <w:rFonts w:ascii="Book Antiqua" w:hAnsi="Book Antiqua"/>
        </w:rPr>
        <w:tab/>
      </w:r>
      <w:r w:rsidRPr="00EE52B2">
        <w:rPr>
          <w:rFonts w:ascii="Book Antiqua" w:hAnsi="Book Antiqua"/>
        </w:rPr>
        <w:t>a group shall be considered to form a particular social group where in particular:</w:t>
      </w:r>
    </w:p>
    <w:p w:rsidR="000A3A6E" w:rsidRPr="00EE52B2" w:rsidRDefault="000A3A6E" w:rsidP="0081030C">
      <w:pPr>
        <w:pStyle w:val="ListParagraph"/>
        <w:tabs>
          <w:tab w:val="left" w:pos="3261"/>
        </w:tabs>
        <w:spacing w:before="120" w:after="120" w:line="240" w:lineRule="auto"/>
        <w:ind w:left="2694" w:right="567"/>
        <w:contextualSpacing w:val="0"/>
        <w:jc w:val="both"/>
        <w:rPr>
          <w:rFonts w:ascii="Book Antiqua" w:hAnsi="Book Antiqua"/>
        </w:rPr>
      </w:pPr>
      <w:r w:rsidRPr="00EE52B2">
        <w:rPr>
          <w:rFonts w:ascii="Book Antiqua" w:hAnsi="Book Antiqua"/>
        </w:rPr>
        <w:t>[(</w:t>
      </w:r>
      <w:proofErr w:type="spellStart"/>
      <w:r w:rsidRPr="00EE52B2">
        <w:rPr>
          <w:rFonts w:ascii="Book Antiqua" w:hAnsi="Book Antiqua"/>
        </w:rPr>
        <w:t>i</w:t>
      </w:r>
      <w:proofErr w:type="spellEnd"/>
      <w:r w:rsidRPr="00EE52B2">
        <w:rPr>
          <w:rFonts w:ascii="Book Antiqua" w:hAnsi="Book Antiqua"/>
        </w:rPr>
        <w:t>)]</w:t>
      </w:r>
      <w:r w:rsidR="0081030C">
        <w:rPr>
          <w:rFonts w:ascii="Book Antiqua" w:hAnsi="Book Antiqua"/>
        </w:rPr>
        <w:tab/>
      </w:r>
      <w:r w:rsidRPr="00EE52B2">
        <w:rPr>
          <w:rFonts w:ascii="Book Antiqua" w:hAnsi="Book Antiqua"/>
        </w:rPr>
        <w:t>members of that group share an innate characteristic, or a common background that cannot be changed, or share a characteristic or belief that is so fundamental to identity or conscience that a person should not be forced to renounce it, and</w:t>
      </w:r>
    </w:p>
    <w:p w:rsidR="000A3A6E" w:rsidRPr="00EE52B2" w:rsidRDefault="000A3A6E" w:rsidP="0081030C">
      <w:pPr>
        <w:pStyle w:val="ListParagraph"/>
        <w:tabs>
          <w:tab w:val="left" w:pos="3261"/>
        </w:tabs>
        <w:spacing w:before="120" w:after="120" w:line="240" w:lineRule="auto"/>
        <w:ind w:left="2694" w:right="567"/>
        <w:contextualSpacing w:val="0"/>
        <w:jc w:val="both"/>
        <w:rPr>
          <w:rFonts w:ascii="Book Antiqua" w:hAnsi="Book Antiqua"/>
        </w:rPr>
      </w:pPr>
      <w:r w:rsidRPr="00EE52B2">
        <w:rPr>
          <w:rFonts w:ascii="Book Antiqua" w:hAnsi="Book Antiqua"/>
        </w:rPr>
        <w:t>[(ii)]</w:t>
      </w:r>
      <w:r w:rsidR="0081030C">
        <w:rPr>
          <w:rFonts w:ascii="Book Antiqua" w:hAnsi="Book Antiqua"/>
        </w:rPr>
        <w:tab/>
      </w:r>
      <w:r w:rsidRPr="00EE52B2">
        <w:rPr>
          <w:rFonts w:ascii="Book Antiqua" w:hAnsi="Book Antiqua"/>
        </w:rPr>
        <w:t>that group has a distinct identity in the relevant country, because it is perceived as being different by the surrounding society;</w:t>
      </w:r>
    </w:p>
    <w:p w:rsidR="000A3A6E" w:rsidRPr="00EE52B2" w:rsidRDefault="000A3A6E" w:rsidP="0081030C">
      <w:pPr>
        <w:pStyle w:val="ListParagraph"/>
        <w:tabs>
          <w:tab w:val="left" w:pos="3261"/>
        </w:tabs>
        <w:spacing w:before="120" w:after="120" w:line="240" w:lineRule="auto"/>
        <w:ind w:left="2694" w:right="567"/>
        <w:contextualSpacing w:val="0"/>
        <w:jc w:val="both"/>
        <w:rPr>
          <w:rFonts w:ascii="Book Antiqua" w:hAnsi="Book Antiqua"/>
        </w:rPr>
      </w:pPr>
      <w:r w:rsidRPr="00EE52B2">
        <w:rPr>
          <w:rFonts w:ascii="Book Antiqua" w:hAnsi="Book Antiqua"/>
        </w:rPr>
        <w:t>[(iii)]</w:t>
      </w:r>
      <w:r w:rsidR="0081030C">
        <w:rPr>
          <w:rFonts w:ascii="Book Antiqua" w:hAnsi="Book Antiqua"/>
        </w:rPr>
        <w:tab/>
      </w:r>
      <w:r w:rsidRPr="00EE52B2">
        <w:rPr>
          <w:rFonts w:ascii="Book Antiqua" w:hAnsi="Book Antiqua"/>
        </w:rPr>
        <w:t>depending on the circumstances in the country of origin, a particular social group might include a group based on a common characteristic of sexual orientation. Sexual orientation cannot be understood to include acts considered to be criminal in accordance with national law of the Member States: Gender related aspects might be considered, without by themselves alone creating a presumption for the applicability of this Article."</w:t>
      </w:r>
    </w:p>
    <w:p w:rsidR="000A3A6E" w:rsidRPr="00EE52B2" w:rsidRDefault="000A3A6E" w:rsidP="0081030C">
      <w:pPr>
        <w:pStyle w:val="NormalWeb"/>
        <w:spacing w:before="120" w:beforeAutospacing="0" w:after="120" w:afterAutospacing="0"/>
        <w:ind w:left="1134" w:right="567"/>
        <w:jc w:val="both"/>
        <w:rPr>
          <w:rFonts w:ascii="Book Antiqua" w:hAnsi="Book Antiqua"/>
          <w:sz w:val="22"/>
          <w:szCs w:val="22"/>
        </w:rPr>
      </w:pPr>
      <w:r w:rsidRPr="00EE52B2">
        <w:rPr>
          <w:rFonts w:ascii="Book Antiqua" w:hAnsi="Book Antiqua"/>
          <w:sz w:val="22"/>
          <w:szCs w:val="22"/>
        </w:rPr>
        <w:t>Read literally, this provision is in no way inconsistent with the trend of international authority. When assessing a claim based on membership of a particular social group national authorities should certainly take the matters listed into account. I do not doubt that a group should be considered to form a particular social group where, in particular, the criteria in sub-paragraphs (</w:t>
      </w:r>
      <w:proofErr w:type="spellStart"/>
      <w:r w:rsidRPr="00EE52B2">
        <w:rPr>
          <w:rFonts w:ascii="Book Antiqua" w:hAnsi="Book Antiqua"/>
          <w:sz w:val="22"/>
          <w:szCs w:val="22"/>
        </w:rPr>
        <w:t>i</w:t>
      </w:r>
      <w:proofErr w:type="spellEnd"/>
      <w:r w:rsidRPr="00EE52B2">
        <w:rPr>
          <w:rFonts w:ascii="Book Antiqua" w:hAnsi="Book Antiqua"/>
          <w:sz w:val="22"/>
          <w:szCs w:val="22"/>
        </w:rPr>
        <w:t xml:space="preserve">) and (ii) are both satisfied. Sub-paragraph (iii) is not wholly clear to me, but appears in part to address a different aspect. If, however, this article </w:t>
      </w:r>
      <w:proofErr w:type="gramStart"/>
      <w:r w:rsidRPr="00EE52B2">
        <w:rPr>
          <w:rFonts w:ascii="Book Antiqua" w:hAnsi="Book Antiqua"/>
          <w:sz w:val="22"/>
          <w:szCs w:val="22"/>
        </w:rPr>
        <w:t>were</w:t>
      </w:r>
      <w:proofErr w:type="gramEnd"/>
      <w:r w:rsidRPr="00EE52B2">
        <w:rPr>
          <w:rFonts w:ascii="Book Antiqua" w:hAnsi="Book Antiqua"/>
          <w:sz w:val="22"/>
          <w:szCs w:val="22"/>
        </w:rPr>
        <w:t xml:space="preserve"> interpreted as meaning that a social group should only be recognised as a particular social group for purposes of the Convention if it satisfies the criteria in both of sub-paragraphs (</w:t>
      </w:r>
      <w:proofErr w:type="spellStart"/>
      <w:r w:rsidRPr="00EE52B2">
        <w:rPr>
          <w:rFonts w:ascii="Book Antiqua" w:hAnsi="Book Antiqua"/>
          <w:sz w:val="22"/>
          <w:szCs w:val="22"/>
        </w:rPr>
        <w:t>i</w:t>
      </w:r>
      <w:proofErr w:type="spellEnd"/>
      <w:r w:rsidRPr="00EE52B2">
        <w:rPr>
          <w:rFonts w:ascii="Book Antiqua" w:hAnsi="Book Antiqua"/>
          <w:sz w:val="22"/>
          <w:szCs w:val="22"/>
        </w:rPr>
        <w:t xml:space="preserve">) and (ii), then in my opinion it propounds a test more stringent than is warranted by international authority. In its published </w:t>
      </w:r>
      <w:r w:rsidRPr="00EE52B2">
        <w:rPr>
          <w:rFonts w:ascii="Book Antiqua" w:hAnsi="Book Antiqua"/>
          <w:i/>
          <w:iCs/>
          <w:sz w:val="22"/>
          <w:szCs w:val="22"/>
        </w:rPr>
        <w:t>Comments</w:t>
      </w:r>
      <w:r w:rsidRPr="00EE52B2">
        <w:rPr>
          <w:rFonts w:ascii="Book Antiqua" w:hAnsi="Book Antiqua"/>
          <w:sz w:val="22"/>
          <w:szCs w:val="22"/>
        </w:rPr>
        <w:t xml:space="preserve"> on this Directive (January 2005) the UNHCR adheres to its view that the criteria in sub-paragraphs (</w:t>
      </w:r>
      <w:proofErr w:type="spellStart"/>
      <w:r w:rsidRPr="00EE52B2">
        <w:rPr>
          <w:rFonts w:ascii="Book Antiqua" w:hAnsi="Book Antiqua"/>
          <w:sz w:val="22"/>
          <w:szCs w:val="22"/>
        </w:rPr>
        <w:t>i</w:t>
      </w:r>
      <w:proofErr w:type="spellEnd"/>
      <w:r w:rsidRPr="00EE52B2">
        <w:rPr>
          <w:rFonts w:ascii="Book Antiqua" w:hAnsi="Book Antiqua"/>
          <w:sz w:val="22"/>
          <w:szCs w:val="22"/>
        </w:rPr>
        <w:t>) and (ii) should be treated as alternatives, providing for recognition of a particular social group where either criterion is met and not requiring that both be met. With regard to (iii), the UNHCR comments:</w:t>
      </w:r>
    </w:p>
    <w:p w:rsidR="000A3A6E" w:rsidRPr="00EE52B2" w:rsidRDefault="000A3A6E" w:rsidP="0081030C">
      <w:pPr>
        <w:pStyle w:val="ListParagraph"/>
        <w:spacing w:before="120" w:after="120" w:line="240" w:lineRule="auto"/>
        <w:ind w:left="1560" w:right="567"/>
        <w:contextualSpacing w:val="0"/>
        <w:jc w:val="both"/>
        <w:rPr>
          <w:rFonts w:ascii="Book Antiqua" w:hAnsi="Book Antiqua"/>
        </w:rPr>
      </w:pPr>
      <w:r w:rsidRPr="00EE52B2">
        <w:rPr>
          <w:rFonts w:ascii="Book Antiqua" w:hAnsi="Book Antiqua"/>
        </w:rPr>
        <w:t>"With respect to the provision that '[g]ender related aspects might be considered, without by themselves alone creating a presumption for the applicability of the article,' UNHCR notes that courts and administrative bodies in a number of jurisdictions have found that women, for example, can constitute a particular social group within the meaning of Article 1</w:t>
      </w:r>
      <w:proofErr w:type="gramStart"/>
      <w:r w:rsidRPr="00EE52B2">
        <w:rPr>
          <w:rFonts w:ascii="Book Antiqua" w:hAnsi="Book Antiqua"/>
        </w:rPr>
        <w:t>A(</w:t>
      </w:r>
      <w:proofErr w:type="gramEnd"/>
      <w:r w:rsidRPr="00EE52B2">
        <w:rPr>
          <w:rFonts w:ascii="Book Antiqua" w:hAnsi="Book Antiqua"/>
        </w:rPr>
        <w:t xml:space="preserve">2). Gender is a clear example of a social subset of persons who are defined by </w:t>
      </w:r>
      <w:r w:rsidRPr="00EE52B2">
        <w:rPr>
          <w:rFonts w:ascii="Book Antiqua" w:hAnsi="Book Antiqua"/>
        </w:rPr>
        <w:lastRenderedPageBreak/>
        <w:t>innate and immutable characteristics and who are frequently subject to differentiated treatment and standards. This does not mean that all women in the society qualify for refugee status. A claimant must demonstrate a well-founded fear of being persecuted based on her membership in the particular social group.</w:t>
      </w:r>
    </w:p>
    <w:p w:rsidR="000A3A6E" w:rsidRPr="00EE52B2" w:rsidRDefault="000A3A6E" w:rsidP="0081030C">
      <w:pPr>
        <w:pStyle w:val="ListParagraph"/>
        <w:spacing w:before="120" w:after="120" w:line="240" w:lineRule="auto"/>
        <w:ind w:left="1134" w:right="567"/>
        <w:contextualSpacing w:val="0"/>
        <w:jc w:val="both"/>
        <w:rPr>
          <w:rFonts w:ascii="Book Antiqua" w:hAnsi="Book Antiqua"/>
        </w:rPr>
      </w:pPr>
      <w:r w:rsidRPr="00EE52B2">
        <w:rPr>
          <w:rFonts w:ascii="Book Antiqua" w:hAnsi="Book Antiqua"/>
        </w:rPr>
        <w:t>Even though less has been said in relation to the age dimension in the interpretation and application of international refugee law, the range of potential claims where age is a relevant factor is broad, including forcible or under-age recruitment into military service, (forced) child marriage, female genital mutilation, child trafficking, or child pornography or abuse. Some claims that are age-related may also include a gender element and compound the vulnerability of the claimant."</w:t>
      </w:r>
    </w:p>
    <w:p w:rsidR="00DE47AA" w:rsidRDefault="00BC66C9" w:rsidP="00DE47AA">
      <w:pPr>
        <w:numPr>
          <w:ilvl w:val="0"/>
          <w:numId w:val="1"/>
        </w:numPr>
        <w:tabs>
          <w:tab w:val="clear" w:pos="567"/>
        </w:tabs>
        <w:spacing w:before="240"/>
        <w:jc w:val="both"/>
        <w:rPr>
          <w:rFonts w:ascii="Book Antiqua" w:hAnsi="Book Antiqua" w:cs="Arial"/>
        </w:rPr>
      </w:pPr>
      <w:r>
        <w:rPr>
          <w:rFonts w:ascii="Book Antiqua" w:hAnsi="Book Antiqua" w:cs="Arial"/>
        </w:rPr>
        <w:t xml:space="preserve">It is also to be borne in mind </w:t>
      </w:r>
      <w:r w:rsidR="00173A4A">
        <w:rPr>
          <w:rFonts w:ascii="Book Antiqua" w:hAnsi="Book Antiqua" w:cs="Arial"/>
        </w:rPr>
        <w:t xml:space="preserve">the observations on </w:t>
      </w:r>
      <w:r>
        <w:rPr>
          <w:rFonts w:ascii="Book Antiqua" w:hAnsi="Book Antiqua" w:cs="Arial"/>
        </w:rPr>
        <w:t xml:space="preserve">the nexus with the Convention at paragraph </w:t>
      </w:r>
      <w:r w:rsidR="009872D4">
        <w:rPr>
          <w:rFonts w:ascii="Book Antiqua" w:hAnsi="Book Antiqua" w:cs="Arial"/>
        </w:rPr>
        <w:t>[</w:t>
      </w:r>
      <w:r>
        <w:rPr>
          <w:rFonts w:ascii="Book Antiqua" w:hAnsi="Book Antiqua" w:cs="Arial"/>
        </w:rPr>
        <w:t>17</w:t>
      </w:r>
      <w:r w:rsidR="009872D4">
        <w:rPr>
          <w:rFonts w:ascii="Book Antiqua" w:hAnsi="Book Antiqua" w:cs="Arial"/>
        </w:rPr>
        <w:t xml:space="preserve">] of the same </w:t>
      </w:r>
      <w:bookmarkStart w:id="3" w:name="para17"/>
      <w:r w:rsidR="00C26E47">
        <w:rPr>
          <w:rFonts w:ascii="Book Antiqua" w:hAnsi="Book Antiqua" w:cs="Arial"/>
        </w:rPr>
        <w:t>decision: -</w:t>
      </w:r>
    </w:p>
    <w:p w:rsidR="00C26E47" w:rsidRPr="00C26E47" w:rsidRDefault="0081030C" w:rsidP="0081030C">
      <w:pPr>
        <w:spacing w:before="120" w:after="120"/>
        <w:ind w:left="1701" w:right="567" w:hanging="567"/>
        <w:jc w:val="both"/>
        <w:rPr>
          <w:rFonts w:ascii="Book Antiqua" w:hAnsi="Book Antiqua"/>
          <w:sz w:val="22"/>
          <w:szCs w:val="22"/>
        </w:rPr>
      </w:pPr>
      <w:r>
        <w:rPr>
          <w:rFonts w:ascii="Book Antiqua" w:hAnsi="Book Antiqua"/>
          <w:sz w:val="22"/>
          <w:szCs w:val="22"/>
        </w:rPr>
        <w:t>“</w:t>
      </w:r>
      <w:r w:rsidR="00C26E47" w:rsidRPr="00C26E47">
        <w:rPr>
          <w:rFonts w:ascii="Book Antiqua" w:hAnsi="Book Antiqua"/>
          <w:sz w:val="22"/>
          <w:szCs w:val="22"/>
        </w:rPr>
        <w:t>17.</w:t>
      </w:r>
      <w:r w:rsidR="00C26E47" w:rsidRPr="00C26E47">
        <w:rPr>
          <w:rFonts w:ascii="Book Antiqua" w:hAnsi="Book Antiqua"/>
          <w:sz w:val="22"/>
          <w:szCs w:val="22"/>
        </w:rPr>
        <w:tab/>
      </w:r>
      <w:r w:rsidR="00DE47AA" w:rsidRPr="00C26E47">
        <w:rPr>
          <w:rFonts w:ascii="Book Antiqua" w:hAnsi="Book Antiqua"/>
          <w:sz w:val="22"/>
          <w:szCs w:val="22"/>
        </w:rPr>
        <w:t>The text of article 1</w:t>
      </w:r>
      <w:proofErr w:type="gramStart"/>
      <w:r w:rsidR="00DE47AA" w:rsidRPr="00C26E47">
        <w:rPr>
          <w:rFonts w:ascii="Book Antiqua" w:hAnsi="Book Antiqua"/>
          <w:sz w:val="22"/>
          <w:szCs w:val="22"/>
        </w:rPr>
        <w:t>A(</w:t>
      </w:r>
      <w:proofErr w:type="gramEnd"/>
      <w:r w:rsidR="00DE47AA" w:rsidRPr="00C26E47">
        <w:rPr>
          <w:rFonts w:ascii="Book Antiqua" w:hAnsi="Book Antiqua"/>
          <w:sz w:val="22"/>
          <w:szCs w:val="22"/>
        </w:rPr>
        <w:t xml:space="preserve">2) of the Convention makes plain that a person is entitled to claim recognition as a refugee only where the persecutory treatment of which the claimant has a well-founded fear is causally linked with the Convention ground on which the claimant relies. The ground on which the claimant relies need not be the only or even the primary reason for the apprehended persecution. It is enough that the ground relied on is an effective reason. The persecutory treatment need not be motivated by enmity, malignity or animus on the part of the persecutor, whose professed or apparent motives may or may not be the real reason for the persecution. What matters is the real reason. In deciding whether the causal link is established, a simple "but for" test of causation is inappropriate: </w:t>
      </w:r>
      <w:proofErr w:type="gramStart"/>
      <w:r w:rsidR="00DE47AA" w:rsidRPr="00C26E47">
        <w:rPr>
          <w:rFonts w:ascii="Book Antiqua" w:hAnsi="Book Antiqua"/>
          <w:sz w:val="22"/>
          <w:szCs w:val="22"/>
        </w:rPr>
        <w:t>the</w:t>
      </w:r>
      <w:proofErr w:type="gramEnd"/>
      <w:r w:rsidR="00DE47AA" w:rsidRPr="00C26E47">
        <w:rPr>
          <w:rFonts w:ascii="Book Antiqua" w:hAnsi="Book Antiqua"/>
          <w:sz w:val="22"/>
          <w:szCs w:val="22"/>
        </w:rPr>
        <w:t xml:space="preserve"> Convention calls for a more sophisticated approach, appropriate to the context and taking account of all the facts and circumstances relevant to the particular case. </w:t>
      </w:r>
      <w:bookmarkStart w:id="4" w:name="para18"/>
      <w:bookmarkEnd w:id="3"/>
    </w:p>
    <w:p w:rsidR="00BE65F7" w:rsidRPr="00C26E47" w:rsidRDefault="00C26E47" w:rsidP="0081030C">
      <w:pPr>
        <w:spacing w:before="120" w:after="120"/>
        <w:ind w:left="1701" w:right="567" w:hanging="567"/>
        <w:jc w:val="both"/>
        <w:rPr>
          <w:rFonts w:ascii="Book Antiqua" w:hAnsi="Book Antiqua"/>
          <w:sz w:val="22"/>
          <w:szCs w:val="22"/>
        </w:rPr>
      </w:pPr>
      <w:r w:rsidRPr="00C26E47">
        <w:rPr>
          <w:rFonts w:ascii="Book Antiqua" w:hAnsi="Book Antiqua" w:cs="Arial"/>
          <w:sz w:val="22"/>
          <w:szCs w:val="22"/>
        </w:rPr>
        <w:t>18.</w:t>
      </w:r>
      <w:r w:rsidRPr="00C26E47">
        <w:rPr>
          <w:rFonts w:ascii="Book Antiqua" w:hAnsi="Book Antiqua" w:cs="Arial"/>
          <w:sz w:val="22"/>
          <w:szCs w:val="22"/>
        </w:rPr>
        <w:tab/>
      </w:r>
      <w:r w:rsidR="00DE47AA" w:rsidRPr="00C26E47">
        <w:rPr>
          <w:rFonts w:ascii="Book Antiqua" w:hAnsi="Book Antiqua" w:cs="Arial"/>
          <w:sz w:val="22"/>
          <w:szCs w:val="22"/>
        </w:rPr>
        <w:t>I do not understand these propositions to be contentious.</w:t>
      </w:r>
      <w:bookmarkEnd w:id="4"/>
      <w:r w:rsidR="0081030C">
        <w:rPr>
          <w:rFonts w:ascii="Book Antiqua" w:hAnsi="Book Antiqua" w:cs="Arial"/>
          <w:sz w:val="22"/>
          <w:szCs w:val="22"/>
        </w:rPr>
        <w:t>”</w:t>
      </w:r>
    </w:p>
    <w:p w:rsidR="00BC66C9" w:rsidRPr="00DE47AA" w:rsidRDefault="00BC66C9" w:rsidP="00BE65F7">
      <w:pPr>
        <w:numPr>
          <w:ilvl w:val="0"/>
          <w:numId w:val="1"/>
        </w:numPr>
        <w:tabs>
          <w:tab w:val="clear" w:pos="567"/>
        </w:tabs>
        <w:spacing w:before="240"/>
        <w:jc w:val="both"/>
        <w:rPr>
          <w:rFonts w:ascii="Book Antiqua" w:hAnsi="Book Antiqua" w:cs="Arial"/>
        </w:rPr>
      </w:pPr>
      <w:r w:rsidRPr="00DE47AA">
        <w:rPr>
          <w:rFonts w:ascii="Book Antiqua" w:hAnsi="Book Antiqua" w:cs="Arial"/>
        </w:rPr>
        <w:t xml:space="preserve">Further, the “distinct identity” may be demonstrated by discrimination – see </w:t>
      </w:r>
      <w:r w:rsidRPr="00C26E47">
        <w:rPr>
          <w:rFonts w:ascii="Book Antiqua" w:hAnsi="Book Antiqua" w:cs="Arial"/>
          <w:u w:val="single"/>
        </w:rPr>
        <w:t>Islam v SSHD</w:t>
      </w:r>
      <w:r w:rsidRPr="00DE47AA">
        <w:rPr>
          <w:rFonts w:ascii="Book Antiqua" w:hAnsi="Book Antiqua" w:cs="Arial"/>
        </w:rPr>
        <w:t xml:space="preserve"> [1999] UKHL 20.</w:t>
      </w:r>
    </w:p>
    <w:p w:rsidR="008B04C1" w:rsidRDefault="00D07F96" w:rsidP="00BE65F7">
      <w:pPr>
        <w:numPr>
          <w:ilvl w:val="0"/>
          <w:numId w:val="1"/>
        </w:numPr>
        <w:tabs>
          <w:tab w:val="clear" w:pos="567"/>
        </w:tabs>
        <w:spacing w:before="240"/>
        <w:jc w:val="both"/>
        <w:rPr>
          <w:rFonts w:ascii="Book Antiqua" w:hAnsi="Book Antiqua" w:cs="Arial"/>
        </w:rPr>
      </w:pPr>
      <w:r>
        <w:rPr>
          <w:rFonts w:ascii="Book Antiqua" w:hAnsi="Book Antiqua" w:cs="Arial"/>
        </w:rPr>
        <w:t>The above is not contentious and there was no need for the judge to set it out in his decision.</w:t>
      </w:r>
      <w:r w:rsidR="00F05533">
        <w:rPr>
          <w:rFonts w:ascii="Book Antiqua" w:hAnsi="Book Antiqua" w:cs="Arial"/>
        </w:rPr>
        <w:t xml:space="preserve"> It was also set out in the respondent’s skeleton argument</w:t>
      </w:r>
      <w:r w:rsidR="002B232E">
        <w:rPr>
          <w:rFonts w:ascii="Book Antiqua" w:hAnsi="Book Antiqua" w:cs="Arial"/>
        </w:rPr>
        <w:t xml:space="preserve">, as was the submission that [20] having become westernised was not a fact that the respondent could change. </w:t>
      </w:r>
      <w:r w:rsidR="0055760A">
        <w:rPr>
          <w:rFonts w:ascii="Book Antiqua" w:hAnsi="Book Antiqua" w:cs="Arial"/>
        </w:rPr>
        <w:t xml:space="preserve"> There was sufficient material </w:t>
      </w:r>
      <w:r w:rsidR="00103400">
        <w:rPr>
          <w:rFonts w:ascii="Book Antiqua" w:hAnsi="Book Antiqua" w:cs="Arial"/>
        </w:rPr>
        <w:t>before the judge, including in the expert reports</w:t>
      </w:r>
      <w:r w:rsidR="00BF1354">
        <w:rPr>
          <w:rFonts w:ascii="Book Antiqua" w:hAnsi="Book Antiqua" w:cs="Arial"/>
        </w:rPr>
        <w:t xml:space="preserve"> including the assessment of his mental health problems</w:t>
      </w:r>
      <w:r w:rsidR="00103400">
        <w:rPr>
          <w:rFonts w:ascii="Book Antiqua" w:hAnsi="Book Antiqua" w:cs="Arial"/>
        </w:rPr>
        <w:t xml:space="preserve">, that this was so. </w:t>
      </w:r>
      <w:r w:rsidR="00BF1354">
        <w:rPr>
          <w:rFonts w:ascii="Book Antiqua" w:hAnsi="Book Antiqua" w:cs="Arial"/>
        </w:rPr>
        <w:t>Given that the respondent had become accustomed to the culture of the United Kingdom where he has spent an important part of his adolescence that is</w:t>
      </w:r>
      <w:r w:rsidR="009D64B1">
        <w:rPr>
          <w:rFonts w:ascii="Book Antiqua" w:hAnsi="Book Antiqua" w:cs="Arial"/>
        </w:rPr>
        <w:t xml:space="preserve"> un</w:t>
      </w:r>
      <w:r w:rsidR="00BF1354">
        <w:rPr>
          <w:rFonts w:ascii="Book Antiqua" w:hAnsi="Book Antiqua" w:cs="Arial"/>
        </w:rPr>
        <w:t xml:space="preserve">surprising. </w:t>
      </w:r>
    </w:p>
    <w:p w:rsidR="00103400" w:rsidRDefault="00BC66C9" w:rsidP="00BE65F7">
      <w:pPr>
        <w:numPr>
          <w:ilvl w:val="0"/>
          <w:numId w:val="1"/>
        </w:numPr>
        <w:tabs>
          <w:tab w:val="clear" w:pos="567"/>
        </w:tabs>
        <w:spacing w:before="240"/>
        <w:jc w:val="both"/>
        <w:rPr>
          <w:rFonts w:ascii="Book Antiqua" w:hAnsi="Book Antiqua" w:cs="Arial"/>
        </w:rPr>
      </w:pPr>
      <w:r>
        <w:rPr>
          <w:rFonts w:ascii="Book Antiqua" w:hAnsi="Book Antiqua" w:cs="Arial"/>
        </w:rPr>
        <w:t xml:space="preserve">There is evidence, as the judge noted at paragraphs [23] and at page 102 of the second bundle which was taken into account, that those who become westernised are seen as different.  </w:t>
      </w:r>
      <w:r w:rsidR="00103400">
        <w:rPr>
          <w:rFonts w:ascii="Book Antiqua" w:hAnsi="Book Antiqua" w:cs="Arial"/>
        </w:rPr>
        <w:t xml:space="preserve">Again, </w:t>
      </w:r>
      <w:r w:rsidR="009D64B1">
        <w:rPr>
          <w:rFonts w:ascii="Book Antiqua" w:hAnsi="Book Antiqua" w:cs="Arial"/>
        </w:rPr>
        <w:t>that is supported by the</w:t>
      </w:r>
      <w:r w:rsidR="00C5029E">
        <w:rPr>
          <w:rFonts w:ascii="Book Antiqua" w:hAnsi="Book Antiqua" w:cs="Arial"/>
        </w:rPr>
        <w:t xml:space="preserve"> UNHCR Guidelines and </w:t>
      </w:r>
      <w:proofErr w:type="gramStart"/>
      <w:r w:rsidR="00C5029E">
        <w:rPr>
          <w:rFonts w:ascii="Book Antiqua" w:hAnsi="Book Antiqua" w:cs="Arial"/>
        </w:rPr>
        <w:t>the  EASO</w:t>
      </w:r>
      <w:proofErr w:type="gramEnd"/>
      <w:r w:rsidR="00C5029E">
        <w:rPr>
          <w:rFonts w:ascii="Book Antiqua" w:hAnsi="Book Antiqua" w:cs="Arial"/>
        </w:rPr>
        <w:t xml:space="preserve"> report.</w:t>
      </w:r>
    </w:p>
    <w:p w:rsidR="00BC66C9" w:rsidRDefault="001D4A85" w:rsidP="00BE65F7">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As Ms </w:t>
      </w:r>
      <w:proofErr w:type="spellStart"/>
      <w:r>
        <w:rPr>
          <w:rFonts w:ascii="Book Antiqua" w:hAnsi="Book Antiqua" w:cs="Arial"/>
        </w:rPr>
        <w:t>Casely</w:t>
      </w:r>
      <w:proofErr w:type="spellEnd"/>
      <w:r>
        <w:rPr>
          <w:rFonts w:ascii="Book Antiqua" w:hAnsi="Book Antiqua" w:cs="Arial"/>
        </w:rPr>
        <w:t xml:space="preserve"> submitted</w:t>
      </w:r>
      <w:r w:rsidR="00BC66C9">
        <w:rPr>
          <w:rFonts w:ascii="Book Antiqua" w:hAnsi="Book Antiqua" w:cs="Arial"/>
        </w:rPr>
        <w:t>, it is of note</w:t>
      </w:r>
      <w:r w:rsidR="00FF5145">
        <w:rPr>
          <w:rFonts w:ascii="Book Antiqua" w:hAnsi="Book Antiqua" w:cs="Arial"/>
        </w:rPr>
        <w:t xml:space="preserve"> that </w:t>
      </w:r>
      <w:r w:rsidR="00492A0F">
        <w:rPr>
          <w:rFonts w:ascii="Book Antiqua" w:hAnsi="Book Antiqua" w:cs="Arial"/>
        </w:rPr>
        <w:t xml:space="preserve">it was not put </w:t>
      </w:r>
      <w:r w:rsidR="00BC66C9">
        <w:rPr>
          <w:rFonts w:ascii="Book Antiqua" w:hAnsi="Book Antiqua" w:cs="Arial"/>
        </w:rPr>
        <w:t xml:space="preserve">either in the refusal letter or at the hearing before </w:t>
      </w:r>
      <w:r w:rsidR="00492A0F">
        <w:rPr>
          <w:rFonts w:ascii="Book Antiqua" w:hAnsi="Book Antiqua" w:cs="Arial"/>
        </w:rPr>
        <w:t>the First-tier Tribunal</w:t>
      </w:r>
      <w:r w:rsidR="00BC66C9">
        <w:rPr>
          <w:rFonts w:ascii="Book Antiqua" w:hAnsi="Book Antiqua" w:cs="Arial"/>
        </w:rPr>
        <w:t xml:space="preserve"> that westernised Afghans could not amount to a particular social group.  </w:t>
      </w:r>
    </w:p>
    <w:p w:rsidR="00BC66C9" w:rsidRDefault="00BC66C9" w:rsidP="00BE65F7">
      <w:pPr>
        <w:numPr>
          <w:ilvl w:val="0"/>
          <w:numId w:val="1"/>
        </w:numPr>
        <w:tabs>
          <w:tab w:val="clear" w:pos="567"/>
        </w:tabs>
        <w:spacing w:before="240"/>
        <w:jc w:val="both"/>
        <w:rPr>
          <w:rFonts w:ascii="Book Antiqua" w:hAnsi="Book Antiqua" w:cs="Arial"/>
        </w:rPr>
      </w:pPr>
      <w:r>
        <w:rPr>
          <w:rFonts w:ascii="Book Antiqua" w:hAnsi="Book Antiqua" w:cs="Arial"/>
        </w:rPr>
        <w:t xml:space="preserve">The finding in </w:t>
      </w:r>
      <w:r w:rsidRPr="00C5029E">
        <w:rPr>
          <w:rFonts w:ascii="Book Antiqua" w:hAnsi="Book Antiqua" w:cs="Arial"/>
          <w:u w:val="single"/>
        </w:rPr>
        <w:t>AS (Afghanistan)</w:t>
      </w:r>
      <w:r>
        <w:rPr>
          <w:rFonts w:ascii="Book Antiqua" w:hAnsi="Book Antiqua" w:cs="Arial"/>
        </w:rPr>
        <w:t xml:space="preserve"> identified above is nothing more than an observation that those who are seen as westernised may face discrimination.  It is not a finding that they do not amount to a social group</w:t>
      </w:r>
      <w:r w:rsidR="00504A57">
        <w:rPr>
          <w:rFonts w:ascii="Book Antiqua" w:hAnsi="Book Antiqua" w:cs="Arial"/>
        </w:rPr>
        <w:t>,</w:t>
      </w:r>
      <w:r w:rsidR="002D2F63">
        <w:rPr>
          <w:rFonts w:ascii="Book Antiqua" w:hAnsi="Book Antiqua" w:cs="Arial"/>
        </w:rPr>
        <w:t xml:space="preserve"> or that they are not treated differently</w:t>
      </w:r>
    </w:p>
    <w:p w:rsidR="00447CEC" w:rsidRPr="006C3A40" w:rsidRDefault="00BC66C9" w:rsidP="00447CEC">
      <w:pPr>
        <w:numPr>
          <w:ilvl w:val="0"/>
          <w:numId w:val="1"/>
        </w:numPr>
        <w:tabs>
          <w:tab w:val="clear" w:pos="567"/>
        </w:tabs>
        <w:spacing w:before="240"/>
        <w:jc w:val="both"/>
        <w:rPr>
          <w:rFonts w:ascii="Book Antiqua" w:hAnsi="Book Antiqua" w:cs="Arial"/>
        </w:rPr>
      </w:pPr>
      <w:r>
        <w:rPr>
          <w:rFonts w:ascii="Book Antiqua" w:hAnsi="Book Antiqua" w:cs="Arial"/>
        </w:rPr>
        <w:t xml:space="preserve">Further, as noted </w:t>
      </w:r>
      <w:r w:rsidR="002D2F63">
        <w:rPr>
          <w:rFonts w:ascii="Book Antiqua" w:hAnsi="Book Antiqua" w:cs="Arial"/>
        </w:rPr>
        <w:t xml:space="preserve">in </w:t>
      </w:r>
      <w:r w:rsidR="002D2F63" w:rsidRPr="002D2F63">
        <w:rPr>
          <w:rFonts w:ascii="Book Antiqua" w:hAnsi="Book Antiqua" w:cs="Arial"/>
          <w:u w:val="single"/>
        </w:rPr>
        <w:t xml:space="preserve">SSHD v K </w:t>
      </w:r>
      <w:r w:rsidR="002D2F63">
        <w:rPr>
          <w:rFonts w:ascii="Book Antiqua" w:hAnsi="Book Antiqua" w:cs="Arial"/>
        </w:rPr>
        <w:t>at [17]</w:t>
      </w:r>
      <w:r>
        <w:rPr>
          <w:rFonts w:ascii="Book Antiqua" w:hAnsi="Book Antiqua" w:cs="Arial"/>
        </w:rPr>
        <w:t xml:space="preserve">, it is sufficient for membership of a social group to be one of the reasons behind ill-treatment; it is not necessary to show that it is the sole or </w:t>
      </w:r>
      <w:r w:rsidR="00206925">
        <w:rPr>
          <w:rFonts w:ascii="Book Antiqua" w:hAnsi="Book Antiqua" w:cs="Arial"/>
        </w:rPr>
        <w:t>primary</w:t>
      </w:r>
      <w:r>
        <w:rPr>
          <w:rFonts w:ascii="Book Antiqua" w:hAnsi="Book Antiqua" w:cs="Arial"/>
        </w:rPr>
        <w:t xml:space="preserve"> reason for that.  There is only a need for there to be a causal link.</w:t>
      </w:r>
      <w:r w:rsidR="002D2F63">
        <w:rPr>
          <w:rFonts w:ascii="Book Antiqua" w:hAnsi="Book Antiqua" w:cs="Arial"/>
        </w:rPr>
        <w:t xml:space="preserve"> The judge found that there was a causal link. </w:t>
      </w:r>
      <w:r w:rsidR="00447CEC" w:rsidRPr="006C3A40">
        <w:rPr>
          <w:rFonts w:ascii="Book Antiqua" w:hAnsi="Book Antiqua" w:cs="Arial"/>
        </w:rPr>
        <w:t>The second limb of the Secretary of State’s gr</w:t>
      </w:r>
      <w:r w:rsidR="00447CEC">
        <w:rPr>
          <w:rFonts w:ascii="Book Antiqua" w:hAnsi="Book Antiqua" w:cs="Arial"/>
        </w:rPr>
        <w:t>ounds proceed</w:t>
      </w:r>
      <w:r w:rsidR="00447CEC" w:rsidRPr="006C3A40">
        <w:rPr>
          <w:rFonts w:ascii="Book Antiqua" w:hAnsi="Book Antiqua" w:cs="Arial"/>
        </w:rPr>
        <w:t xml:space="preserve"> on the assumption that it must be the sole or main cause.  That is not a proper proposition of law.</w:t>
      </w:r>
    </w:p>
    <w:p w:rsidR="006C3A40" w:rsidRPr="00447CEC" w:rsidRDefault="00447CEC" w:rsidP="0052453E">
      <w:pPr>
        <w:numPr>
          <w:ilvl w:val="0"/>
          <w:numId w:val="1"/>
        </w:numPr>
        <w:tabs>
          <w:tab w:val="clear" w:pos="567"/>
        </w:tabs>
        <w:spacing w:before="240"/>
        <w:jc w:val="both"/>
        <w:rPr>
          <w:rFonts w:ascii="Book Antiqua" w:hAnsi="Book Antiqua" w:cs="Arial"/>
        </w:rPr>
      </w:pPr>
      <w:r w:rsidRPr="00447CEC">
        <w:rPr>
          <w:rFonts w:ascii="Book Antiqua" w:hAnsi="Book Antiqua" w:cs="Arial"/>
        </w:rPr>
        <w:t>T</w:t>
      </w:r>
      <w:r>
        <w:rPr>
          <w:rFonts w:ascii="Book Antiqua" w:hAnsi="Book Antiqua" w:cs="Arial"/>
        </w:rPr>
        <w:t>he Secretary of State’s case is in effect</w:t>
      </w:r>
      <w:r w:rsidRPr="00447CEC">
        <w:rPr>
          <w:rFonts w:ascii="Book Antiqua" w:hAnsi="Book Antiqua" w:cs="Arial"/>
        </w:rPr>
        <w:t xml:space="preserve"> a reasons challenge. </w:t>
      </w:r>
      <w:r w:rsidR="00514FBA" w:rsidRPr="00447CEC">
        <w:rPr>
          <w:rFonts w:ascii="Book Antiqua" w:hAnsi="Book Antiqua" w:cs="Arial"/>
        </w:rPr>
        <w:t xml:space="preserve">While the decision could have been more detailed in its analysis both of social group and the nexus to the convention, </w:t>
      </w:r>
      <w:r w:rsidR="006C3A40" w:rsidRPr="00447CEC">
        <w:rPr>
          <w:rFonts w:ascii="Book Antiqua" w:hAnsi="Book Antiqua" w:cs="Arial"/>
        </w:rPr>
        <w:t xml:space="preserve">there is no indication that the </w:t>
      </w:r>
      <w:r w:rsidR="00BC66C9" w:rsidRPr="00447CEC">
        <w:rPr>
          <w:rFonts w:ascii="Book Antiqua" w:hAnsi="Book Antiqua" w:cs="Arial"/>
        </w:rPr>
        <w:t xml:space="preserve">judge misdirected himself in law or </w:t>
      </w:r>
      <w:r>
        <w:rPr>
          <w:rFonts w:ascii="Book Antiqua" w:hAnsi="Book Antiqua" w:cs="Arial"/>
        </w:rPr>
        <w:t xml:space="preserve">reached findings not open to him. </w:t>
      </w:r>
      <w:r w:rsidR="00DC1AA1">
        <w:rPr>
          <w:rFonts w:ascii="Book Antiqua" w:hAnsi="Book Antiqua" w:cs="Arial"/>
        </w:rPr>
        <w:t xml:space="preserve">I bear in mind that the parties had access to all the material and the skeleton argument, and in the context of these proceedings, the Secretary of State was sufficiently </w:t>
      </w:r>
      <w:r w:rsidR="00EE5E55">
        <w:rPr>
          <w:rFonts w:ascii="Book Antiqua" w:hAnsi="Book Antiqua" w:cs="Arial"/>
        </w:rPr>
        <w:t xml:space="preserve">informed as to why the judge allowed the appeal on asylum grounds. </w:t>
      </w:r>
      <w:r w:rsidR="0052453E">
        <w:rPr>
          <w:rFonts w:ascii="Book Antiqua" w:hAnsi="Book Antiqua" w:cs="Arial"/>
        </w:rPr>
        <w:t xml:space="preserve">It cannot be said that there was a material </w:t>
      </w:r>
      <w:r w:rsidR="00BC66C9" w:rsidRPr="00447CEC">
        <w:rPr>
          <w:rFonts w:ascii="Book Antiqua" w:hAnsi="Book Antiqua" w:cs="Arial"/>
        </w:rPr>
        <w:t xml:space="preserve">inadequacy of reasoning behind the conclusion that the </w:t>
      </w:r>
      <w:r w:rsidR="0052453E">
        <w:rPr>
          <w:rFonts w:ascii="Book Antiqua" w:hAnsi="Book Antiqua" w:cs="Arial"/>
        </w:rPr>
        <w:t>respondent</w:t>
      </w:r>
      <w:r w:rsidR="00A83018">
        <w:rPr>
          <w:rFonts w:ascii="Book Antiqua" w:hAnsi="Book Antiqua" w:cs="Arial"/>
        </w:rPr>
        <w:t xml:space="preserve"> is a member</w:t>
      </w:r>
      <w:r w:rsidR="00BC66C9" w:rsidRPr="00447CEC">
        <w:rPr>
          <w:rFonts w:ascii="Book Antiqua" w:hAnsi="Book Antiqua" w:cs="Arial"/>
        </w:rPr>
        <w:t xml:space="preserve"> of a particular social group, that is westernised Afghan men, or that he is at risk of ill-treatment on account </w:t>
      </w:r>
      <w:r w:rsidR="0052453E">
        <w:rPr>
          <w:rFonts w:ascii="Book Antiqua" w:hAnsi="Book Antiqua" w:cs="Arial"/>
        </w:rPr>
        <w:t xml:space="preserve">(in part) </w:t>
      </w:r>
      <w:r w:rsidR="00BC66C9" w:rsidRPr="00447CEC">
        <w:rPr>
          <w:rFonts w:ascii="Book Antiqua" w:hAnsi="Book Antiqua" w:cs="Arial"/>
        </w:rPr>
        <w:t>of his membership of that group</w:t>
      </w:r>
      <w:r w:rsidR="0052453E">
        <w:rPr>
          <w:rFonts w:ascii="Book Antiqua" w:hAnsi="Book Antiqua" w:cs="Arial"/>
        </w:rPr>
        <w:t xml:space="preserve">, albeit that his </w:t>
      </w:r>
      <w:r w:rsidR="00A83018">
        <w:rPr>
          <w:rFonts w:ascii="Book Antiqua" w:hAnsi="Book Antiqua" w:cs="Arial"/>
        </w:rPr>
        <w:t>other vulnerabilities contribute to that risk.</w:t>
      </w:r>
    </w:p>
    <w:p w:rsidR="00AE5BF7" w:rsidRPr="009B7433" w:rsidRDefault="00BC66C9" w:rsidP="00447CEC">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I consider that the decision of the First-tier Tribunal did not involve the making of an error of law and I uphold it. </w:t>
      </w:r>
      <w:r w:rsidR="00C332DC">
        <w:rPr>
          <w:rFonts w:ascii="Book Antiqua" w:hAnsi="Book Antiqua" w:cs="Arial"/>
        </w:rPr>
        <w:t xml:space="preserve"> </w:t>
      </w:r>
      <w:r w:rsidR="00AE5BF7">
        <w:rPr>
          <w:rFonts w:ascii="Book Antiqua" w:hAnsi="Book Antiqua" w:cs="Arial"/>
        </w:rPr>
        <w:t xml:space="preserve"> </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132DD8">
        <w:rPr>
          <w:rFonts w:ascii="Book Antiqua" w:hAnsi="Book Antiqua"/>
        </w:rPr>
        <w:t>his</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780F86">
      <w:pPr>
        <w:ind w:left="540" w:hanging="540"/>
        <w:jc w:val="both"/>
        <w:rPr>
          <w:rFonts w:ascii="Book Antiqua" w:hAnsi="Book Antiqua" w:cs="Arial"/>
        </w:rPr>
      </w:pPr>
    </w:p>
    <w:p w:rsidR="00D949B7" w:rsidRPr="009B7433" w:rsidRDefault="00D949B7"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A83018">
        <w:rPr>
          <w:rFonts w:ascii="Book Antiqua" w:hAnsi="Book Antiqua" w:cs="Arial"/>
        </w:rPr>
        <w:t>:  28 August 2018</w:t>
      </w:r>
    </w:p>
    <w:p w:rsidR="001F2716" w:rsidRPr="009B7433" w:rsidRDefault="00A83018" w:rsidP="00402B9E">
      <w:pPr>
        <w:tabs>
          <w:tab w:val="left" w:pos="2520"/>
        </w:tabs>
        <w:ind w:left="540" w:hanging="540"/>
        <w:jc w:val="both"/>
        <w:rPr>
          <w:rFonts w:ascii="Book Antiqua" w:hAnsi="Book Antiqua" w:cs="Arial"/>
        </w:rPr>
      </w:pPr>
      <w:r w:rsidRPr="00A83018">
        <w:rPr>
          <w:rFonts w:ascii="Book Antiqua" w:hAnsi="Book Antiqua" w:cs="Arial"/>
          <w:noProof/>
          <w:color w:val="000000"/>
          <w:lang w:bidi="sa-IN"/>
        </w:rPr>
        <w:drawing>
          <wp:inline distT="0" distB="0" distL="0" distR="0" wp14:anchorId="277A1826" wp14:editId="754BF662">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B95326" w:rsidRPr="009B7433" w:rsidRDefault="00173F50" w:rsidP="0038437D">
      <w:pPr>
        <w:tabs>
          <w:tab w:val="left" w:pos="2520"/>
        </w:tabs>
        <w:ind w:left="540" w:hanging="540"/>
        <w:jc w:val="both"/>
        <w:rPr>
          <w:rFonts w:ascii="Book Antiqua" w:hAnsi="Book Antiqua" w:cs="Arial"/>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318" w:rsidRDefault="005F0318">
      <w:r>
        <w:separator/>
      </w:r>
    </w:p>
  </w:endnote>
  <w:endnote w:type="continuationSeparator" w:id="0">
    <w:p w:rsidR="005F0318" w:rsidRDefault="005F0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40FB8">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318" w:rsidRDefault="005F0318">
      <w:r>
        <w:separator/>
      </w:r>
    </w:p>
  </w:footnote>
  <w:footnote w:type="continuationSeparator" w:id="0">
    <w:p w:rsidR="005F0318" w:rsidRDefault="005F0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AE5BF7">
      <w:rPr>
        <w:rFonts w:ascii="Book Antiqua" w:hAnsi="Book Antiqua" w:cs="Arial"/>
        <w:sz w:val="16"/>
        <w:szCs w:val="16"/>
      </w:rPr>
      <w:t xml:space="preserve"> PA/07351/2017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57C02"/>
    <w:multiLevelType w:val="hybridMultilevel"/>
    <w:tmpl w:val="06A8B0D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1E8165A"/>
    <w:multiLevelType w:val="hybridMultilevel"/>
    <w:tmpl w:val="3FCA7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7F08290D"/>
    <w:multiLevelType w:val="hybridMultilevel"/>
    <w:tmpl w:val="3682A9E4"/>
    <w:lvl w:ilvl="0" w:tplc="5FE6521A">
      <w:start w:val="18"/>
      <w:numFmt w:val="decimal"/>
      <w:lvlText w:val="%1."/>
      <w:lvlJc w:val="left"/>
      <w:pPr>
        <w:ind w:left="927" w:hanging="360"/>
      </w:pPr>
      <w:rPr>
        <w:rFonts w:ascii="Times New Roman" w:hAnsi="Symbol" w:cs="Times New Roman"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F7"/>
    <w:rsid w:val="00000621"/>
    <w:rsid w:val="000036C2"/>
    <w:rsid w:val="00016C1A"/>
    <w:rsid w:val="00033588"/>
    <w:rsid w:val="00033D3D"/>
    <w:rsid w:val="0004776F"/>
    <w:rsid w:val="00052895"/>
    <w:rsid w:val="000539A2"/>
    <w:rsid w:val="00053C0D"/>
    <w:rsid w:val="00060C83"/>
    <w:rsid w:val="00062F02"/>
    <w:rsid w:val="00071A7E"/>
    <w:rsid w:val="000746C0"/>
    <w:rsid w:val="00074D1D"/>
    <w:rsid w:val="0009009E"/>
    <w:rsid w:val="00092580"/>
    <w:rsid w:val="00093D4D"/>
    <w:rsid w:val="000A3A6E"/>
    <w:rsid w:val="000D5D94"/>
    <w:rsid w:val="000F1A0E"/>
    <w:rsid w:val="00103400"/>
    <w:rsid w:val="00103EEE"/>
    <w:rsid w:val="001165A7"/>
    <w:rsid w:val="00116AE7"/>
    <w:rsid w:val="001311C2"/>
    <w:rsid w:val="00132DD8"/>
    <w:rsid w:val="00136064"/>
    <w:rsid w:val="00151266"/>
    <w:rsid w:val="00153787"/>
    <w:rsid w:val="0016508E"/>
    <w:rsid w:val="00167D3A"/>
    <w:rsid w:val="00173A4A"/>
    <w:rsid w:val="00173F50"/>
    <w:rsid w:val="00185986"/>
    <w:rsid w:val="001A3082"/>
    <w:rsid w:val="001B186A"/>
    <w:rsid w:val="001B205A"/>
    <w:rsid w:val="001B2F75"/>
    <w:rsid w:val="001C6F5F"/>
    <w:rsid w:val="001D4A85"/>
    <w:rsid w:val="001D6167"/>
    <w:rsid w:val="001F2716"/>
    <w:rsid w:val="001F3AC0"/>
    <w:rsid w:val="00206925"/>
    <w:rsid w:val="00207617"/>
    <w:rsid w:val="0023134B"/>
    <w:rsid w:val="00283659"/>
    <w:rsid w:val="00292AE6"/>
    <w:rsid w:val="002B232E"/>
    <w:rsid w:val="002C6BD4"/>
    <w:rsid w:val="002D265B"/>
    <w:rsid w:val="002D2F63"/>
    <w:rsid w:val="002D68BF"/>
    <w:rsid w:val="002E4541"/>
    <w:rsid w:val="002F6B98"/>
    <w:rsid w:val="00300D6E"/>
    <w:rsid w:val="00315221"/>
    <w:rsid w:val="00322D23"/>
    <w:rsid w:val="003235A2"/>
    <w:rsid w:val="00336CBF"/>
    <w:rsid w:val="00343FE3"/>
    <w:rsid w:val="003546C8"/>
    <w:rsid w:val="003825D4"/>
    <w:rsid w:val="0038437D"/>
    <w:rsid w:val="0039599D"/>
    <w:rsid w:val="003A17A5"/>
    <w:rsid w:val="003A7CF2"/>
    <w:rsid w:val="003B0545"/>
    <w:rsid w:val="003C5CE5"/>
    <w:rsid w:val="003D6FAD"/>
    <w:rsid w:val="003E267B"/>
    <w:rsid w:val="003E7CD1"/>
    <w:rsid w:val="00402B9E"/>
    <w:rsid w:val="0042037F"/>
    <w:rsid w:val="004249CB"/>
    <w:rsid w:val="0044127D"/>
    <w:rsid w:val="004448DB"/>
    <w:rsid w:val="00446C9A"/>
    <w:rsid w:val="00447CEC"/>
    <w:rsid w:val="00452F2B"/>
    <w:rsid w:val="00477193"/>
    <w:rsid w:val="00492A0F"/>
    <w:rsid w:val="004A1848"/>
    <w:rsid w:val="004A6F4A"/>
    <w:rsid w:val="004B70D7"/>
    <w:rsid w:val="004C576E"/>
    <w:rsid w:val="004C7C4B"/>
    <w:rsid w:val="004D6B45"/>
    <w:rsid w:val="004E3553"/>
    <w:rsid w:val="004E4717"/>
    <w:rsid w:val="004F5140"/>
    <w:rsid w:val="00504A57"/>
    <w:rsid w:val="00507FEC"/>
    <w:rsid w:val="00510F0E"/>
    <w:rsid w:val="0051417F"/>
    <w:rsid w:val="00514FBA"/>
    <w:rsid w:val="00515A66"/>
    <w:rsid w:val="0052453E"/>
    <w:rsid w:val="005261F8"/>
    <w:rsid w:val="00536ADC"/>
    <w:rsid w:val="005479E1"/>
    <w:rsid w:val="00553E0A"/>
    <w:rsid w:val="005570FD"/>
    <w:rsid w:val="005575EA"/>
    <w:rsid w:val="0055760A"/>
    <w:rsid w:val="00561074"/>
    <w:rsid w:val="0057790C"/>
    <w:rsid w:val="00587829"/>
    <w:rsid w:val="005921F5"/>
    <w:rsid w:val="0059298F"/>
    <w:rsid w:val="00593795"/>
    <w:rsid w:val="005A75FF"/>
    <w:rsid w:val="005D10AB"/>
    <w:rsid w:val="005F0318"/>
    <w:rsid w:val="00601D8F"/>
    <w:rsid w:val="00605582"/>
    <w:rsid w:val="00611F34"/>
    <w:rsid w:val="00621FE8"/>
    <w:rsid w:val="0062496A"/>
    <w:rsid w:val="006434B6"/>
    <w:rsid w:val="00653E97"/>
    <w:rsid w:val="006667DB"/>
    <w:rsid w:val="00684A74"/>
    <w:rsid w:val="0068620A"/>
    <w:rsid w:val="00690B8A"/>
    <w:rsid w:val="006C3A40"/>
    <w:rsid w:val="006F2CF1"/>
    <w:rsid w:val="007038ED"/>
    <w:rsid w:val="00703BC3"/>
    <w:rsid w:val="00704B61"/>
    <w:rsid w:val="0071058C"/>
    <w:rsid w:val="00715A64"/>
    <w:rsid w:val="00721FBC"/>
    <w:rsid w:val="00740C1F"/>
    <w:rsid w:val="007552A9"/>
    <w:rsid w:val="0075658A"/>
    <w:rsid w:val="00761858"/>
    <w:rsid w:val="00767D59"/>
    <w:rsid w:val="00776E97"/>
    <w:rsid w:val="00780F86"/>
    <w:rsid w:val="007912AD"/>
    <w:rsid w:val="007B0824"/>
    <w:rsid w:val="007B5D3C"/>
    <w:rsid w:val="0081030C"/>
    <w:rsid w:val="00815011"/>
    <w:rsid w:val="00821B72"/>
    <w:rsid w:val="00823EF2"/>
    <w:rsid w:val="008303B8"/>
    <w:rsid w:val="00832469"/>
    <w:rsid w:val="00833DCE"/>
    <w:rsid w:val="00840FB8"/>
    <w:rsid w:val="00871D34"/>
    <w:rsid w:val="008A25EC"/>
    <w:rsid w:val="008A6059"/>
    <w:rsid w:val="008B04C1"/>
    <w:rsid w:val="008B270C"/>
    <w:rsid w:val="008B5078"/>
    <w:rsid w:val="008C3D3D"/>
    <w:rsid w:val="008D4131"/>
    <w:rsid w:val="008F1932"/>
    <w:rsid w:val="0090151B"/>
    <w:rsid w:val="009042A9"/>
    <w:rsid w:val="0091521B"/>
    <w:rsid w:val="00921062"/>
    <w:rsid w:val="009545A2"/>
    <w:rsid w:val="009722BC"/>
    <w:rsid w:val="009727A3"/>
    <w:rsid w:val="009748FF"/>
    <w:rsid w:val="009872D4"/>
    <w:rsid w:val="00987774"/>
    <w:rsid w:val="009A11E8"/>
    <w:rsid w:val="009B7433"/>
    <w:rsid w:val="009C57C8"/>
    <w:rsid w:val="009D64B1"/>
    <w:rsid w:val="009E477E"/>
    <w:rsid w:val="009F24DC"/>
    <w:rsid w:val="009F5220"/>
    <w:rsid w:val="00A07919"/>
    <w:rsid w:val="00A15234"/>
    <w:rsid w:val="00A201AB"/>
    <w:rsid w:val="00A31C8B"/>
    <w:rsid w:val="00A509FA"/>
    <w:rsid w:val="00A67A94"/>
    <w:rsid w:val="00A67FBD"/>
    <w:rsid w:val="00A83018"/>
    <w:rsid w:val="00A845DC"/>
    <w:rsid w:val="00AE5BF7"/>
    <w:rsid w:val="00B132A3"/>
    <w:rsid w:val="00B26AA2"/>
    <w:rsid w:val="00B3524D"/>
    <w:rsid w:val="00B40F69"/>
    <w:rsid w:val="00B46616"/>
    <w:rsid w:val="00B528BB"/>
    <w:rsid w:val="00B7040A"/>
    <w:rsid w:val="00B83391"/>
    <w:rsid w:val="00B95326"/>
    <w:rsid w:val="00BC66C9"/>
    <w:rsid w:val="00BD4196"/>
    <w:rsid w:val="00BE65F7"/>
    <w:rsid w:val="00BF1354"/>
    <w:rsid w:val="00BF22CA"/>
    <w:rsid w:val="00BF23BB"/>
    <w:rsid w:val="00C26032"/>
    <w:rsid w:val="00C26E47"/>
    <w:rsid w:val="00C332DC"/>
    <w:rsid w:val="00C345E1"/>
    <w:rsid w:val="00C43BFD"/>
    <w:rsid w:val="00C5029E"/>
    <w:rsid w:val="00C6048A"/>
    <w:rsid w:val="00CB12BF"/>
    <w:rsid w:val="00CB2E4F"/>
    <w:rsid w:val="00CB6E35"/>
    <w:rsid w:val="00CD3BE9"/>
    <w:rsid w:val="00CE1A46"/>
    <w:rsid w:val="00CF3EAC"/>
    <w:rsid w:val="00D07F96"/>
    <w:rsid w:val="00D20757"/>
    <w:rsid w:val="00D22636"/>
    <w:rsid w:val="00D22AFC"/>
    <w:rsid w:val="00D22D1F"/>
    <w:rsid w:val="00D40FD9"/>
    <w:rsid w:val="00D53769"/>
    <w:rsid w:val="00D6602D"/>
    <w:rsid w:val="00D85C13"/>
    <w:rsid w:val="00D9111A"/>
    <w:rsid w:val="00D91BE3"/>
    <w:rsid w:val="00D949B7"/>
    <w:rsid w:val="00D94AFC"/>
    <w:rsid w:val="00DB70AE"/>
    <w:rsid w:val="00DC1AA1"/>
    <w:rsid w:val="00DD5071"/>
    <w:rsid w:val="00DD5C39"/>
    <w:rsid w:val="00DE47AA"/>
    <w:rsid w:val="00DE7DB7"/>
    <w:rsid w:val="00E00A0A"/>
    <w:rsid w:val="00E066DE"/>
    <w:rsid w:val="00E07F57"/>
    <w:rsid w:val="00E30683"/>
    <w:rsid w:val="00E42107"/>
    <w:rsid w:val="00E453D8"/>
    <w:rsid w:val="00E50BCE"/>
    <w:rsid w:val="00E574BF"/>
    <w:rsid w:val="00E61292"/>
    <w:rsid w:val="00E77C4D"/>
    <w:rsid w:val="00E81D01"/>
    <w:rsid w:val="00EB485A"/>
    <w:rsid w:val="00EC477A"/>
    <w:rsid w:val="00EE45D8"/>
    <w:rsid w:val="00EE52B2"/>
    <w:rsid w:val="00EE5E55"/>
    <w:rsid w:val="00F05533"/>
    <w:rsid w:val="00F22AC4"/>
    <w:rsid w:val="00F22EDA"/>
    <w:rsid w:val="00F5589A"/>
    <w:rsid w:val="00F67804"/>
    <w:rsid w:val="00FC40FA"/>
    <w:rsid w:val="00FF5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8BB0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60C83"/>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0A3A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3950">
      <w:bodyDiv w:val="1"/>
      <w:marLeft w:val="0"/>
      <w:marRight w:val="0"/>
      <w:marTop w:val="0"/>
      <w:marBottom w:val="0"/>
      <w:divBdr>
        <w:top w:val="none" w:sz="0" w:space="0" w:color="auto"/>
        <w:left w:val="none" w:sz="0" w:space="0" w:color="auto"/>
        <w:bottom w:val="none" w:sz="0" w:space="0" w:color="auto"/>
        <w:right w:val="none" w:sz="0" w:space="0" w:color="auto"/>
      </w:divBdr>
    </w:div>
    <w:div w:id="509836814">
      <w:bodyDiv w:val="1"/>
      <w:marLeft w:val="0"/>
      <w:marRight w:val="0"/>
      <w:marTop w:val="0"/>
      <w:marBottom w:val="0"/>
      <w:divBdr>
        <w:top w:val="none" w:sz="0" w:space="0" w:color="auto"/>
        <w:left w:val="none" w:sz="0" w:space="0" w:color="auto"/>
        <w:bottom w:val="none" w:sz="0" w:space="0" w:color="auto"/>
        <w:right w:val="none" w:sz="0" w:space="0" w:color="auto"/>
      </w:divBdr>
    </w:div>
    <w:div w:id="1149319294">
      <w:bodyDiv w:val="1"/>
      <w:marLeft w:val="0"/>
      <w:marRight w:val="0"/>
      <w:marTop w:val="0"/>
      <w:marBottom w:val="0"/>
      <w:divBdr>
        <w:top w:val="none" w:sz="0" w:space="0" w:color="auto"/>
        <w:left w:val="none" w:sz="0" w:space="0" w:color="auto"/>
        <w:bottom w:val="none" w:sz="0" w:space="0" w:color="auto"/>
        <w:right w:val="none" w:sz="0" w:space="0" w:color="auto"/>
      </w:divBdr>
    </w:div>
    <w:div w:id="12514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F17A-85DC-458D-A1F0-4BAD5BC9A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2598</Words>
  <Characters>12922</Characters>
  <Application>Microsoft Office Word</Application>
  <DocSecurity>0</DocSecurity>
  <Lines>107</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2018-09-24T14:37:00Z</dcterms:created>
  <dcterms:modified xsi:type="dcterms:W3CDTF">2018-09-24T14:37:00Z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