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4B4BF" w14:textId="21A8A2C4" w:rsidR="00937F86" w:rsidRPr="007A3BE3" w:rsidRDefault="00C2795D" w:rsidP="00C2795D">
      <w:pPr>
        <w:spacing w:after="0"/>
        <w:jc w:val="center"/>
        <w:rPr>
          <w:rFonts w:ascii="Book Antiqua" w:hAnsi="Book Antiqua" w:cs="Arial"/>
          <w:color w:val="000000"/>
          <w:sz w:val="24"/>
          <w:szCs w:val="24"/>
        </w:rPr>
      </w:pPr>
      <w:r>
        <w:rPr>
          <w:rFonts w:ascii="Book Antiqua" w:hAnsi="Book Antiqua" w:cs="Arial"/>
          <w:color w:val="000000"/>
          <w:sz w:val="24"/>
          <w:szCs w:val="24"/>
        </w:rPr>
        <w:t xml:space="preserve">     </w:t>
      </w:r>
      <w:r w:rsidR="00937F86" w:rsidRPr="007A3BE3">
        <w:rPr>
          <w:noProof/>
          <w:sz w:val="24"/>
          <w:szCs w:val="24"/>
        </w:rPr>
        <w:drawing>
          <wp:inline distT="0" distB="0" distL="0" distR="0" wp14:anchorId="1E418859" wp14:editId="635302C8">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1E46D7C2" w14:textId="77777777" w:rsidR="00937F86" w:rsidRPr="007A3BE3" w:rsidRDefault="00937F86" w:rsidP="00C2795D">
      <w:pPr>
        <w:tabs>
          <w:tab w:val="right" w:pos="9720"/>
        </w:tabs>
        <w:spacing w:after="0"/>
        <w:rPr>
          <w:rFonts w:ascii="Book Antiqua" w:hAnsi="Book Antiqua" w:cs="Arial"/>
          <w:b/>
          <w:color w:val="000000"/>
          <w:sz w:val="24"/>
          <w:szCs w:val="24"/>
        </w:rPr>
      </w:pPr>
      <w:r w:rsidRPr="007A3BE3">
        <w:rPr>
          <w:rFonts w:ascii="Book Antiqua" w:hAnsi="Book Antiqua" w:cs="Arial"/>
          <w:b/>
          <w:color w:val="000000"/>
          <w:sz w:val="24"/>
          <w:szCs w:val="24"/>
        </w:rPr>
        <w:t>Upper Tribunal</w:t>
      </w:r>
    </w:p>
    <w:p w14:paraId="686FFEEE" w14:textId="04296BD4" w:rsidR="00937F86" w:rsidRPr="007A3BE3" w:rsidRDefault="00937F86" w:rsidP="00C2795D">
      <w:pPr>
        <w:tabs>
          <w:tab w:val="right" w:pos="9720"/>
        </w:tabs>
        <w:spacing w:after="0"/>
        <w:rPr>
          <w:rFonts w:ascii="Book Antiqua" w:hAnsi="Book Antiqua" w:cs="Arial"/>
          <w:color w:val="000000"/>
          <w:sz w:val="24"/>
          <w:szCs w:val="24"/>
        </w:rPr>
      </w:pPr>
      <w:r w:rsidRPr="007A3BE3">
        <w:rPr>
          <w:rFonts w:ascii="Book Antiqua" w:hAnsi="Book Antiqua" w:cs="Arial"/>
          <w:b/>
          <w:color w:val="000000"/>
          <w:sz w:val="24"/>
          <w:szCs w:val="24"/>
        </w:rPr>
        <w:t>(</w:t>
      </w:r>
      <w:r w:rsidR="00B6354E">
        <w:rPr>
          <w:rFonts w:ascii="Book Antiqua" w:hAnsi="Book Antiqua" w:cs="Arial"/>
          <w:b/>
          <w:color w:val="000000"/>
          <w:sz w:val="24"/>
          <w:szCs w:val="24"/>
        </w:rPr>
        <w:t xml:space="preserve">Immigration and Asylum </w:t>
      </w:r>
      <w:proofErr w:type="gramStart"/>
      <w:r w:rsidR="00B6354E">
        <w:rPr>
          <w:rFonts w:ascii="Book Antiqua" w:hAnsi="Book Antiqua" w:cs="Arial"/>
          <w:b/>
          <w:color w:val="000000"/>
          <w:sz w:val="24"/>
          <w:szCs w:val="24"/>
        </w:rPr>
        <w:t xml:space="preserve">Chamber)   </w:t>
      </w:r>
      <w:proofErr w:type="gramEnd"/>
      <w:r w:rsidR="00B6354E">
        <w:rPr>
          <w:rFonts w:ascii="Book Antiqua" w:hAnsi="Book Antiqua" w:cs="Arial"/>
          <w:b/>
          <w:color w:val="000000"/>
          <w:sz w:val="24"/>
          <w:szCs w:val="24"/>
        </w:rPr>
        <w:t xml:space="preserve">           </w:t>
      </w:r>
      <w:r w:rsidRPr="00C2795D">
        <w:rPr>
          <w:rFonts w:ascii="Book Antiqua" w:hAnsi="Book Antiqua" w:cs="Arial"/>
          <w:b/>
          <w:color w:val="000000"/>
          <w:sz w:val="24"/>
          <w:szCs w:val="24"/>
        </w:rPr>
        <w:t>Appeal Number: PA/07486/2017</w:t>
      </w:r>
    </w:p>
    <w:p w14:paraId="68D2CFAD" w14:textId="77777777" w:rsidR="00C2795D" w:rsidRDefault="00C2795D" w:rsidP="00C2795D">
      <w:pPr>
        <w:spacing w:after="0"/>
        <w:jc w:val="center"/>
        <w:rPr>
          <w:rFonts w:ascii="Book Antiqua" w:hAnsi="Book Antiqua" w:cs="Arial"/>
          <w:b/>
          <w:color w:val="000000"/>
          <w:sz w:val="24"/>
          <w:szCs w:val="24"/>
          <w:u w:val="single"/>
        </w:rPr>
      </w:pPr>
    </w:p>
    <w:p w14:paraId="42B4F7A2" w14:textId="47AA3C29" w:rsidR="00937F86" w:rsidRPr="007A3BE3" w:rsidRDefault="00937F86" w:rsidP="00D91A2D">
      <w:pPr>
        <w:jc w:val="center"/>
        <w:rPr>
          <w:rFonts w:ascii="Book Antiqua" w:hAnsi="Book Antiqua" w:cs="Arial"/>
          <w:b/>
          <w:color w:val="000000"/>
          <w:sz w:val="24"/>
          <w:szCs w:val="24"/>
          <w:u w:val="single"/>
        </w:rPr>
      </w:pPr>
      <w:r w:rsidRPr="007A3BE3">
        <w:rPr>
          <w:rFonts w:ascii="Book Antiqua" w:hAnsi="Book Antiqua" w:cs="Arial"/>
          <w:b/>
          <w:color w:val="000000"/>
          <w:sz w:val="24"/>
          <w:szCs w:val="24"/>
          <w:u w:val="single"/>
        </w:rPr>
        <w:t>THE IMMIGRATION ACTS</w:t>
      </w:r>
    </w:p>
    <w:tbl>
      <w:tblPr>
        <w:tblW w:w="8931" w:type="dxa"/>
        <w:tblLook w:val="01E0" w:firstRow="1" w:lastRow="1" w:firstColumn="1" w:lastColumn="1" w:noHBand="0" w:noVBand="0"/>
      </w:tblPr>
      <w:tblGrid>
        <w:gridCol w:w="4678"/>
        <w:gridCol w:w="4253"/>
      </w:tblGrid>
      <w:tr w:rsidR="00937F86" w:rsidRPr="007A3BE3" w14:paraId="27637B4B" w14:textId="77777777" w:rsidTr="00C2795D">
        <w:tc>
          <w:tcPr>
            <w:tcW w:w="4678" w:type="dxa"/>
            <w:shd w:val="clear" w:color="auto" w:fill="auto"/>
          </w:tcPr>
          <w:p w14:paraId="6FC741FF" w14:textId="77777777" w:rsidR="00C2795D" w:rsidRDefault="00937F86" w:rsidP="00C2795D">
            <w:pPr>
              <w:spacing w:after="0"/>
              <w:jc w:val="both"/>
              <w:rPr>
                <w:rFonts w:ascii="Book Antiqua" w:eastAsia="Times New Roman" w:hAnsi="Book Antiqua" w:cs="Arial"/>
                <w:b/>
                <w:sz w:val="24"/>
                <w:szCs w:val="24"/>
              </w:rPr>
            </w:pPr>
            <w:r w:rsidRPr="007A3BE3">
              <w:rPr>
                <w:rFonts w:ascii="Book Antiqua" w:eastAsia="Times New Roman" w:hAnsi="Book Antiqua" w:cs="Arial"/>
                <w:b/>
                <w:sz w:val="24"/>
                <w:szCs w:val="24"/>
              </w:rPr>
              <w:t>Heard at Field House</w:t>
            </w:r>
            <w:r w:rsidR="00C2795D" w:rsidRPr="007A3BE3">
              <w:rPr>
                <w:rFonts w:ascii="Book Antiqua" w:eastAsia="Times New Roman" w:hAnsi="Book Antiqua" w:cs="Arial"/>
                <w:b/>
                <w:sz w:val="24"/>
                <w:szCs w:val="24"/>
              </w:rPr>
              <w:t xml:space="preserve"> </w:t>
            </w:r>
          </w:p>
          <w:p w14:paraId="338CE9C7" w14:textId="5DB12437" w:rsidR="00937F86" w:rsidRPr="007A3BE3" w:rsidRDefault="00C2795D" w:rsidP="00C2795D">
            <w:pPr>
              <w:spacing w:after="0"/>
              <w:jc w:val="both"/>
              <w:rPr>
                <w:rFonts w:ascii="Book Antiqua" w:eastAsia="Times New Roman" w:hAnsi="Book Antiqua" w:cs="Arial"/>
                <w:b/>
                <w:sz w:val="24"/>
                <w:szCs w:val="24"/>
              </w:rPr>
            </w:pPr>
            <w:r w:rsidRPr="007A3BE3">
              <w:rPr>
                <w:rFonts w:ascii="Book Antiqua" w:eastAsia="Times New Roman" w:hAnsi="Book Antiqua" w:cs="Arial"/>
                <w:b/>
                <w:sz w:val="24"/>
                <w:szCs w:val="24"/>
              </w:rPr>
              <w:t>On   24</w:t>
            </w:r>
            <w:r w:rsidRPr="007A3BE3">
              <w:rPr>
                <w:rFonts w:ascii="Book Antiqua" w:eastAsia="Times New Roman" w:hAnsi="Book Antiqua" w:cs="Arial"/>
                <w:b/>
                <w:sz w:val="24"/>
                <w:szCs w:val="24"/>
                <w:vertAlign w:val="superscript"/>
              </w:rPr>
              <w:t>th</w:t>
            </w:r>
            <w:r w:rsidRPr="007A3BE3">
              <w:rPr>
                <w:rFonts w:ascii="Book Antiqua" w:eastAsia="Times New Roman" w:hAnsi="Book Antiqua" w:cs="Arial"/>
                <w:b/>
                <w:sz w:val="24"/>
                <w:szCs w:val="24"/>
              </w:rPr>
              <w:t xml:space="preserve"> July    2018</w:t>
            </w:r>
          </w:p>
        </w:tc>
        <w:tc>
          <w:tcPr>
            <w:tcW w:w="4253" w:type="dxa"/>
            <w:shd w:val="clear" w:color="auto" w:fill="auto"/>
          </w:tcPr>
          <w:p w14:paraId="3FF14EA9" w14:textId="0EAA9FF0" w:rsidR="00937F86" w:rsidRPr="007A3BE3" w:rsidRDefault="00A25EC7" w:rsidP="00B6354E">
            <w:pPr>
              <w:ind w:left="35"/>
              <w:jc w:val="both"/>
              <w:rPr>
                <w:rFonts w:ascii="Book Antiqua" w:eastAsia="Times New Roman" w:hAnsi="Book Antiqua" w:cs="Arial"/>
                <w:b/>
                <w:color w:val="000000"/>
                <w:sz w:val="24"/>
                <w:szCs w:val="24"/>
              </w:rPr>
            </w:pPr>
            <w:bookmarkStart w:id="0" w:name="_GoBack"/>
            <w:bookmarkEnd w:id="0"/>
            <w:r>
              <w:rPr>
                <w:rFonts w:ascii="Book Antiqua" w:eastAsia="Times New Roman" w:hAnsi="Book Antiqua" w:cs="Arial"/>
                <w:b/>
                <w:color w:val="000000"/>
                <w:sz w:val="24"/>
                <w:szCs w:val="24"/>
              </w:rPr>
              <w:t xml:space="preserve">Decision and Reasons </w:t>
            </w:r>
            <w:r w:rsidR="00937F86" w:rsidRPr="007A3BE3">
              <w:rPr>
                <w:rFonts w:ascii="Book Antiqua" w:eastAsia="Times New Roman" w:hAnsi="Book Antiqua" w:cs="Arial"/>
                <w:b/>
                <w:color w:val="000000"/>
                <w:sz w:val="24"/>
                <w:szCs w:val="24"/>
              </w:rPr>
              <w:t>Promulgated</w:t>
            </w:r>
            <w:r w:rsidR="00C2795D" w:rsidRPr="00A25EC7">
              <w:rPr>
                <w:rFonts w:ascii="Book Antiqua" w:eastAsia="Times New Roman" w:hAnsi="Book Antiqua" w:cs="Arial"/>
                <w:b/>
                <w:sz w:val="24"/>
                <w:szCs w:val="24"/>
              </w:rPr>
              <w:t xml:space="preserve"> </w:t>
            </w:r>
            <w:r w:rsidR="00C2795D">
              <w:rPr>
                <w:rFonts w:ascii="Book Antiqua" w:eastAsia="Times New Roman" w:hAnsi="Book Antiqua" w:cs="Arial"/>
                <w:b/>
                <w:sz w:val="24"/>
                <w:szCs w:val="24"/>
              </w:rPr>
              <w:t xml:space="preserve">  </w:t>
            </w:r>
            <w:r w:rsidR="00C2795D" w:rsidRPr="00A25EC7">
              <w:rPr>
                <w:rFonts w:ascii="Book Antiqua" w:eastAsia="Times New Roman" w:hAnsi="Book Antiqua" w:cs="Arial"/>
                <w:b/>
                <w:sz w:val="24"/>
                <w:szCs w:val="24"/>
              </w:rPr>
              <w:t>On 30</w:t>
            </w:r>
            <w:r w:rsidR="00C2795D" w:rsidRPr="00A25EC7">
              <w:rPr>
                <w:rFonts w:ascii="Book Antiqua" w:eastAsia="Times New Roman" w:hAnsi="Book Antiqua" w:cs="Arial"/>
                <w:b/>
                <w:sz w:val="24"/>
                <w:szCs w:val="24"/>
                <w:vertAlign w:val="superscript"/>
              </w:rPr>
              <w:t>th</w:t>
            </w:r>
            <w:r w:rsidR="00C2795D">
              <w:rPr>
                <w:rFonts w:ascii="Book Antiqua" w:eastAsia="Times New Roman" w:hAnsi="Book Antiqua" w:cs="Arial"/>
                <w:b/>
                <w:sz w:val="24"/>
                <w:szCs w:val="24"/>
              </w:rPr>
              <w:t xml:space="preserve"> </w:t>
            </w:r>
            <w:r w:rsidR="00C2795D" w:rsidRPr="00A25EC7">
              <w:rPr>
                <w:rFonts w:ascii="Book Antiqua" w:eastAsia="Times New Roman" w:hAnsi="Book Antiqua" w:cs="Arial"/>
                <w:b/>
                <w:sz w:val="24"/>
                <w:szCs w:val="24"/>
              </w:rPr>
              <w:t>July 2018</w:t>
            </w:r>
          </w:p>
        </w:tc>
      </w:tr>
      <w:tr w:rsidR="00937F86" w:rsidRPr="007A3BE3" w14:paraId="76807647" w14:textId="77777777" w:rsidTr="00C2795D">
        <w:tc>
          <w:tcPr>
            <w:tcW w:w="4678" w:type="dxa"/>
            <w:shd w:val="clear" w:color="auto" w:fill="auto"/>
          </w:tcPr>
          <w:p w14:paraId="2E7DB42E" w14:textId="161717F5" w:rsidR="00937F86" w:rsidRPr="007A3BE3" w:rsidRDefault="00937F86" w:rsidP="00CA2A74">
            <w:pPr>
              <w:jc w:val="both"/>
              <w:rPr>
                <w:rFonts w:ascii="Book Antiqua" w:eastAsia="Times New Roman" w:hAnsi="Book Antiqua" w:cs="Arial"/>
                <w:b/>
                <w:sz w:val="24"/>
                <w:szCs w:val="24"/>
              </w:rPr>
            </w:pPr>
          </w:p>
        </w:tc>
        <w:tc>
          <w:tcPr>
            <w:tcW w:w="4253" w:type="dxa"/>
            <w:shd w:val="clear" w:color="auto" w:fill="auto"/>
          </w:tcPr>
          <w:p w14:paraId="27760A93" w14:textId="1F2E7E2E" w:rsidR="00937F86" w:rsidRPr="007A3BE3" w:rsidRDefault="00937F86" w:rsidP="00CA2A74">
            <w:pPr>
              <w:jc w:val="both"/>
              <w:rPr>
                <w:rFonts w:ascii="Book Antiqua" w:eastAsia="Times New Roman" w:hAnsi="Book Antiqua" w:cs="Arial"/>
                <w:b/>
                <w:sz w:val="24"/>
                <w:szCs w:val="24"/>
              </w:rPr>
            </w:pPr>
          </w:p>
        </w:tc>
      </w:tr>
    </w:tbl>
    <w:p w14:paraId="56C97AC6" w14:textId="59BD3132" w:rsidR="00937F86" w:rsidRDefault="00937F86" w:rsidP="00D91A2D">
      <w:pPr>
        <w:jc w:val="center"/>
        <w:rPr>
          <w:rFonts w:ascii="Book Antiqua" w:hAnsi="Book Antiqua" w:cs="Arial"/>
          <w:b/>
          <w:sz w:val="24"/>
          <w:szCs w:val="24"/>
        </w:rPr>
      </w:pPr>
      <w:r w:rsidRPr="007A3BE3">
        <w:rPr>
          <w:rFonts w:ascii="Book Antiqua" w:hAnsi="Book Antiqua" w:cs="Arial"/>
          <w:b/>
          <w:sz w:val="24"/>
          <w:szCs w:val="24"/>
        </w:rPr>
        <w:t>Before</w:t>
      </w:r>
    </w:p>
    <w:p w14:paraId="4A153051" w14:textId="77777777" w:rsidR="00C2795D" w:rsidRPr="007A3BE3" w:rsidRDefault="00C2795D" w:rsidP="00C2795D">
      <w:pPr>
        <w:spacing w:after="0"/>
        <w:jc w:val="center"/>
        <w:rPr>
          <w:rFonts w:ascii="Book Antiqua" w:hAnsi="Book Antiqua" w:cs="Arial"/>
          <w:b/>
          <w:sz w:val="24"/>
          <w:szCs w:val="24"/>
        </w:rPr>
      </w:pPr>
    </w:p>
    <w:p w14:paraId="36C22285" w14:textId="7A540955" w:rsidR="00937F86" w:rsidRDefault="00937F86" w:rsidP="00937F86">
      <w:pPr>
        <w:jc w:val="center"/>
        <w:rPr>
          <w:rFonts w:ascii="Book Antiqua" w:hAnsi="Book Antiqua" w:cs="Arial"/>
          <w:b/>
          <w:sz w:val="24"/>
          <w:szCs w:val="24"/>
        </w:rPr>
      </w:pPr>
      <w:r w:rsidRPr="007A3BE3">
        <w:rPr>
          <w:rFonts w:ascii="Book Antiqua" w:hAnsi="Book Antiqua" w:cs="Arial"/>
          <w:b/>
          <w:sz w:val="24"/>
          <w:szCs w:val="24"/>
        </w:rPr>
        <w:t xml:space="preserve"> UPPER TRIBUNAL JUDGE RIMINGTON</w:t>
      </w:r>
    </w:p>
    <w:p w14:paraId="04F703F1" w14:textId="77777777" w:rsidR="00C2795D" w:rsidRPr="007A3BE3" w:rsidRDefault="00C2795D" w:rsidP="00C2795D">
      <w:pPr>
        <w:spacing w:after="0"/>
        <w:jc w:val="center"/>
        <w:rPr>
          <w:rFonts w:ascii="Book Antiqua" w:hAnsi="Book Antiqua" w:cs="Arial"/>
          <w:b/>
          <w:sz w:val="24"/>
          <w:szCs w:val="24"/>
        </w:rPr>
      </w:pPr>
    </w:p>
    <w:p w14:paraId="3C18063C" w14:textId="40831E09" w:rsidR="00937F86" w:rsidRDefault="00937F86" w:rsidP="00C2795D">
      <w:pPr>
        <w:spacing w:after="0"/>
        <w:jc w:val="center"/>
        <w:rPr>
          <w:rFonts w:ascii="Book Antiqua" w:hAnsi="Book Antiqua" w:cs="Arial"/>
          <w:b/>
          <w:sz w:val="24"/>
          <w:szCs w:val="24"/>
        </w:rPr>
      </w:pPr>
      <w:r w:rsidRPr="007A3BE3">
        <w:rPr>
          <w:rFonts w:ascii="Book Antiqua" w:hAnsi="Book Antiqua" w:cs="Arial"/>
          <w:b/>
          <w:sz w:val="24"/>
          <w:szCs w:val="24"/>
        </w:rPr>
        <w:t>Between</w:t>
      </w:r>
    </w:p>
    <w:p w14:paraId="01241A50" w14:textId="77777777" w:rsidR="00C2795D" w:rsidRPr="007A3BE3" w:rsidRDefault="00C2795D" w:rsidP="00C2795D">
      <w:pPr>
        <w:spacing w:after="0"/>
        <w:jc w:val="center"/>
        <w:rPr>
          <w:rFonts w:ascii="Book Antiqua" w:hAnsi="Book Antiqua" w:cs="Arial"/>
          <w:b/>
          <w:sz w:val="24"/>
          <w:szCs w:val="24"/>
        </w:rPr>
      </w:pPr>
    </w:p>
    <w:p w14:paraId="15828D4E" w14:textId="0967FF58" w:rsidR="00937F86" w:rsidRPr="007A3BE3" w:rsidRDefault="00937F86" w:rsidP="00C2795D">
      <w:pPr>
        <w:spacing w:after="0"/>
        <w:jc w:val="center"/>
        <w:rPr>
          <w:rFonts w:ascii="Book Antiqua" w:hAnsi="Book Antiqua" w:cs="Arial"/>
          <w:b/>
          <w:sz w:val="24"/>
          <w:szCs w:val="24"/>
        </w:rPr>
      </w:pPr>
      <w:r w:rsidRPr="007A3BE3">
        <w:rPr>
          <w:rFonts w:ascii="Book Antiqua" w:hAnsi="Book Antiqua" w:cs="Arial"/>
          <w:b/>
          <w:sz w:val="24"/>
          <w:szCs w:val="24"/>
        </w:rPr>
        <w:t>MF</w:t>
      </w:r>
    </w:p>
    <w:p w14:paraId="44F228B0" w14:textId="6A6CCB96" w:rsidR="00937F86" w:rsidRPr="00C2795D" w:rsidRDefault="00C2795D" w:rsidP="00C2795D">
      <w:pPr>
        <w:spacing w:after="0"/>
        <w:jc w:val="center"/>
        <w:rPr>
          <w:rFonts w:ascii="Book Antiqua" w:hAnsi="Book Antiqua" w:cs="Arial"/>
          <w:sz w:val="24"/>
          <w:szCs w:val="24"/>
        </w:rPr>
      </w:pPr>
      <w:r w:rsidRPr="00C2795D">
        <w:rPr>
          <w:rFonts w:ascii="Book Antiqua" w:hAnsi="Book Antiqua" w:cs="Arial"/>
          <w:sz w:val="24"/>
          <w:szCs w:val="24"/>
        </w:rPr>
        <w:t>(ANONYMITY DIRECTION MADE)</w:t>
      </w:r>
    </w:p>
    <w:p w14:paraId="190FD2DD" w14:textId="77777777" w:rsidR="00937F86" w:rsidRPr="007A3BE3" w:rsidRDefault="00937F86" w:rsidP="00C2795D">
      <w:pPr>
        <w:spacing w:after="0"/>
        <w:jc w:val="right"/>
        <w:rPr>
          <w:rFonts w:ascii="Book Antiqua" w:hAnsi="Book Antiqua" w:cs="Arial"/>
          <w:sz w:val="24"/>
          <w:szCs w:val="24"/>
          <w:u w:val="single"/>
        </w:rPr>
      </w:pPr>
      <w:r w:rsidRPr="007A3BE3">
        <w:rPr>
          <w:rFonts w:ascii="Book Antiqua" w:hAnsi="Book Antiqua" w:cs="Arial"/>
          <w:sz w:val="24"/>
          <w:szCs w:val="24"/>
          <w:u w:val="single"/>
        </w:rPr>
        <w:t>Appellant</w:t>
      </w:r>
    </w:p>
    <w:p w14:paraId="67400A3D" w14:textId="77777777" w:rsidR="00C2795D" w:rsidRDefault="00C2795D" w:rsidP="00C2795D">
      <w:pPr>
        <w:spacing w:after="0"/>
        <w:jc w:val="center"/>
        <w:rPr>
          <w:rFonts w:ascii="Book Antiqua" w:hAnsi="Book Antiqua" w:cs="Arial"/>
          <w:b/>
          <w:sz w:val="24"/>
          <w:szCs w:val="24"/>
        </w:rPr>
      </w:pPr>
    </w:p>
    <w:p w14:paraId="0F19237B" w14:textId="2DEFE564" w:rsidR="00937F86" w:rsidRPr="007A3BE3" w:rsidRDefault="00937F86" w:rsidP="00C2795D">
      <w:pPr>
        <w:spacing w:after="0"/>
        <w:jc w:val="center"/>
        <w:rPr>
          <w:rFonts w:ascii="Book Antiqua" w:hAnsi="Book Antiqua" w:cs="Arial"/>
          <w:b/>
          <w:sz w:val="24"/>
          <w:szCs w:val="24"/>
        </w:rPr>
      </w:pPr>
      <w:r w:rsidRPr="007A3BE3">
        <w:rPr>
          <w:rFonts w:ascii="Book Antiqua" w:hAnsi="Book Antiqua" w:cs="Arial"/>
          <w:b/>
          <w:sz w:val="24"/>
          <w:szCs w:val="24"/>
        </w:rPr>
        <w:t>and</w:t>
      </w:r>
    </w:p>
    <w:p w14:paraId="5272EC31" w14:textId="5B80E2FA" w:rsidR="00937F86" w:rsidRDefault="00937F86" w:rsidP="00C2795D">
      <w:pPr>
        <w:spacing w:after="0"/>
        <w:jc w:val="center"/>
        <w:rPr>
          <w:rFonts w:ascii="Book Antiqua" w:hAnsi="Book Antiqua" w:cs="Arial"/>
          <w:b/>
          <w:sz w:val="24"/>
          <w:szCs w:val="24"/>
        </w:rPr>
      </w:pPr>
    </w:p>
    <w:p w14:paraId="7A9071C6" w14:textId="27FF4756" w:rsidR="00C2795D" w:rsidRPr="007A3BE3" w:rsidRDefault="00C2795D" w:rsidP="00C2795D">
      <w:pPr>
        <w:spacing w:after="0"/>
        <w:jc w:val="center"/>
        <w:rPr>
          <w:rFonts w:ascii="Book Antiqua" w:hAnsi="Book Antiqua" w:cs="Arial"/>
          <w:b/>
          <w:sz w:val="24"/>
          <w:szCs w:val="24"/>
        </w:rPr>
      </w:pPr>
      <w:r>
        <w:rPr>
          <w:rFonts w:ascii="Book Antiqua" w:hAnsi="Book Antiqua" w:cs="Arial"/>
          <w:b/>
          <w:sz w:val="24"/>
          <w:szCs w:val="24"/>
        </w:rPr>
        <w:t>THE SECRETARY OF STATE FOR THE HOME DEPARTMENT</w:t>
      </w:r>
    </w:p>
    <w:p w14:paraId="617D7E32" w14:textId="2406A9E3" w:rsidR="00937F86" w:rsidRPr="007A3BE3" w:rsidRDefault="00937F86" w:rsidP="00D91A2D">
      <w:pPr>
        <w:jc w:val="right"/>
        <w:rPr>
          <w:rFonts w:ascii="Book Antiqua" w:hAnsi="Book Antiqua" w:cs="Arial"/>
          <w:sz w:val="24"/>
          <w:szCs w:val="24"/>
          <w:u w:val="single"/>
        </w:rPr>
      </w:pPr>
      <w:r w:rsidRPr="007A3BE3">
        <w:rPr>
          <w:rFonts w:ascii="Book Antiqua" w:hAnsi="Book Antiqua" w:cs="Arial"/>
          <w:sz w:val="24"/>
          <w:szCs w:val="24"/>
          <w:u w:val="single"/>
        </w:rPr>
        <w:t>Respondent</w:t>
      </w:r>
    </w:p>
    <w:p w14:paraId="2D6D373D" w14:textId="53A543D7" w:rsidR="00937F86" w:rsidRPr="007A3BE3" w:rsidRDefault="00937F86" w:rsidP="00937F86">
      <w:pPr>
        <w:rPr>
          <w:rFonts w:ascii="Book Antiqua" w:hAnsi="Book Antiqua" w:cs="Arial"/>
          <w:sz w:val="24"/>
          <w:szCs w:val="24"/>
        </w:rPr>
      </w:pPr>
      <w:r w:rsidRPr="007A3BE3">
        <w:rPr>
          <w:rFonts w:ascii="Book Antiqua" w:hAnsi="Book Antiqua" w:cs="Arial"/>
          <w:b/>
          <w:sz w:val="24"/>
          <w:szCs w:val="24"/>
          <w:u w:val="single"/>
        </w:rPr>
        <w:t>Representation</w:t>
      </w:r>
      <w:r w:rsidRPr="007A3BE3">
        <w:rPr>
          <w:rFonts w:ascii="Book Antiqua" w:hAnsi="Book Antiqua" w:cs="Arial"/>
          <w:b/>
          <w:sz w:val="24"/>
          <w:szCs w:val="24"/>
        </w:rPr>
        <w:t>:</w:t>
      </w:r>
    </w:p>
    <w:p w14:paraId="51ECEFDB" w14:textId="735E9044" w:rsidR="00937F86" w:rsidRPr="007A3BE3" w:rsidRDefault="00937F86" w:rsidP="00C2795D">
      <w:pPr>
        <w:tabs>
          <w:tab w:val="left" w:pos="2520"/>
        </w:tabs>
        <w:spacing w:after="0"/>
        <w:rPr>
          <w:rFonts w:ascii="Book Antiqua" w:hAnsi="Book Antiqua" w:cs="Arial"/>
          <w:sz w:val="24"/>
          <w:szCs w:val="24"/>
        </w:rPr>
      </w:pPr>
      <w:r w:rsidRPr="007A3BE3">
        <w:rPr>
          <w:rFonts w:ascii="Book Antiqua" w:hAnsi="Book Antiqua" w:cs="Arial"/>
          <w:sz w:val="24"/>
          <w:szCs w:val="24"/>
        </w:rPr>
        <w:t>For the Appellant:</w:t>
      </w:r>
      <w:r w:rsidR="00C2795D">
        <w:rPr>
          <w:rFonts w:ascii="Book Antiqua" w:hAnsi="Book Antiqua" w:cs="Arial"/>
          <w:sz w:val="24"/>
          <w:szCs w:val="24"/>
        </w:rPr>
        <w:t xml:space="preserve">    </w:t>
      </w:r>
      <w:r w:rsidRPr="007A3BE3">
        <w:rPr>
          <w:rFonts w:ascii="Book Antiqua" w:hAnsi="Book Antiqua" w:cs="Arial"/>
          <w:sz w:val="24"/>
          <w:szCs w:val="24"/>
        </w:rPr>
        <w:t>Ms Z Harper, instructed</w:t>
      </w:r>
      <w:r w:rsidR="00C2795D">
        <w:rPr>
          <w:rFonts w:ascii="Book Antiqua" w:hAnsi="Book Antiqua" w:cs="Arial"/>
          <w:sz w:val="24"/>
          <w:szCs w:val="24"/>
        </w:rPr>
        <w:t xml:space="preserve"> by Camden Community Law Centre</w:t>
      </w:r>
    </w:p>
    <w:p w14:paraId="09BA9674" w14:textId="1160B1E4" w:rsidR="00937F86" w:rsidRPr="007A3BE3" w:rsidRDefault="00C2795D" w:rsidP="00C2795D">
      <w:pPr>
        <w:tabs>
          <w:tab w:val="left" w:pos="2520"/>
        </w:tabs>
        <w:spacing w:after="0"/>
        <w:rPr>
          <w:rFonts w:ascii="Book Antiqua" w:hAnsi="Book Antiqua" w:cs="Arial"/>
          <w:sz w:val="24"/>
          <w:szCs w:val="24"/>
        </w:rPr>
      </w:pPr>
      <w:r>
        <w:rPr>
          <w:rFonts w:ascii="Book Antiqua" w:hAnsi="Book Antiqua" w:cs="Arial"/>
          <w:sz w:val="24"/>
          <w:szCs w:val="24"/>
        </w:rPr>
        <w:t xml:space="preserve">For the Respondent: </w:t>
      </w:r>
      <w:r w:rsidR="00937F86" w:rsidRPr="007A3BE3">
        <w:rPr>
          <w:rFonts w:ascii="Book Antiqua" w:hAnsi="Book Antiqua" w:cs="Arial"/>
          <w:sz w:val="24"/>
          <w:szCs w:val="24"/>
        </w:rPr>
        <w:t xml:space="preserve">Ms J </w:t>
      </w:r>
      <w:r w:rsidR="00B248BB" w:rsidRPr="007A3BE3">
        <w:rPr>
          <w:rFonts w:ascii="Book Antiqua" w:hAnsi="Book Antiqua" w:cs="Arial"/>
          <w:sz w:val="24"/>
          <w:szCs w:val="24"/>
        </w:rPr>
        <w:t>Isherwood,</w:t>
      </w:r>
      <w:r w:rsidR="00937F86" w:rsidRPr="007A3BE3">
        <w:rPr>
          <w:rFonts w:ascii="Book Antiqua" w:hAnsi="Book Antiqua" w:cs="Arial"/>
          <w:sz w:val="24"/>
          <w:szCs w:val="24"/>
        </w:rPr>
        <w:t xml:space="preserve"> Home Office Presenting Officer </w:t>
      </w:r>
    </w:p>
    <w:p w14:paraId="04BC68DA" w14:textId="77777777" w:rsidR="00C2795D" w:rsidRDefault="00C2795D" w:rsidP="00937F86">
      <w:pPr>
        <w:tabs>
          <w:tab w:val="left" w:pos="2520"/>
        </w:tabs>
        <w:jc w:val="center"/>
        <w:rPr>
          <w:rFonts w:ascii="Book Antiqua" w:hAnsi="Book Antiqua" w:cs="Arial"/>
          <w:b/>
          <w:sz w:val="24"/>
          <w:szCs w:val="24"/>
          <w:u w:val="single"/>
        </w:rPr>
      </w:pPr>
    </w:p>
    <w:p w14:paraId="3AF7DFDD" w14:textId="3F784A05" w:rsidR="00937F86" w:rsidRPr="007A3BE3" w:rsidRDefault="00937F86" w:rsidP="00937F86">
      <w:pPr>
        <w:tabs>
          <w:tab w:val="left" w:pos="2520"/>
        </w:tabs>
        <w:jc w:val="center"/>
        <w:rPr>
          <w:rFonts w:ascii="Book Antiqua" w:hAnsi="Book Antiqua" w:cs="Arial"/>
          <w:sz w:val="24"/>
          <w:szCs w:val="24"/>
        </w:rPr>
      </w:pPr>
      <w:r w:rsidRPr="007A3BE3">
        <w:rPr>
          <w:rFonts w:ascii="Book Antiqua" w:hAnsi="Book Antiqua" w:cs="Arial"/>
          <w:b/>
          <w:sz w:val="24"/>
          <w:szCs w:val="24"/>
          <w:u w:val="single"/>
        </w:rPr>
        <w:t>DECISION AND REASONS</w:t>
      </w:r>
    </w:p>
    <w:p w14:paraId="6DBF31DC" w14:textId="7636ACB8" w:rsidR="00937F86" w:rsidRPr="007A3BE3" w:rsidRDefault="00937F86" w:rsidP="00937F86">
      <w:pPr>
        <w:numPr>
          <w:ilvl w:val="0"/>
          <w:numId w:val="1"/>
        </w:numPr>
        <w:tabs>
          <w:tab w:val="clear" w:pos="720"/>
        </w:tabs>
        <w:spacing w:before="240" w:after="0" w:line="240" w:lineRule="auto"/>
        <w:ind w:left="567" w:hanging="567"/>
        <w:jc w:val="both"/>
        <w:rPr>
          <w:rFonts w:ascii="Book Antiqua" w:hAnsi="Book Antiqua" w:cs="Arial"/>
          <w:sz w:val="24"/>
          <w:szCs w:val="24"/>
        </w:rPr>
      </w:pPr>
      <w:r w:rsidRPr="007A3BE3">
        <w:rPr>
          <w:rFonts w:ascii="Book Antiqua" w:hAnsi="Book Antiqua" w:cs="Arial"/>
          <w:sz w:val="24"/>
          <w:szCs w:val="24"/>
        </w:rPr>
        <w:t>The appellant appealed against the determination of F</w:t>
      </w:r>
      <w:r w:rsidR="00B248BB" w:rsidRPr="007A3BE3">
        <w:rPr>
          <w:rFonts w:ascii="Book Antiqua" w:hAnsi="Book Antiqua" w:cs="Arial"/>
          <w:sz w:val="24"/>
          <w:szCs w:val="24"/>
        </w:rPr>
        <w:t>irst</w:t>
      </w:r>
      <w:r w:rsidR="00A93E69" w:rsidRPr="007A3BE3">
        <w:rPr>
          <w:rFonts w:ascii="Book Antiqua" w:hAnsi="Book Antiqua" w:cs="Arial"/>
          <w:sz w:val="24"/>
          <w:szCs w:val="24"/>
        </w:rPr>
        <w:t xml:space="preserve">-tier Tribunal </w:t>
      </w:r>
      <w:r w:rsidRPr="007A3BE3">
        <w:rPr>
          <w:rFonts w:ascii="Book Antiqua" w:hAnsi="Book Antiqua" w:cs="Arial"/>
          <w:sz w:val="24"/>
          <w:szCs w:val="24"/>
        </w:rPr>
        <w:t xml:space="preserve">Judge M </w:t>
      </w:r>
      <w:proofErr w:type="gramStart"/>
      <w:r w:rsidRPr="007A3BE3">
        <w:rPr>
          <w:rFonts w:ascii="Book Antiqua" w:hAnsi="Book Antiqua" w:cs="Arial"/>
          <w:sz w:val="24"/>
          <w:szCs w:val="24"/>
        </w:rPr>
        <w:t>A</w:t>
      </w:r>
      <w:proofErr w:type="gramEnd"/>
      <w:r w:rsidRPr="007A3BE3">
        <w:rPr>
          <w:rFonts w:ascii="Book Antiqua" w:hAnsi="Book Antiqua" w:cs="Arial"/>
          <w:sz w:val="24"/>
          <w:szCs w:val="24"/>
        </w:rPr>
        <w:t xml:space="preserve"> Khan promulgated on 13</w:t>
      </w:r>
      <w:r w:rsidRPr="007A3BE3">
        <w:rPr>
          <w:rFonts w:ascii="Book Antiqua" w:hAnsi="Book Antiqua" w:cs="Arial"/>
          <w:sz w:val="24"/>
          <w:szCs w:val="24"/>
          <w:vertAlign w:val="superscript"/>
        </w:rPr>
        <w:t>th</w:t>
      </w:r>
      <w:r w:rsidRPr="007A3BE3">
        <w:rPr>
          <w:rFonts w:ascii="Book Antiqua" w:hAnsi="Book Antiqua" w:cs="Arial"/>
          <w:sz w:val="24"/>
          <w:szCs w:val="24"/>
        </w:rPr>
        <w:t xml:space="preserve"> April 2018.  The judge </w:t>
      </w:r>
      <w:r w:rsidR="00D91A2D" w:rsidRPr="007A3BE3">
        <w:rPr>
          <w:rFonts w:ascii="Book Antiqua" w:hAnsi="Book Antiqua" w:cs="Arial"/>
          <w:sz w:val="24"/>
          <w:szCs w:val="24"/>
        </w:rPr>
        <w:t xml:space="preserve">had </w:t>
      </w:r>
      <w:r w:rsidRPr="007A3BE3">
        <w:rPr>
          <w:rFonts w:ascii="Book Antiqua" w:hAnsi="Book Antiqua" w:cs="Arial"/>
          <w:sz w:val="24"/>
          <w:szCs w:val="24"/>
        </w:rPr>
        <w:t>dismissed the appellant’s appeal</w:t>
      </w:r>
      <w:r w:rsidR="00DF4591" w:rsidRPr="007A3BE3">
        <w:rPr>
          <w:rFonts w:ascii="Book Antiqua" w:hAnsi="Book Antiqua" w:cs="Arial"/>
          <w:sz w:val="24"/>
          <w:szCs w:val="24"/>
        </w:rPr>
        <w:t>,</w:t>
      </w:r>
      <w:r w:rsidRPr="007A3BE3">
        <w:rPr>
          <w:rFonts w:ascii="Book Antiqua" w:hAnsi="Book Antiqua" w:cs="Arial"/>
          <w:sz w:val="24"/>
          <w:szCs w:val="24"/>
        </w:rPr>
        <w:t xml:space="preserve"> against the decision of the Secretary of State to refuse his claim</w:t>
      </w:r>
      <w:r w:rsidR="00DF4591" w:rsidRPr="007A3BE3">
        <w:rPr>
          <w:rFonts w:ascii="Book Antiqua" w:hAnsi="Book Antiqua" w:cs="Arial"/>
          <w:sz w:val="24"/>
          <w:szCs w:val="24"/>
        </w:rPr>
        <w:t>, on asylum and human rights grounds</w:t>
      </w:r>
      <w:r w:rsidRPr="007A3BE3">
        <w:rPr>
          <w:rFonts w:ascii="Book Antiqua" w:hAnsi="Book Antiqua" w:cs="Arial"/>
          <w:sz w:val="24"/>
          <w:szCs w:val="24"/>
        </w:rPr>
        <w:t xml:space="preserve">.  The appellant is a citizen of Gambia and he asserts that </w:t>
      </w:r>
      <w:r w:rsidR="00D91A2D" w:rsidRPr="007A3BE3">
        <w:rPr>
          <w:rFonts w:ascii="Book Antiqua" w:hAnsi="Book Antiqua" w:cs="Arial"/>
          <w:sz w:val="24"/>
          <w:szCs w:val="24"/>
        </w:rPr>
        <w:t>if</w:t>
      </w:r>
      <w:r w:rsidRPr="007A3BE3">
        <w:rPr>
          <w:rFonts w:ascii="Book Antiqua" w:hAnsi="Book Antiqua" w:cs="Arial"/>
          <w:sz w:val="24"/>
          <w:szCs w:val="24"/>
        </w:rPr>
        <w:t xml:space="preserve"> return</w:t>
      </w:r>
      <w:r w:rsidR="00D91A2D" w:rsidRPr="007A3BE3">
        <w:rPr>
          <w:rFonts w:ascii="Book Antiqua" w:hAnsi="Book Antiqua" w:cs="Arial"/>
          <w:sz w:val="24"/>
          <w:szCs w:val="24"/>
        </w:rPr>
        <w:t>ed</w:t>
      </w:r>
      <w:r w:rsidRPr="007A3BE3">
        <w:rPr>
          <w:rFonts w:ascii="Book Antiqua" w:hAnsi="Book Antiqua" w:cs="Arial"/>
          <w:sz w:val="24"/>
          <w:szCs w:val="24"/>
        </w:rPr>
        <w:t xml:space="preserve"> he will be killed by the Gambian Police authorities. He also asserted that he had converted his religion from Muslim to Christian</w:t>
      </w:r>
      <w:r w:rsidR="000F0DB4" w:rsidRPr="007A3BE3">
        <w:rPr>
          <w:rFonts w:ascii="Book Antiqua" w:hAnsi="Book Antiqua" w:cs="Arial"/>
          <w:sz w:val="24"/>
          <w:szCs w:val="24"/>
        </w:rPr>
        <w:t xml:space="preserve"> which put him at risk</w:t>
      </w:r>
      <w:r w:rsidRPr="007A3BE3">
        <w:rPr>
          <w:rFonts w:ascii="Book Antiqua" w:hAnsi="Book Antiqua" w:cs="Arial"/>
          <w:sz w:val="24"/>
          <w:szCs w:val="24"/>
        </w:rPr>
        <w:t xml:space="preserve">. </w:t>
      </w:r>
    </w:p>
    <w:p w14:paraId="024D9B0E" w14:textId="7FBC65C5" w:rsidR="00937F86" w:rsidRPr="007A3BE3" w:rsidRDefault="00937F86" w:rsidP="00937F86">
      <w:pPr>
        <w:numPr>
          <w:ilvl w:val="0"/>
          <w:numId w:val="1"/>
        </w:numPr>
        <w:tabs>
          <w:tab w:val="clear" w:pos="720"/>
        </w:tabs>
        <w:spacing w:before="240" w:after="0" w:line="240" w:lineRule="auto"/>
        <w:ind w:left="567" w:hanging="567"/>
        <w:jc w:val="both"/>
        <w:rPr>
          <w:rFonts w:ascii="Book Antiqua" w:hAnsi="Book Antiqua" w:cs="Arial"/>
          <w:sz w:val="24"/>
          <w:szCs w:val="24"/>
        </w:rPr>
      </w:pPr>
      <w:r w:rsidRPr="007A3BE3">
        <w:rPr>
          <w:rFonts w:ascii="Book Antiqua" w:hAnsi="Book Antiqua" w:cs="Arial"/>
          <w:sz w:val="24"/>
          <w:szCs w:val="24"/>
        </w:rPr>
        <w:t xml:space="preserve">The grounds in the application for permission </w:t>
      </w:r>
      <w:r w:rsidR="000F0DB4" w:rsidRPr="007A3BE3">
        <w:rPr>
          <w:rFonts w:ascii="Book Antiqua" w:hAnsi="Book Antiqua" w:cs="Arial"/>
          <w:sz w:val="24"/>
          <w:szCs w:val="24"/>
        </w:rPr>
        <w:t xml:space="preserve">to appeal </w:t>
      </w:r>
      <w:r w:rsidRPr="007A3BE3">
        <w:rPr>
          <w:rFonts w:ascii="Book Antiqua" w:hAnsi="Book Antiqua" w:cs="Arial"/>
          <w:sz w:val="24"/>
          <w:szCs w:val="24"/>
        </w:rPr>
        <w:t>asserted the following</w:t>
      </w:r>
      <w:r w:rsidR="000F0DB4" w:rsidRPr="007A3BE3">
        <w:rPr>
          <w:rFonts w:ascii="Book Antiqua" w:hAnsi="Book Antiqua" w:cs="Arial"/>
          <w:sz w:val="24"/>
          <w:szCs w:val="24"/>
        </w:rPr>
        <w:t>:</w:t>
      </w:r>
    </w:p>
    <w:p w14:paraId="3ED63E3A" w14:textId="534C063D" w:rsidR="00937F86" w:rsidRPr="007A3BE3" w:rsidRDefault="00937F86" w:rsidP="00937F86">
      <w:pPr>
        <w:pStyle w:val="ListParagraph"/>
        <w:numPr>
          <w:ilvl w:val="5"/>
          <w:numId w:val="1"/>
        </w:numPr>
        <w:spacing w:before="240" w:after="0" w:line="240" w:lineRule="auto"/>
        <w:jc w:val="both"/>
        <w:rPr>
          <w:rFonts w:ascii="Book Antiqua" w:hAnsi="Book Antiqua" w:cs="Arial"/>
          <w:sz w:val="24"/>
          <w:szCs w:val="24"/>
        </w:rPr>
      </w:pPr>
      <w:r w:rsidRPr="007A3BE3">
        <w:rPr>
          <w:rFonts w:ascii="Book Antiqua" w:hAnsi="Book Antiqua" w:cs="Arial"/>
          <w:sz w:val="24"/>
          <w:szCs w:val="24"/>
        </w:rPr>
        <w:lastRenderedPageBreak/>
        <w:t>the judge failed to consider the claim with anxious scrutiny and failed to take account of the totality of the evidence before the tribunal</w:t>
      </w:r>
      <w:r w:rsidR="000F0DB4" w:rsidRPr="007A3BE3">
        <w:rPr>
          <w:rFonts w:ascii="Book Antiqua" w:hAnsi="Book Antiqua" w:cs="Arial"/>
          <w:sz w:val="24"/>
          <w:szCs w:val="24"/>
        </w:rPr>
        <w:t xml:space="preserve">.  </w:t>
      </w:r>
      <w:proofErr w:type="gramStart"/>
      <w:r w:rsidR="000F0DB4" w:rsidRPr="007A3BE3">
        <w:rPr>
          <w:rFonts w:ascii="Book Antiqua" w:hAnsi="Book Antiqua" w:cs="Arial"/>
          <w:sz w:val="24"/>
          <w:szCs w:val="24"/>
        </w:rPr>
        <w:t>I</w:t>
      </w:r>
      <w:r w:rsidRPr="007A3BE3">
        <w:rPr>
          <w:rFonts w:ascii="Book Antiqua" w:hAnsi="Book Antiqua" w:cs="Arial"/>
          <w:sz w:val="24"/>
          <w:szCs w:val="24"/>
        </w:rPr>
        <w:t>n particular the</w:t>
      </w:r>
      <w:proofErr w:type="gramEnd"/>
      <w:r w:rsidRPr="007A3BE3">
        <w:rPr>
          <w:rFonts w:ascii="Book Antiqua" w:hAnsi="Book Antiqua" w:cs="Arial"/>
          <w:sz w:val="24"/>
          <w:szCs w:val="24"/>
        </w:rPr>
        <w:t xml:space="preserve"> judge had no regard to the </w:t>
      </w:r>
      <w:r w:rsidR="00041F0E" w:rsidRPr="007A3BE3">
        <w:rPr>
          <w:rFonts w:ascii="Book Antiqua" w:hAnsi="Book Antiqua" w:cs="Arial"/>
          <w:sz w:val="24"/>
          <w:szCs w:val="24"/>
        </w:rPr>
        <w:t>c</w:t>
      </w:r>
      <w:r w:rsidRPr="007A3BE3">
        <w:rPr>
          <w:rFonts w:ascii="Book Antiqua" w:hAnsi="Book Antiqua" w:cs="Arial"/>
          <w:sz w:val="24"/>
          <w:szCs w:val="24"/>
        </w:rPr>
        <w:t xml:space="preserve">ountry </w:t>
      </w:r>
      <w:r w:rsidR="00041F0E" w:rsidRPr="007A3BE3">
        <w:rPr>
          <w:rFonts w:ascii="Book Antiqua" w:hAnsi="Book Antiqua" w:cs="Arial"/>
          <w:sz w:val="24"/>
          <w:szCs w:val="24"/>
        </w:rPr>
        <w:t>e</w:t>
      </w:r>
      <w:r w:rsidRPr="007A3BE3">
        <w:rPr>
          <w:rFonts w:ascii="Book Antiqua" w:hAnsi="Book Antiqua" w:cs="Arial"/>
          <w:sz w:val="24"/>
          <w:szCs w:val="24"/>
        </w:rPr>
        <w:t xml:space="preserve">xpert report of Dr W Kodi dated 5 September 2017 which was directly relevant to the assessment credibility and plausibility claim. </w:t>
      </w:r>
      <w:r w:rsidR="00B16CCF" w:rsidRPr="007A3BE3">
        <w:rPr>
          <w:rFonts w:ascii="Book Antiqua" w:hAnsi="Book Antiqua" w:cs="Arial"/>
          <w:sz w:val="24"/>
          <w:szCs w:val="24"/>
        </w:rPr>
        <w:t>Indeed,</w:t>
      </w:r>
      <w:r w:rsidR="00041F0E" w:rsidRPr="007A3BE3">
        <w:rPr>
          <w:rFonts w:ascii="Book Antiqua" w:hAnsi="Book Antiqua" w:cs="Arial"/>
          <w:sz w:val="24"/>
          <w:szCs w:val="24"/>
        </w:rPr>
        <w:t xml:space="preserve"> the previous h</w:t>
      </w:r>
      <w:r w:rsidRPr="007A3BE3">
        <w:rPr>
          <w:rFonts w:ascii="Book Antiqua" w:hAnsi="Book Antiqua" w:cs="Arial"/>
          <w:sz w:val="24"/>
          <w:szCs w:val="24"/>
        </w:rPr>
        <w:t>earing</w:t>
      </w:r>
      <w:r w:rsidR="00041F0E" w:rsidRPr="007A3BE3">
        <w:rPr>
          <w:rFonts w:ascii="Book Antiqua" w:hAnsi="Book Antiqua" w:cs="Arial"/>
          <w:sz w:val="24"/>
          <w:szCs w:val="24"/>
        </w:rPr>
        <w:t xml:space="preserve"> on</w:t>
      </w:r>
      <w:r w:rsidRPr="007A3BE3">
        <w:rPr>
          <w:rFonts w:ascii="Book Antiqua" w:hAnsi="Book Antiqua" w:cs="Arial"/>
          <w:sz w:val="24"/>
          <w:szCs w:val="24"/>
        </w:rPr>
        <w:t xml:space="preserve"> 5 September 2017 was adjourned so that a country report be obtained and at that point</w:t>
      </w:r>
      <w:r w:rsidR="00041F0E" w:rsidRPr="007A3BE3">
        <w:rPr>
          <w:rFonts w:ascii="Book Antiqua" w:hAnsi="Book Antiqua" w:cs="Arial"/>
          <w:sz w:val="24"/>
          <w:szCs w:val="24"/>
        </w:rPr>
        <w:t>,</w:t>
      </w:r>
      <w:r w:rsidRPr="007A3BE3">
        <w:rPr>
          <w:rFonts w:ascii="Book Antiqua" w:hAnsi="Book Antiqua" w:cs="Arial"/>
          <w:sz w:val="24"/>
          <w:szCs w:val="24"/>
        </w:rPr>
        <w:t xml:space="preserve"> the judge considered it was in the interests of justice that the report be produced. </w:t>
      </w:r>
      <w:r w:rsidR="00356F1B" w:rsidRPr="007A3BE3">
        <w:rPr>
          <w:rFonts w:ascii="Book Antiqua" w:hAnsi="Book Antiqua" w:cs="Arial"/>
          <w:sz w:val="24"/>
          <w:szCs w:val="24"/>
        </w:rPr>
        <w:t xml:space="preserve">  Further medical evidence </w:t>
      </w:r>
      <w:r w:rsidR="0049566B" w:rsidRPr="007A3BE3">
        <w:rPr>
          <w:rFonts w:ascii="Book Antiqua" w:hAnsi="Book Antiqua" w:cs="Arial"/>
          <w:sz w:val="24"/>
          <w:szCs w:val="24"/>
        </w:rPr>
        <w:t xml:space="preserve">submitted </w:t>
      </w:r>
      <w:r w:rsidR="00356F1B" w:rsidRPr="007A3BE3">
        <w:rPr>
          <w:rFonts w:ascii="Book Antiqua" w:hAnsi="Book Antiqua" w:cs="Arial"/>
          <w:sz w:val="24"/>
          <w:szCs w:val="24"/>
        </w:rPr>
        <w:t xml:space="preserve">had not been </w:t>
      </w:r>
      <w:r w:rsidR="0049566B" w:rsidRPr="007A3BE3">
        <w:rPr>
          <w:rFonts w:ascii="Book Antiqua" w:hAnsi="Book Antiqua" w:cs="Arial"/>
          <w:sz w:val="24"/>
          <w:szCs w:val="24"/>
        </w:rPr>
        <w:t>considered</w:t>
      </w:r>
      <w:r w:rsidR="00356F1B" w:rsidRPr="007A3BE3">
        <w:rPr>
          <w:rFonts w:ascii="Book Antiqua" w:hAnsi="Book Antiqua" w:cs="Arial"/>
          <w:sz w:val="24"/>
          <w:szCs w:val="24"/>
        </w:rPr>
        <w:t>.</w:t>
      </w:r>
    </w:p>
    <w:p w14:paraId="33CA5FD8" w14:textId="3D7A2A6E" w:rsidR="00233B68" w:rsidRPr="007A3BE3" w:rsidRDefault="00233B68" w:rsidP="00937F86">
      <w:pPr>
        <w:pStyle w:val="ListParagraph"/>
        <w:numPr>
          <w:ilvl w:val="5"/>
          <w:numId w:val="1"/>
        </w:numPr>
        <w:spacing w:before="240" w:after="0" w:line="240" w:lineRule="auto"/>
        <w:jc w:val="both"/>
        <w:rPr>
          <w:rFonts w:ascii="Book Antiqua" w:hAnsi="Book Antiqua" w:cs="Arial"/>
          <w:sz w:val="24"/>
          <w:szCs w:val="24"/>
        </w:rPr>
      </w:pPr>
      <w:r w:rsidRPr="007A3BE3">
        <w:rPr>
          <w:rFonts w:ascii="Book Antiqua" w:hAnsi="Book Antiqua" w:cs="Arial"/>
          <w:sz w:val="24"/>
          <w:szCs w:val="24"/>
        </w:rPr>
        <w:t>the judge failed to give cogent reasons for rejecting appellant’s credibility, asserting that the appellant had failed to explain the reason for aspects of his claim, when, in fact the appellant had given oral evidence on the point.</w:t>
      </w:r>
    </w:p>
    <w:p w14:paraId="12BA96D4" w14:textId="77777777" w:rsidR="00653579" w:rsidRPr="007A3BE3" w:rsidRDefault="00653579" w:rsidP="00653579">
      <w:pPr>
        <w:pStyle w:val="ListParagraph"/>
        <w:spacing w:before="240" w:after="0" w:line="240" w:lineRule="auto"/>
        <w:ind w:left="1701"/>
        <w:jc w:val="both"/>
        <w:rPr>
          <w:rFonts w:ascii="Book Antiqua" w:hAnsi="Book Antiqua" w:cs="Arial"/>
          <w:sz w:val="24"/>
          <w:szCs w:val="24"/>
        </w:rPr>
      </w:pPr>
    </w:p>
    <w:p w14:paraId="7642211A" w14:textId="77777777" w:rsidR="00937F86" w:rsidRPr="007A3BE3" w:rsidRDefault="00937F86" w:rsidP="00937F86">
      <w:pPr>
        <w:spacing w:before="240"/>
        <w:jc w:val="both"/>
        <w:rPr>
          <w:rFonts w:ascii="Book Antiqua" w:hAnsi="Book Antiqua" w:cs="Arial"/>
          <w:b/>
          <w:sz w:val="24"/>
          <w:szCs w:val="24"/>
          <w:u w:val="single"/>
        </w:rPr>
      </w:pPr>
      <w:r w:rsidRPr="007A3BE3">
        <w:rPr>
          <w:rFonts w:ascii="Book Antiqua" w:hAnsi="Book Antiqua" w:cs="Arial"/>
          <w:b/>
          <w:sz w:val="24"/>
          <w:szCs w:val="24"/>
          <w:u w:val="single"/>
        </w:rPr>
        <w:t>The Hearing</w:t>
      </w:r>
    </w:p>
    <w:p w14:paraId="61FCEB6A" w14:textId="14767901" w:rsidR="00937F86" w:rsidRPr="007A3BE3" w:rsidRDefault="00937F86" w:rsidP="00937F86">
      <w:pPr>
        <w:numPr>
          <w:ilvl w:val="0"/>
          <w:numId w:val="1"/>
        </w:numPr>
        <w:tabs>
          <w:tab w:val="clear" w:pos="720"/>
        </w:tabs>
        <w:spacing w:before="240" w:after="0" w:line="240" w:lineRule="auto"/>
        <w:ind w:left="567" w:hanging="567"/>
        <w:jc w:val="both"/>
        <w:rPr>
          <w:rFonts w:ascii="Book Antiqua" w:hAnsi="Book Antiqua" w:cs="Arial"/>
          <w:sz w:val="24"/>
          <w:szCs w:val="24"/>
        </w:rPr>
      </w:pPr>
      <w:r w:rsidRPr="007A3BE3">
        <w:rPr>
          <w:rFonts w:ascii="Book Antiqua" w:hAnsi="Book Antiqua" w:cs="Arial"/>
          <w:sz w:val="24"/>
          <w:szCs w:val="24"/>
        </w:rPr>
        <w:t xml:space="preserve">At the hearing, Ms Isherwood conceded that the expert report had not been considered but she did identify that </w:t>
      </w:r>
      <w:r w:rsidR="00233B68" w:rsidRPr="007A3BE3">
        <w:rPr>
          <w:rFonts w:ascii="Book Antiqua" w:hAnsi="Book Antiqua" w:cs="Arial"/>
          <w:sz w:val="24"/>
          <w:szCs w:val="24"/>
        </w:rPr>
        <w:t xml:space="preserve">it had been challenged by the respondent. </w:t>
      </w:r>
    </w:p>
    <w:p w14:paraId="200CE6AB" w14:textId="55A9CFAC" w:rsidR="00653579" w:rsidRPr="007A3BE3" w:rsidRDefault="00653579" w:rsidP="00937F86">
      <w:pPr>
        <w:numPr>
          <w:ilvl w:val="0"/>
          <w:numId w:val="1"/>
        </w:numPr>
        <w:tabs>
          <w:tab w:val="clear" w:pos="720"/>
        </w:tabs>
        <w:spacing w:before="240" w:after="0" w:line="240" w:lineRule="auto"/>
        <w:ind w:left="567" w:hanging="567"/>
        <w:jc w:val="both"/>
        <w:rPr>
          <w:rFonts w:ascii="Book Antiqua" w:hAnsi="Book Antiqua" w:cs="Arial"/>
          <w:sz w:val="24"/>
          <w:szCs w:val="24"/>
        </w:rPr>
      </w:pPr>
      <w:r w:rsidRPr="007A3BE3">
        <w:rPr>
          <w:rFonts w:ascii="Book Antiqua" w:hAnsi="Book Antiqua" w:cs="Arial"/>
          <w:sz w:val="24"/>
          <w:szCs w:val="24"/>
        </w:rPr>
        <w:t xml:space="preserve">Ms Harper submitted that it was clear that the expert report had not been even referred to by the judge. </w:t>
      </w:r>
      <w:r w:rsidR="00356F1B" w:rsidRPr="007A3BE3">
        <w:rPr>
          <w:rFonts w:ascii="Book Antiqua" w:hAnsi="Book Antiqua" w:cs="Arial"/>
          <w:sz w:val="24"/>
          <w:szCs w:val="24"/>
        </w:rPr>
        <w:t xml:space="preserve">By medical evidence in fact the death certificate was the evidence identified as ignored and this gave medical reasons for the wife’s death. </w:t>
      </w:r>
    </w:p>
    <w:p w14:paraId="3EE033EC" w14:textId="77777777" w:rsidR="00937F86" w:rsidRPr="007A3BE3" w:rsidRDefault="00937F86" w:rsidP="00937F86">
      <w:pPr>
        <w:spacing w:before="240"/>
        <w:jc w:val="both"/>
        <w:rPr>
          <w:rFonts w:ascii="Book Antiqua" w:hAnsi="Book Antiqua" w:cs="Arial"/>
          <w:sz w:val="24"/>
          <w:szCs w:val="24"/>
        </w:rPr>
      </w:pPr>
      <w:r w:rsidRPr="007A3BE3">
        <w:rPr>
          <w:rFonts w:ascii="Book Antiqua" w:hAnsi="Book Antiqua" w:cs="Arial"/>
          <w:b/>
          <w:sz w:val="24"/>
          <w:szCs w:val="24"/>
          <w:u w:val="single"/>
        </w:rPr>
        <w:t>Conclusions</w:t>
      </w:r>
    </w:p>
    <w:p w14:paraId="3A34CC96" w14:textId="24B43F5F" w:rsidR="00937F86" w:rsidRPr="007A3BE3" w:rsidRDefault="00356F1B" w:rsidP="00937F86">
      <w:pPr>
        <w:numPr>
          <w:ilvl w:val="0"/>
          <w:numId w:val="1"/>
        </w:numPr>
        <w:tabs>
          <w:tab w:val="clear" w:pos="720"/>
        </w:tabs>
        <w:spacing w:before="240" w:after="0" w:line="240" w:lineRule="auto"/>
        <w:ind w:left="567" w:hanging="567"/>
        <w:jc w:val="both"/>
        <w:rPr>
          <w:rFonts w:ascii="Book Antiqua" w:hAnsi="Book Antiqua" w:cs="Arial"/>
          <w:sz w:val="24"/>
          <w:szCs w:val="24"/>
        </w:rPr>
      </w:pPr>
      <w:r w:rsidRPr="007A3BE3">
        <w:rPr>
          <w:rFonts w:ascii="Book Antiqua" w:hAnsi="Book Antiqua" w:cs="Arial"/>
          <w:sz w:val="24"/>
          <w:szCs w:val="24"/>
        </w:rPr>
        <w:t xml:space="preserve">I find a material error of law for these reasons. </w:t>
      </w:r>
      <w:r w:rsidR="00937F86" w:rsidRPr="007A3BE3">
        <w:rPr>
          <w:rFonts w:ascii="Book Antiqua" w:hAnsi="Book Antiqua" w:cs="Arial"/>
          <w:sz w:val="24"/>
          <w:szCs w:val="24"/>
        </w:rPr>
        <w:t xml:space="preserve">The </w:t>
      </w:r>
      <w:r w:rsidR="00233B68" w:rsidRPr="007A3BE3">
        <w:rPr>
          <w:rFonts w:ascii="Book Antiqua" w:hAnsi="Book Antiqua" w:cs="Arial"/>
          <w:sz w:val="24"/>
          <w:szCs w:val="24"/>
        </w:rPr>
        <w:t xml:space="preserve">judge failed to consider the expert report which </w:t>
      </w:r>
      <w:r w:rsidR="0085552F" w:rsidRPr="007A3BE3">
        <w:rPr>
          <w:rFonts w:ascii="Book Antiqua" w:hAnsi="Book Antiqua" w:cs="Arial"/>
          <w:sz w:val="24"/>
          <w:szCs w:val="24"/>
        </w:rPr>
        <w:t xml:space="preserve">is an error </w:t>
      </w:r>
      <w:proofErr w:type="gramStart"/>
      <w:r w:rsidR="0085552F" w:rsidRPr="007A3BE3">
        <w:rPr>
          <w:rFonts w:ascii="Book Antiqua" w:hAnsi="Book Antiqua" w:cs="Arial"/>
          <w:sz w:val="24"/>
          <w:szCs w:val="24"/>
        </w:rPr>
        <w:t>in itself</w:t>
      </w:r>
      <w:r w:rsidR="004A5C28" w:rsidRPr="007A3BE3">
        <w:rPr>
          <w:rFonts w:ascii="Book Antiqua" w:hAnsi="Book Antiqua" w:cs="Arial"/>
          <w:sz w:val="24"/>
          <w:szCs w:val="24"/>
        </w:rPr>
        <w:t>,</w:t>
      </w:r>
      <w:r w:rsidR="00E941DC" w:rsidRPr="007A3BE3">
        <w:rPr>
          <w:rFonts w:ascii="Book Antiqua" w:hAnsi="Book Antiqua" w:cs="Arial"/>
          <w:sz w:val="24"/>
          <w:szCs w:val="24"/>
        </w:rPr>
        <w:t xml:space="preserve"> bearing</w:t>
      </w:r>
      <w:proofErr w:type="gramEnd"/>
      <w:r w:rsidR="00E941DC" w:rsidRPr="007A3BE3">
        <w:rPr>
          <w:rFonts w:ascii="Book Antiqua" w:hAnsi="Book Antiqua" w:cs="Arial"/>
          <w:sz w:val="24"/>
          <w:szCs w:val="24"/>
        </w:rPr>
        <w:t xml:space="preserve"> in mind its relevance </w:t>
      </w:r>
      <w:r w:rsidR="00E941DC" w:rsidRPr="007A3BE3">
        <w:rPr>
          <w:rFonts w:ascii="Book Antiqua" w:hAnsi="Book Antiqua" w:cs="Arial"/>
          <w:b/>
          <w:sz w:val="24"/>
          <w:szCs w:val="24"/>
          <w:u w:val="single"/>
        </w:rPr>
        <w:t>(CM (Kenya)</w:t>
      </w:r>
      <w:r w:rsidR="00E941DC" w:rsidRPr="007A3BE3">
        <w:rPr>
          <w:rFonts w:ascii="Book Antiqua" w:hAnsi="Book Antiqua" w:cs="Arial"/>
          <w:sz w:val="24"/>
          <w:szCs w:val="24"/>
        </w:rPr>
        <w:t xml:space="preserve"> </w:t>
      </w:r>
      <w:r w:rsidR="00E941DC" w:rsidRPr="007A3BE3">
        <w:rPr>
          <w:rFonts w:ascii="Book Antiqua" w:hAnsi="Book Antiqua"/>
          <w:bCs/>
          <w:sz w:val="24"/>
          <w:szCs w:val="24"/>
        </w:rPr>
        <w:t>[2007] EWCA Civ 312</w:t>
      </w:r>
      <w:r w:rsidR="00881F9D" w:rsidRPr="007A3BE3">
        <w:rPr>
          <w:rFonts w:ascii="Book Antiqua" w:hAnsi="Book Antiqua"/>
          <w:bCs/>
          <w:sz w:val="24"/>
          <w:szCs w:val="24"/>
        </w:rPr>
        <w:t xml:space="preserve"> </w:t>
      </w:r>
      <w:r w:rsidR="00E941DC" w:rsidRPr="007A3BE3">
        <w:rPr>
          <w:rFonts w:ascii="Book Antiqua" w:hAnsi="Book Antiqua"/>
          <w:bCs/>
          <w:sz w:val="24"/>
          <w:szCs w:val="24"/>
        </w:rPr>
        <w:t>- all aspects of the expert’s evidence</w:t>
      </w:r>
      <w:r w:rsidR="00881F9D" w:rsidRPr="007A3BE3">
        <w:rPr>
          <w:rFonts w:ascii="Book Antiqua" w:hAnsi="Book Antiqua"/>
          <w:bCs/>
          <w:sz w:val="24"/>
          <w:szCs w:val="24"/>
        </w:rPr>
        <w:t xml:space="preserve"> relied on</w:t>
      </w:r>
      <w:r w:rsidR="00E941DC" w:rsidRPr="007A3BE3">
        <w:rPr>
          <w:rFonts w:ascii="Book Antiqua" w:hAnsi="Book Antiqua"/>
          <w:bCs/>
          <w:sz w:val="24"/>
          <w:szCs w:val="24"/>
        </w:rPr>
        <w:t xml:space="preserve"> should be addressed by a judge</w:t>
      </w:r>
      <w:r w:rsidR="00E941DC" w:rsidRPr="007A3BE3">
        <w:rPr>
          <w:b/>
          <w:bCs/>
          <w:sz w:val="24"/>
          <w:szCs w:val="24"/>
        </w:rPr>
        <w:t>)</w:t>
      </w:r>
      <w:r w:rsidR="00881F9D" w:rsidRPr="007A3BE3">
        <w:rPr>
          <w:rFonts w:ascii="Book Antiqua" w:hAnsi="Book Antiqua" w:cs="Arial"/>
          <w:sz w:val="24"/>
          <w:szCs w:val="24"/>
        </w:rPr>
        <w:t>.  This failure</w:t>
      </w:r>
      <w:r w:rsidR="0085552F" w:rsidRPr="007A3BE3">
        <w:rPr>
          <w:rFonts w:ascii="Book Antiqua" w:hAnsi="Book Antiqua" w:cs="Arial"/>
          <w:sz w:val="24"/>
          <w:szCs w:val="24"/>
        </w:rPr>
        <w:t xml:space="preserve"> also </w:t>
      </w:r>
      <w:r w:rsidR="00233B68" w:rsidRPr="007A3BE3">
        <w:rPr>
          <w:rFonts w:ascii="Book Antiqua" w:hAnsi="Book Antiqua" w:cs="Arial"/>
          <w:sz w:val="24"/>
          <w:szCs w:val="24"/>
        </w:rPr>
        <w:t xml:space="preserve">indicated that anxious scrutiny was not applied. Nor did the judge </w:t>
      </w:r>
      <w:r w:rsidR="00B248BB" w:rsidRPr="007A3BE3">
        <w:rPr>
          <w:rFonts w:ascii="Book Antiqua" w:hAnsi="Book Antiqua" w:cs="Arial"/>
          <w:sz w:val="24"/>
          <w:szCs w:val="24"/>
        </w:rPr>
        <w:t>refer</w:t>
      </w:r>
      <w:r w:rsidR="00233B68" w:rsidRPr="007A3BE3">
        <w:rPr>
          <w:rFonts w:ascii="Book Antiqua" w:hAnsi="Book Antiqua" w:cs="Arial"/>
          <w:sz w:val="24"/>
          <w:szCs w:val="24"/>
        </w:rPr>
        <w:t xml:space="preserve"> to the death certificate, which Miss Harper submitted was directly relevant to the circumstances of the appellant’s wife demise and was further illustration of his fear of return.  As set out in the grounds of appeal th</w:t>
      </w:r>
      <w:r w:rsidR="0085552F" w:rsidRPr="007A3BE3">
        <w:rPr>
          <w:rFonts w:ascii="Book Antiqua" w:hAnsi="Book Antiqua" w:cs="Arial"/>
          <w:sz w:val="24"/>
          <w:szCs w:val="24"/>
        </w:rPr>
        <w:t>ere</w:t>
      </w:r>
      <w:r w:rsidR="00233B68" w:rsidRPr="007A3BE3">
        <w:rPr>
          <w:rFonts w:ascii="Book Antiqua" w:hAnsi="Book Antiqua" w:cs="Arial"/>
          <w:sz w:val="24"/>
          <w:szCs w:val="24"/>
        </w:rPr>
        <w:t xml:space="preserve"> must be an assessment of external consistency and plausibility as per </w:t>
      </w:r>
      <w:r w:rsidR="00233B68" w:rsidRPr="007A3BE3">
        <w:rPr>
          <w:rFonts w:ascii="Book Antiqua" w:hAnsi="Book Antiqua" w:cs="Arial"/>
          <w:b/>
          <w:sz w:val="24"/>
          <w:szCs w:val="24"/>
          <w:u w:val="single"/>
        </w:rPr>
        <w:t>KB and AH (credibility-structured approach) Pakistan</w:t>
      </w:r>
      <w:r w:rsidR="00233B68" w:rsidRPr="007A3BE3">
        <w:rPr>
          <w:rFonts w:ascii="Book Antiqua" w:hAnsi="Book Antiqua" w:cs="Arial"/>
          <w:sz w:val="24"/>
          <w:szCs w:val="24"/>
        </w:rPr>
        <w:t xml:space="preserve"> [2017] UKUT 00491. </w:t>
      </w:r>
      <w:r w:rsidR="00793C20" w:rsidRPr="007A3BE3">
        <w:rPr>
          <w:rFonts w:ascii="Book Antiqua" w:hAnsi="Book Antiqua" w:cs="Arial"/>
          <w:sz w:val="24"/>
          <w:szCs w:val="24"/>
        </w:rPr>
        <w:t>T</w:t>
      </w:r>
      <w:r w:rsidR="00233B68" w:rsidRPr="007A3BE3">
        <w:rPr>
          <w:rFonts w:ascii="Book Antiqua" w:hAnsi="Book Antiqua" w:cs="Arial"/>
          <w:sz w:val="24"/>
          <w:szCs w:val="24"/>
        </w:rPr>
        <w:t xml:space="preserve">he judge’s failure to consider the totality of the evidence contradicted the guidance in </w:t>
      </w:r>
      <w:r w:rsidR="00233B68" w:rsidRPr="007A3BE3">
        <w:rPr>
          <w:rFonts w:ascii="Book Antiqua" w:hAnsi="Book Antiqua" w:cs="Arial"/>
          <w:b/>
          <w:sz w:val="24"/>
          <w:szCs w:val="24"/>
          <w:u w:val="single"/>
        </w:rPr>
        <w:t>Sivakumar v SSHD</w:t>
      </w:r>
      <w:r w:rsidR="00233B68" w:rsidRPr="007A3BE3">
        <w:rPr>
          <w:rFonts w:ascii="Book Antiqua" w:hAnsi="Book Antiqua" w:cs="Arial"/>
          <w:sz w:val="24"/>
          <w:szCs w:val="24"/>
        </w:rPr>
        <w:t xml:space="preserve"> [2001] EWCA Civ 1196.</w:t>
      </w:r>
    </w:p>
    <w:p w14:paraId="68162C01" w14:textId="7E626191" w:rsidR="0051734F" w:rsidRPr="007A3BE3" w:rsidRDefault="006B4C10" w:rsidP="0051734F">
      <w:pPr>
        <w:numPr>
          <w:ilvl w:val="0"/>
          <w:numId w:val="1"/>
        </w:numPr>
        <w:tabs>
          <w:tab w:val="clear" w:pos="720"/>
        </w:tabs>
        <w:spacing w:before="240" w:after="0" w:line="240" w:lineRule="auto"/>
        <w:ind w:left="567" w:hanging="567"/>
        <w:jc w:val="both"/>
        <w:rPr>
          <w:rFonts w:ascii="Book Antiqua" w:hAnsi="Book Antiqua" w:cs="Arial"/>
          <w:sz w:val="24"/>
          <w:szCs w:val="24"/>
        </w:rPr>
      </w:pPr>
      <w:r w:rsidRPr="007A3BE3">
        <w:rPr>
          <w:rFonts w:ascii="Book Antiqua" w:hAnsi="Book Antiqua" w:cs="Arial"/>
          <w:sz w:val="24"/>
          <w:szCs w:val="24"/>
        </w:rPr>
        <w:t xml:space="preserve">The failure by the judge to consider the expert report and the death certificate, which was said to be an important aspect of the evidence, undermines the credibility findings by the judge.  </w:t>
      </w:r>
      <w:r w:rsidR="0089659C" w:rsidRPr="007A3BE3">
        <w:rPr>
          <w:rFonts w:ascii="Book Antiqua" w:hAnsi="Book Antiqua" w:cs="Arial"/>
          <w:sz w:val="24"/>
          <w:szCs w:val="24"/>
        </w:rPr>
        <w:t xml:space="preserve">In view of my finding regarding the first ground, which fundamentally undermine the decision, it is unnecessary to make further observations in relation to the second.  </w:t>
      </w:r>
      <w:r w:rsidRPr="007A3BE3">
        <w:rPr>
          <w:rFonts w:ascii="Book Antiqua" w:hAnsi="Book Antiqua" w:cs="Arial"/>
          <w:sz w:val="24"/>
          <w:szCs w:val="24"/>
        </w:rPr>
        <w:t>Both parties agreed that t</w:t>
      </w:r>
      <w:r w:rsidR="00937F86" w:rsidRPr="007A3BE3">
        <w:rPr>
          <w:rFonts w:ascii="Book Antiqua" w:hAnsi="Book Antiqua" w:cs="Arial"/>
          <w:sz w:val="24"/>
          <w:szCs w:val="24"/>
        </w:rPr>
        <w:t>he matter should be returned to the First Tier Tribunal for a hearing de novo</w:t>
      </w:r>
      <w:r w:rsidRPr="007A3BE3">
        <w:rPr>
          <w:rFonts w:ascii="Book Antiqua" w:hAnsi="Book Antiqua" w:cs="Arial"/>
          <w:sz w:val="24"/>
          <w:szCs w:val="24"/>
        </w:rPr>
        <w:t xml:space="preserve"> and so that full</w:t>
      </w:r>
      <w:r w:rsidR="0051734F" w:rsidRPr="007A3BE3">
        <w:rPr>
          <w:rFonts w:ascii="Book Antiqua" w:hAnsi="Book Antiqua" w:cs="Arial"/>
          <w:sz w:val="24"/>
          <w:szCs w:val="24"/>
        </w:rPr>
        <w:t xml:space="preserve"> and </w:t>
      </w:r>
      <w:r w:rsidR="00B248BB" w:rsidRPr="007A3BE3">
        <w:rPr>
          <w:rFonts w:ascii="Book Antiqua" w:hAnsi="Book Antiqua" w:cs="Arial"/>
          <w:sz w:val="24"/>
          <w:szCs w:val="24"/>
        </w:rPr>
        <w:t>adequate</w:t>
      </w:r>
      <w:r w:rsidRPr="007A3BE3">
        <w:rPr>
          <w:rFonts w:ascii="Book Antiqua" w:hAnsi="Book Antiqua" w:cs="Arial"/>
          <w:sz w:val="24"/>
          <w:szCs w:val="24"/>
        </w:rPr>
        <w:t xml:space="preserve"> </w:t>
      </w:r>
      <w:r w:rsidR="0051734F" w:rsidRPr="007A3BE3">
        <w:rPr>
          <w:rFonts w:ascii="Book Antiqua" w:hAnsi="Book Antiqua" w:cs="Arial"/>
          <w:sz w:val="24"/>
          <w:szCs w:val="24"/>
        </w:rPr>
        <w:t>findings on credibility could be made</w:t>
      </w:r>
      <w:r w:rsidR="00937F86" w:rsidRPr="007A3BE3">
        <w:rPr>
          <w:rFonts w:ascii="Book Antiqua" w:hAnsi="Book Antiqua" w:cs="Arial"/>
          <w:sz w:val="24"/>
          <w:szCs w:val="24"/>
        </w:rPr>
        <w:t xml:space="preserve">. </w:t>
      </w:r>
    </w:p>
    <w:p w14:paraId="63F98311" w14:textId="59F50D80" w:rsidR="00937F86" w:rsidRPr="007A3BE3" w:rsidRDefault="00937F86" w:rsidP="0051734F">
      <w:pPr>
        <w:numPr>
          <w:ilvl w:val="0"/>
          <w:numId w:val="1"/>
        </w:numPr>
        <w:tabs>
          <w:tab w:val="clear" w:pos="720"/>
        </w:tabs>
        <w:spacing w:before="240" w:after="0" w:line="240" w:lineRule="auto"/>
        <w:ind w:left="567" w:hanging="567"/>
        <w:jc w:val="both"/>
        <w:rPr>
          <w:rFonts w:ascii="Book Antiqua" w:hAnsi="Book Antiqua" w:cs="Arial"/>
          <w:sz w:val="24"/>
          <w:szCs w:val="24"/>
        </w:rPr>
      </w:pPr>
      <w:r w:rsidRPr="00980305">
        <w:rPr>
          <w:rFonts w:ascii="Book Antiqua" w:eastAsia="Times New Roman" w:hAnsi="Book Antiqua" w:cs="Calibri"/>
          <w:color w:val="000000"/>
          <w:sz w:val="24"/>
          <w:szCs w:val="24"/>
          <w:lang w:eastAsia="en-GB"/>
        </w:rPr>
        <w:lastRenderedPageBreak/>
        <w:t>The Judge erred materially for the reasons identified. I set aside the decision pursuant to Section 12(2)(a) of the Tribunals Courts and Enforcement Act 2007 (TCE 2007).  Bearing in mind the nature and extent of the findings to be made the matter should be remitted to the First-tier Tribunal under section 12(2) (b) (i) of the TCE 2007 and further to 7.2 (b) of the Presidential Practice Statement.</w:t>
      </w:r>
    </w:p>
    <w:p w14:paraId="2913C829" w14:textId="77777777" w:rsidR="0051734F" w:rsidRPr="00980305" w:rsidRDefault="0051734F" w:rsidP="0051734F">
      <w:pPr>
        <w:spacing w:before="240" w:after="0" w:line="240" w:lineRule="auto"/>
        <w:ind w:left="567"/>
        <w:jc w:val="both"/>
        <w:rPr>
          <w:rFonts w:ascii="Book Antiqua" w:hAnsi="Book Antiqua" w:cs="Arial"/>
          <w:sz w:val="24"/>
          <w:szCs w:val="24"/>
        </w:rPr>
      </w:pPr>
    </w:p>
    <w:p w14:paraId="35A303EC" w14:textId="76F28C81" w:rsidR="0051734F" w:rsidRPr="007A3BE3" w:rsidRDefault="0051734F" w:rsidP="0051734F">
      <w:pPr>
        <w:jc w:val="both"/>
        <w:rPr>
          <w:rFonts w:ascii="Book Antiqua" w:hAnsi="Book Antiqua" w:cs="Arial"/>
          <w:sz w:val="24"/>
          <w:szCs w:val="24"/>
        </w:rPr>
      </w:pPr>
      <w:r w:rsidRPr="007A3BE3">
        <w:rPr>
          <w:rFonts w:ascii="Book Antiqua" w:hAnsi="Book Antiqua" w:cs="Arial"/>
          <w:b/>
          <w:sz w:val="24"/>
          <w:szCs w:val="24"/>
          <w:u w:val="single"/>
        </w:rPr>
        <w:t>Direction Regarding Anonymity – Rule 14 of the Tribunal Procedure (Upper Tribunal) Rules 2008</w:t>
      </w:r>
    </w:p>
    <w:p w14:paraId="49DA3B3E" w14:textId="77777777" w:rsidR="0051734F" w:rsidRPr="007A3BE3" w:rsidRDefault="0051734F" w:rsidP="0051734F">
      <w:pPr>
        <w:jc w:val="both"/>
        <w:rPr>
          <w:rFonts w:ascii="Book Antiqua" w:hAnsi="Book Antiqua" w:cs="Arial"/>
          <w:sz w:val="24"/>
          <w:szCs w:val="24"/>
        </w:rPr>
      </w:pPr>
    </w:p>
    <w:p w14:paraId="541F9070" w14:textId="77777777" w:rsidR="0051734F" w:rsidRPr="007A3BE3" w:rsidRDefault="0051734F" w:rsidP="0051734F">
      <w:pPr>
        <w:jc w:val="both"/>
        <w:rPr>
          <w:rFonts w:ascii="Book Antiqua" w:hAnsi="Book Antiqua" w:cs="Arial"/>
          <w:sz w:val="24"/>
          <w:szCs w:val="24"/>
        </w:rPr>
      </w:pPr>
      <w:r w:rsidRPr="007A3BE3">
        <w:rPr>
          <w:rFonts w:ascii="Book Antiqua" w:hAnsi="Book Antiqua" w:cs="Arial"/>
          <w:sz w:val="24"/>
          <w:szCs w:val="24"/>
        </w:rPr>
        <w:t xml:space="preserve">Unless and </w:t>
      </w:r>
      <w:r w:rsidRPr="007A3BE3">
        <w:rPr>
          <w:rFonts w:ascii="Book Antiqua" w:hAnsi="Book Antiqua"/>
          <w:sz w:val="24"/>
          <w:szCs w:val="24"/>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14:paraId="7626075A" w14:textId="77777777" w:rsidR="00937F86" w:rsidRPr="00980305" w:rsidRDefault="00937F86" w:rsidP="00937F86">
      <w:pPr>
        <w:spacing w:before="100" w:beforeAutospacing="1" w:after="100" w:afterAutospacing="1" w:line="240" w:lineRule="auto"/>
        <w:rPr>
          <w:rFonts w:eastAsia="Times New Roman" w:cs="Calibri"/>
          <w:color w:val="000000"/>
          <w:sz w:val="24"/>
          <w:szCs w:val="24"/>
          <w:lang w:eastAsia="en-GB"/>
        </w:rPr>
      </w:pPr>
    </w:p>
    <w:p w14:paraId="6733C244" w14:textId="7868B3E4" w:rsidR="00937F86" w:rsidRPr="007A3BE3" w:rsidRDefault="00937F86" w:rsidP="00B16CCF">
      <w:pPr>
        <w:spacing w:before="100" w:beforeAutospacing="1" w:after="100" w:afterAutospacing="1" w:line="240" w:lineRule="auto"/>
        <w:rPr>
          <w:rFonts w:eastAsia="Times New Roman" w:cs="Calibri"/>
          <w:color w:val="000000"/>
          <w:sz w:val="24"/>
          <w:szCs w:val="24"/>
          <w:lang w:eastAsia="en-GB"/>
        </w:rPr>
      </w:pPr>
      <w:r w:rsidRPr="00980305">
        <w:rPr>
          <w:rFonts w:eastAsia="Times New Roman" w:cs="Calibri"/>
          <w:color w:val="000000"/>
          <w:sz w:val="24"/>
          <w:szCs w:val="24"/>
          <w:lang w:eastAsia="en-GB"/>
        </w:rPr>
        <w:t> </w:t>
      </w:r>
    </w:p>
    <w:p w14:paraId="47B0A6B6" w14:textId="22F3FDBE" w:rsidR="00937F86" w:rsidRPr="007A3BE3" w:rsidRDefault="00937F86" w:rsidP="00937F86">
      <w:pPr>
        <w:ind w:left="540" w:hanging="540"/>
        <w:jc w:val="both"/>
        <w:rPr>
          <w:rFonts w:ascii="Book Antiqua" w:hAnsi="Book Antiqua" w:cs="Arial"/>
          <w:sz w:val="24"/>
          <w:szCs w:val="24"/>
        </w:rPr>
      </w:pPr>
      <w:r w:rsidRPr="007A3BE3">
        <w:rPr>
          <w:rFonts w:ascii="Book Antiqua" w:hAnsi="Book Antiqua" w:cs="Arial"/>
          <w:sz w:val="24"/>
          <w:szCs w:val="24"/>
        </w:rPr>
        <w:t>Signed</w:t>
      </w:r>
      <w:r w:rsidRPr="007A3BE3">
        <w:rPr>
          <w:rFonts w:ascii="Book Antiqua" w:hAnsi="Book Antiqua" w:cs="Arial"/>
          <w:sz w:val="24"/>
          <w:szCs w:val="24"/>
        </w:rPr>
        <w:tab/>
      </w:r>
      <w:r w:rsidRPr="007A3BE3">
        <w:rPr>
          <w:rFonts w:ascii="Book Antiqua" w:hAnsi="Book Antiqua" w:cs="Arial"/>
          <w:sz w:val="24"/>
          <w:szCs w:val="24"/>
        </w:rPr>
        <w:tab/>
      </w:r>
      <w:r w:rsidRPr="007A3BE3">
        <w:rPr>
          <w:rFonts w:ascii="Book Antiqua" w:hAnsi="Book Antiqua" w:cs="Arial"/>
          <w:sz w:val="24"/>
          <w:szCs w:val="24"/>
        </w:rPr>
        <w:tab/>
      </w:r>
      <w:r w:rsidRPr="007A3BE3">
        <w:rPr>
          <w:rFonts w:ascii="Book Antiqua" w:hAnsi="Book Antiqua" w:cs="Arial"/>
          <w:sz w:val="24"/>
          <w:szCs w:val="24"/>
        </w:rPr>
        <w:tab/>
      </w:r>
      <w:r w:rsidRPr="007A3BE3">
        <w:rPr>
          <w:rFonts w:ascii="Book Antiqua" w:hAnsi="Book Antiqua" w:cs="Arial"/>
          <w:sz w:val="24"/>
          <w:szCs w:val="24"/>
        </w:rPr>
        <w:tab/>
      </w:r>
      <w:r w:rsidRPr="007A3BE3">
        <w:rPr>
          <w:rFonts w:ascii="Book Antiqua" w:hAnsi="Book Antiqua" w:cs="Arial"/>
          <w:sz w:val="24"/>
          <w:szCs w:val="24"/>
        </w:rPr>
        <w:tab/>
      </w:r>
      <w:r w:rsidRPr="007A3BE3">
        <w:rPr>
          <w:rFonts w:ascii="Book Antiqua" w:hAnsi="Book Antiqua" w:cs="Arial"/>
          <w:sz w:val="24"/>
          <w:szCs w:val="24"/>
        </w:rPr>
        <w:tab/>
      </w:r>
      <w:r w:rsidRPr="007A3BE3">
        <w:rPr>
          <w:rFonts w:ascii="Book Antiqua" w:hAnsi="Book Antiqua" w:cs="Arial"/>
          <w:sz w:val="24"/>
          <w:szCs w:val="24"/>
        </w:rPr>
        <w:tab/>
        <w:t xml:space="preserve">Date    </w:t>
      </w:r>
      <w:r w:rsidR="0051734F" w:rsidRPr="007A3BE3">
        <w:rPr>
          <w:rFonts w:ascii="Book Antiqua" w:hAnsi="Book Antiqua" w:cs="Arial"/>
          <w:sz w:val="24"/>
          <w:szCs w:val="24"/>
        </w:rPr>
        <w:t>24</w:t>
      </w:r>
      <w:r w:rsidR="0051734F" w:rsidRPr="007A3BE3">
        <w:rPr>
          <w:rFonts w:ascii="Book Antiqua" w:hAnsi="Book Antiqua" w:cs="Arial"/>
          <w:sz w:val="24"/>
          <w:szCs w:val="24"/>
          <w:vertAlign w:val="superscript"/>
        </w:rPr>
        <w:t>th</w:t>
      </w:r>
      <w:r w:rsidR="0051734F" w:rsidRPr="007A3BE3">
        <w:rPr>
          <w:rFonts w:ascii="Book Antiqua" w:hAnsi="Book Antiqua" w:cs="Arial"/>
          <w:sz w:val="24"/>
          <w:szCs w:val="24"/>
        </w:rPr>
        <w:t xml:space="preserve"> July 2018</w:t>
      </w:r>
    </w:p>
    <w:p w14:paraId="5EF85F32" w14:textId="33548294" w:rsidR="00937F86" w:rsidRPr="007A3BE3" w:rsidRDefault="004A5C28" w:rsidP="00937F86">
      <w:pPr>
        <w:tabs>
          <w:tab w:val="left" w:pos="2520"/>
        </w:tabs>
        <w:ind w:left="540" w:hanging="540"/>
        <w:jc w:val="both"/>
        <w:rPr>
          <w:rFonts w:ascii="Blackadder ITC" w:hAnsi="Blackadder ITC" w:cs="Arial"/>
          <w:sz w:val="24"/>
          <w:szCs w:val="24"/>
        </w:rPr>
      </w:pPr>
      <w:r w:rsidRPr="007A3BE3">
        <w:rPr>
          <w:rFonts w:ascii="Blackadder ITC" w:hAnsi="Blackadder ITC" w:cs="Arial"/>
          <w:sz w:val="24"/>
          <w:szCs w:val="24"/>
        </w:rPr>
        <w:t>Helen Rimington</w:t>
      </w:r>
    </w:p>
    <w:p w14:paraId="7968DB26" w14:textId="77777777" w:rsidR="00937F86" w:rsidRPr="007A3BE3" w:rsidRDefault="00937F86" w:rsidP="00937F86">
      <w:pPr>
        <w:tabs>
          <w:tab w:val="left" w:pos="2520"/>
        </w:tabs>
        <w:ind w:left="540" w:hanging="540"/>
        <w:jc w:val="both"/>
        <w:rPr>
          <w:rFonts w:ascii="Book Antiqua" w:hAnsi="Book Antiqua" w:cs="Arial"/>
          <w:sz w:val="24"/>
          <w:szCs w:val="24"/>
        </w:rPr>
      </w:pPr>
    </w:p>
    <w:p w14:paraId="25087242" w14:textId="5BAF7AF4" w:rsidR="00937F86" w:rsidRPr="007A3BE3" w:rsidRDefault="00937F86" w:rsidP="000C1E64">
      <w:pPr>
        <w:tabs>
          <w:tab w:val="left" w:pos="2520"/>
        </w:tabs>
        <w:jc w:val="both"/>
        <w:rPr>
          <w:rFonts w:ascii="Book Antiqua" w:hAnsi="Book Antiqua" w:cs="Arial"/>
          <w:sz w:val="24"/>
          <w:szCs w:val="24"/>
        </w:rPr>
      </w:pPr>
      <w:r w:rsidRPr="007A3BE3">
        <w:rPr>
          <w:rFonts w:ascii="Book Antiqua" w:hAnsi="Book Antiqua" w:cs="Arial"/>
          <w:color w:val="000000"/>
          <w:sz w:val="24"/>
          <w:szCs w:val="24"/>
        </w:rPr>
        <w:t xml:space="preserve">Upper Tribunal Judge Rimington </w:t>
      </w:r>
    </w:p>
    <w:p w14:paraId="50140F77" w14:textId="77777777" w:rsidR="00937F86" w:rsidRPr="007A3BE3" w:rsidRDefault="00937F86" w:rsidP="00937F86">
      <w:pPr>
        <w:jc w:val="center"/>
        <w:rPr>
          <w:rFonts w:ascii="Book Antiqua" w:hAnsi="Book Antiqua" w:cs="Arial"/>
          <w:sz w:val="24"/>
          <w:szCs w:val="24"/>
        </w:rPr>
      </w:pPr>
    </w:p>
    <w:sectPr w:rsidR="00937F86" w:rsidRPr="007A3BE3" w:rsidSect="00C2795D">
      <w:headerReference w:type="default" r:id="rId8"/>
      <w:footerReference w:type="default" r:id="rId9"/>
      <w:headerReference w:type="first" r:id="rId10"/>
      <w:footerReference w:type="first" r:id="rId11"/>
      <w:pgSz w:w="11906" w:h="16838" w:code="9"/>
      <w:pgMar w:top="709" w:right="1416"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E8D0E" w14:textId="77777777" w:rsidR="00BB0E0B" w:rsidRDefault="00BB0E0B" w:rsidP="00C640B9">
      <w:pPr>
        <w:spacing w:after="0" w:line="240" w:lineRule="auto"/>
      </w:pPr>
      <w:r>
        <w:separator/>
      </w:r>
    </w:p>
  </w:endnote>
  <w:endnote w:type="continuationSeparator" w:id="0">
    <w:p w14:paraId="544ED4E7" w14:textId="77777777" w:rsidR="00BB0E0B" w:rsidRDefault="00BB0E0B" w:rsidP="00C64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94275" w14:textId="015DDB7C" w:rsidR="003639B1" w:rsidRPr="00C2795D" w:rsidRDefault="00BB0E0B" w:rsidP="003639B1">
    <w:pPr>
      <w:pStyle w:val="Footer"/>
      <w:jc w:val="center"/>
      <w:rPr>
        <w:rFonts w:ascii="Book Antiqua" w:hAnsi="Book Antiqua" w:cs="Arial"/>
      </w:rPr>
    </w:pPr>
    <w:r w:rsidRPr="00C2795D">
      <w:rPr>
        <w:rStyle w:val="PageNumber"/>
        <w:rFonts w:ascii="Book Antiqua" w:hAnsi="Book Antiqua" w:cs="Arial"/>
      </w:rPr>
      <w:fldChar w:fldCharType="begin"/>
    </w:r>
    <w:r w:rsidRPr="00C2795D">
      <w:rPr>
        <w:rStyle w:val="PageNumber"/>
        <w:rFonts w:ascii="Book Antiqua" w:hAnsi="Book Antiqua" w:cs="Arial"/>
      </w:rPr>
      <w:instrText xml:space="preserve"> PAGE </w:instrText>
    </w:r>
    <w:r w:rsidRPr="00C2795D">
      <w:rPr>
        <w:rStyle w:val="PageNumber"/>
        <w:rFonts w:ascii="Book Antiqua" w:hAnsi="Book Antiqua" w:cs="Arial"/>
      </w:rPr>
      <w:fldChar w:fldCharType="separate"/>
    </w:r>
    <w:r w:rsidR="00803181">
      <w:rPr>
        <w:rStyle w:val="PageNumber"/>
        <w:rFonts w:ascii="Book Antiqua" w:hAnsi="Book Antiqua" w:cs="Arial"/>
        <w:noProof/>
      </w:rPr>
      <w:t>3</w:t>
    </w:r>
    <w:r w:rsidRPr="00C2795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B9569" w14:textId="77777777" w:rsidR="003639B1" w:rsidRPr="00C2795D" w:rsidRDefault="00BB0E0B" w:rsidP="003639B1">
    <w:pPr>
      <w:jc w:val="center"/>
      <w:rPr>
        <w:rFonts w:ascii="Book Antiqua" w:hAnsi="Book Antiqua" w:cs="Arial"/>
        <w:b/>
        <w:sz w:val="24"/>
        <w:szCs w:val="24"/>
      </w:rPr>
    </w:pPr>
    <w:r w:rsidRPr="00C2795D">
      <w:rPr>
        <w:rFonts w:ascii="Book Antiqua" w:hAnsi="Book Antiqua" w:cs="Arial"/>
        <w:b/>
        <w:spacing w:val="-6"/>
        <w:sz w:val="24"/>
        <w:szCs w:val="24"/>
      </w:rPr>
      <w:t>©</w:t>
    </w:r>
    <w:r w:rsidRPr="00C2795D">
      <w:rPr>
        <w:rFonts w:ascii="Book Antiqua" w:hAnsi="Book Antiqua" w:cs="Arial"/>
        <w:b/>
        <w:sz w:val="24"/>
        <w:szCs w:val="24"/>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03150" w14:textId="77777777" w:rsidR="00BB0E0B" w:rsidRDefault="00BB0E0B" w:rsidP="00C640B9">
      <w:pPr>
        <w:spacing w:after="0" w:line="240" w:lineRule="auto"/>
      </w:pPr>
      <w:r>
        <w:separator/>
      </w:r>
    </w:p>
  </w:footnote>
  <w:footnote w:type="continuationSeparator" w:id="0">
    <w:p w14:paraId="7CB5ABF3" w14:textId="77777777" w:rsidR="00BB0E0B" w:rsidRDefault="00BB0E0B" w:rsidP="00C64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7C1D5" w14:textId="60AFACC4" w:rsidR="003639B1" w:rsidRDefault="00BB0E0B" w:rsidP="003639B1">
    <w:pPr>
      <w:pStyle w:val="Header"/>
      <w:jc w:val="right"/>
      <w:rPr>
        <w:rFonts w:ascii="Book Antiqua" w:hAnsi="Book Antiqua" w:cs="Arial"/>
        <w:sz w:val="16"/>
        <w:szCs w:val="16"/>
      </w:rPr>
    </w:pPr>
    <w:r w:rsidRPr="00C4371F">
      <w:rPr>
        <w:rFonts w:ascii="Book Antiqua" w:hAnsi="Book Antiqua" w:cs="Arial"/>
        <w:sz w:val="16"/>
        <w:szCs w:val="16"/>
      </w:rPr>
      <w:t>Appeal Number:</w:t>
    </w:r>
    <w:r>
      <w:rPr>
        <w:rFonts w:ascii="Book Antiqua" w:hAnsi="Book Antiqua" w:cs="Arial"/>
        <w:sz w:val="16"/>
        <w:szCs w:val="16"/>
      </w:rPr>
      <w:t xml:space="preserve"> </w:t>
    </w:r>
    <w:r w:rsidR="00C640B9">
      <w:rPr>
        <w:rFonts w:ascii="Book Antiqua" w:hAnsi="Book Antiqua" w:cs="Arial"/>
        <w:sz w:val="16"/>
        <w:szCs w:val="16"/>
      </w:rPr>
      <w:t>PA/07486/2017</w:t>
    </w:r>
  </w:p>
  <w:p w14:paraId="4E83CBD2" w14:textId="77777777" w:rsidR="00C640B9" w:rsidRPr="00C4371F" w:rsidRDefault="00C640B9" w:rsidP="003639B1">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2379D" w14:textId="77777777" w:rsidR="003639B1" w:rsidRPr="00C4371F" w:rsidRDefault="00BB0E0B">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C59CC"/>
    <w:multiLevelType w:val="hybridMultilevel"/>
    <w:tmpl w:val="E752FA04"/>
    <w:lvl w:ilvl="0" w:tplc="0809000F">
      <w:start w:val="1"/>
      <w:numFmt w:val="decimal"/>
      <w:lvlText w:val="%1."/>
      <w:lvlJc w:val="left"/>
      <w:pPr>
        <w:tabs>
          <w:tab w:val="num" w:pos="720"/>
        </w:tabs>
        <w:ind w:left="720" w:hanging="360"/>
      </w:pPr>
    </w:lvl>
    <w:lvl w:ilvl="1" w:tplc="CAC8F7A0">
      <w:start w:val="1"/>
      <w:numFmt w:val="lowerLetter"/>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27902A36">
      <w:start w:val="1"/>
      <w:numFmt w:val="lowerRoman"/>
      <w:suff w:val="space"/>
      <w:lvlText w:val="(%6)"/>
      <w:lvlJc w:val="left"/>
      <w:pPr>
        <w:ind w:left="1701" w:firstLine="0"/>
      </w:pPr>
      <w:rPr>
        <w:rFonts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02F8B50-CDA7-4FB6-9755-4FE46805F2EC}"/>
    <w:docVar w:name="dgnword-eventsink" w:val="683606712"/>
  </w:docVars>
  <w:rsids>
    <w:rsidRoot w:val="00937F86"/>
    <w:rsid w:val="00041F0E"/>
    <w:rsid w:val="000C1E64"/>
    <w:rsid w:val="000F0DB4"/>
    <w:rsid w:val="001B2398"/>
    <w:rsid w:val="00233B68"/>
    <w:rsid w:val="002E4413"/>
    <w:rsid w:val="0035378C"/>
    <w:rsid w:val="00356F1B"/>
    <w:rsid w:val="003B2FAD"/>
    <w:rsid w:val="0049566B"/>
    <w:rsid w:val="004A5C28"/>
    <w:rsid w:val="0051734F"/>
    <w:rsid w:val="00547A81"/>
    <w:rsid w:val="00653579"/>
    <w:rsid w:val="006B4C10"/>
    <w:rsid w:val="006B6EE3"/>
    <w:rsid w:val="00793C20"/>
    <w:rsid w:val="007A3BE3"/>
    <w:rsid w:val="00803181"/>
    <w:rsid w:val="00811A26"/>
    <w:rsid w:val="0085552F"/>
    <w:rsid w:val="00881F9D"/>
    <w:rsid w:val="0089659C"/>
    <w:rsid w:val="00937F86"/>
    <w:rsid w:val="009D5AD7"/>
    <w:rsid w:val="00A25EC7"/>
    <w:rsid w:val="00A93E69"/>
    <w:rsid w:val="00B16CCF"/>
    <w:rsid w:val="00B248BB"/>
    <w:rsid w:val="00B6354E"/>
    <w:rsid w:val="00B653A4"/>
    <w:rsid w:val="00BB0E0B"/>
    <w:rsid w:val="00C2795D"/>
    <w:rsid w:val="00C640B9"/>
    <w:rsid w:val="00D91A2D"/>
    <w:rsid w:val="00DF4591"/>
    <w:rsid w:val="00E77787"/>
    <w:rsid w:val="00E941DC"/>
    <w:rsid w:val="00EA6E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0F3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F8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37F86"/>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HeaderChar">
    <w:name w:val="Header Char"/>
    <w:basedOn w:val="DefaultParagraphFont"/>
    <w:link w:val="Header"/>
    <w:rsid w:val="00937F86"/>
    <w:rPr>
      <w:rFonts w:ascii="Times New Roman" w:eastAsia="Times New Roman" w:hAnsi="Times New Roman" w:cs="Times New Roman"/>
      <w:sz w:val="24"/>
      <w:szCs w:val="24"/>
      <w:lang w:eastAsia="en-GB"/>
    </w:rPr>
  </w:style>
  <w:style w:type="paragraph" w:styleId="Footer">
    <w:name w:val="footer"/>
    <w:basedOn w:val="Normal"/>
    <w:link w:val="FooterChar"/>
    <w:rsid w:val="00937F86"/>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FooterChar">
    <w:name w:val="Footer Char"/>
    <w:basedOn w:val="DefaultParagraphFont"/>
    <w:link w:val="Footer"/>
    <w:rsid w:val="00937F86"/>
    <w:rPr>
      <w:rFonts w:ascii="Times New Roman" w:eastAsia="Times New Roman" w:hAnsi="Times New Roman" w:cs="Times New Roman"/>
      <w:sz w:val="24"/>
      <w:szCs w:val="24"/>
      <w:lang w:eastAsia="en-GB"/>
    </w:rPr>
  </w:style>
  <w:style w:type="character" w:styleId="PageNumber">
    <w:name w:val="page number"/>
    <w:rsid w:val="00937F86"/>
  </w:style>
  <w:style w:type="paragraph" w:styleId="ListParagraph">
    <w:name w:val="List Paragraph"/>
    <w:basedOn w:val="Normal"/>
    <w:uiPriority w:val="34"/>
    <w:qFormat/>
    <w:rsid w:val="00937F86"/>
    <w:pPr>
      <w:ind w:left="720"/>
      <w:contextualSpacing/>
    </w:pPr>
  </w:style>
  <w:style w:type="paragraph" w:styleId="BalloonText">
    <w:name w:val="Balloon Text"/>
    <w:basedOn w:val="Normal"/>
    <w:link w:val="BalloonTextChar"/>
    <w:uiPriority w:val="99"/>
    <w:semiHidden/>
    <w:unhideWhenUsed/>
    <w:rsid w:val="00C640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0B9"/>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2018-08-13T16:03:00Z</dcterms:created>
  <dcterms:modified xsi:type="dcterms:W3CDTF">2018-08-13T16:03:00Z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