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Default="00FE0046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596227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  <w:sz w:val="22"/>
          <w:szCs w:val="22"/>
        </w:rPr>
      </w:pPr>
      <w:r w:rsidRPr="00596227">
        <w:rPr>
          <w:rFonts w:ascii="Book Antiqua" w:hAnsi="Book Antiqua" w:cs="Arial"/>
          <w:b/>
          <w:color w:val="000000"/>
          <w:sz w:val="22"/>
          <w:szCs w:val="22"/>
        </w:rPr>
        <w:t xml:space="preserve">Upper Tribunal </w:t>
      </w:r>
    </w:p>
    <w:p w:rsidR="00933B65" w:rsidRPr="00596227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  <w:sz w:val="22"/>
          <w:szCs w:val="22"/>
        </w:rPr>
      </w:pPr>
      <w:r w:rsidRPr="00596227">
        <w:rPr>
          <w:rFonts w:ascii="Book Antiqua" w:hAnsi="Book Antiqua" w:cs="Arial"/>
          <w:b/>
          <w:color w:val="000000"/>
          <w:sz w:val="22"/>
          <w:szCs w:val="22"/>
        </w:rPr>
        <w:t>(Immigration and Asylum Chamber)</w:t>
      </w:r>
      <w:r w:rsidRPr="00596227">
        <w:rPr>
          <w:rFonts w:ascii="Book Antiqua" w:hAnsi="Book Antiqua" w:cs="Arial"/>
          <w:b/>
          <w:color w:val="000000"/>
          <w:sz w:val="22"/>
          <w:szCs w:val="22"/>
        </w:rPr>
        <w:tab/>
      </w:r>
      <w:r w:rsidRPr="00596227">
        <w:rPr>
          <w:rFonts w:ascii="Book Antiqua" w:hAnsi="Book Antiqua" w:cs="Arial"/>
          <w:color w:val="000000"/>
          <w:sz w:val="22"/>
          <w:szCs w:val="22"/>
        </w:rPr>
        <w:t xml:space="preserve">Appeal Number: </w:t>
      </w:r>
      <w:bookmarkStart w:id="0" w:name="_GoBack"/>
      <w:r w:rsidR="00524905" w:rsidRPr="00596227">
        <w:rPr>
          <w:rFonts w:ascii="Book Antiqua" w:hAnsi="Book Antiqua" w:cs="Arial"/>
          <w:caps/>
          <w:color w:val="000000"/>
          <w:sz w:val="22"/>
          <w:szCs w:val="22"/>
        </w:rPr>
        <w:t>PA/07536/2017</w:t>
      </w:r>
      <w:bookmarkEnd w:id="0"/>
    </w:p>
    <w:p w:rsidR="00933B65" w:rsidRPr="00596227" w:rsidRDefault="00933B65" w:rsidP="00933B65">
      <w:pPr>
        <w:jc w:val="center"/>
        <w:rPr>
          <w:rFonts w:ascii="Book Antiqua" w:hAnsi="Book Antiqua" w:cs="Arial"/>
          <w:color w:val="000000"/>
          <w:sz w:val="22"/>
          <w:szCs w:val="22"/>
        </w:rPr>
      </w:pP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  <w:u w:val="single"/>
        </w:rPr>
      </w:pPr>
      <w:r w:rsidRPr="00596227">
        <w:rPr>
          <w:rFonts w:ascii="Book Antiqua" w:hAnsi="Book Antiqua" w:cs="Arial"/>
          <w:b/>
          <w:color w:val="000000"/>
          <w:sz w:val="22"/>
          <w:szCs w:val="22"/>
          <w:u w:val="single"/>
        </w:rPr>
        <w:t>THE IMMIGRATION ACTS</w:t>
      </w: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5"/>
        <w:gridCol w:w="4813"/>
      </w:tblGrid>
      <w:tr w:rsidR="00933B65" w:rsidRPr="00596227" w:rsidTr="00BE6FB7">
        <w:tc>
          <w:tcPr>
            <w:tcW w:w="4815" w:type="dxa"/>
            <w:shd w:val="clear" w:color="auto" w:fill="auto"/>
          </w:tcPr>
          <w:p w:rsidR="00933B65" w:rsidRPr="00596227" w:rsidRDefault="00933B65" w:rsidP="002154EF">
            <w:pPr>
              <w:jc w:val="both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596227">
              <w:rPr>
                <w:rFonts w:ascii="Book Antiqua" w:hAnsi="Book Antiqua" w:cs="Arial"/>
                <w:b/>
                <w:sz w:val="22"/>
                <w:szCs w:val="22"/>
              </w:rPr>
              <w:t xml:space="preserve">Heard at </w:t>
            </w:r>
            <w:r w:rsidR="008B5B9B" w:rsidRPr="00596227">
              <w:rPr>
                <w:rFonts w:ascii="Book Antiqua" w:hAnsi="Book Antiqua" w:cs="Arial"/>
                <w:b/>
                <w:sz w:val="22"/>
                <w:szCs w:val="22"/>
              </w:rPr>
              <w:t xml:space="preserve">Glasgow </w:t>
            </w:r>
          </w:p>
        </w:tc>
        <w:tc>
          <w:tcPr>
            <w:tcW w:w="4813" w:type="dxa"/>
            <w:shd w:val="clear" w:color="auto" w:fill="auto"/>
          </w:tcPr>
          <w:p w:rsidR="00933B65" w:rsidRPr="00596227" w:rsidRDefault="00C013D8" w:rsidP="002154EF">
            <w:pPr>
              <w:jc w:val="both"/>
              <w:rPr>
                <w:rFonts w:ascii="Book Antiqua" w:hAnsi="Book Antiqua" w:cs="Arial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color w:val="000000"/>
                <w:sz w:val="22"/>
                <w:szCs w:val="22"/>
              </w:rPr>
              <w:t xml:space="preserve">Decision &amp; Reasons Promulgated </w:t>
            </w:r>
          </w:p>
        </w:tc>
      </w:tr>
      <w:tr w:rsidR="00933B65" w:rsidRPr="00596227" w:rsidTr="00BE6FB7">
        <w:tc>
          <w:tcPr>
            <w:tcW w:w="4815" w:type="dxa"/>
            <w:shd w:val="clear" w:color="auto" w:fill="auto"/>
          </w:tcPr>
          <w:p w:rsidR="00933B65" w:rsidRPr="00596227" w:rsidRDefault="006D2D9A" w:rsidP="002154EF">
            <w:pPr>
              <w:jc w:val="both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596227">
              <w:rPr>
                <w:rFonts w:ascii="Book Antiqua" w:hAnsi="Book Antiqua" w:cs="Arial"/>
                <w:b/>
                <w:sz w:val="22"/>
                <w:szCs w:val="22"/>
              </w:rPr>
              <w:t>o</w:t>
            </w:r>
            <w:r w:rsidR="00933B65" w:rsidRPr="00596227">
              <w:rPr>
                <w:rFonts w:ascii="Book Antiqua" w:hAnsi="Book Antiqua" w:cs="Arial"/>
                <w:b/>
                <w:sz w:val="22"/>
                <w:szCs w:val="22"/>
              </w:rPr>
              <w:t xml:space="preserve">n </w:t>
            </w:r>
            <w:r w:rsidR="00524905" w:rsidRPr="00596227">
              <w:rPr>
                <w:rFonts w:ascii="Book Antiqua" w:hAnsi="Book Antiqua" w:cs="Arial"/>
                <w:b/>
                <w:sz w:val="22"/>
                <w:szCs w:val="22"/>
              </w:rPr>
              <w:t>28 June 2018</w:t>
            </w:r>
          </w:p>
        </w:tc>
        <w:tc>
          <w:tcPr>
            <w:tcW w:w="4813" w:type="dxa"/>
            <w:shd w:val="clear" w:color="auto" w:fill="auto"/>
          </w:tcPr>
          <w:p w:rsidR="00933B65" w:rsidRPr="00596227" w:rsidRDefault="00C013D8" w:rsidP="002154EF">
            <w:pPr>
              <w:jc w:val="both"/>
              <w:rPr>
                <w:rFonts w:ascii="Book Antiqua" w:hAnsi="Book Antiqua" w:cs="Arial"/>
                <w:b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sz w:val="22"/>
                <w:szCs w:val="22"/>
              </w:rPr>
              <w:t>on 13 July 2018</w:t>
            </w:r>
          </w:p>
        </w:tc>
      </w:tr>
      <w:tr w:rsidR="00933B65" w:rsidRPr="00596227" w:rsidTr="00BE6FB7">
        <w:tc>
          <w:tcPr>
            <w:tcW w:w="4815" w:type="dxa"/>
            <w:shd w:val="clear" w:color="auto" w:fill="auto"/>
          </w:tcPr>
          <w:p w:rsidR="00933B65" w:rsidRPr="00596227" w:rsidRDefault="00933B65" w:rsidP="002154EF">
            <w:pPr>
              <w:jc w:val="both"/>
              <w:rPr>
                <w:rFonts w:ascii="Book Antiqua" w:hAnsi="Book Antiqua" w:cs="Arial"/>
                <w:b/>
                <w:sz w:val="22"/>
                <w:szCs w:val="22"/>
              </w:rPr>
            </w:pPr>
          </w:p>
        </w:tc>
        <w:tc>
          <w:tcPr>
            <w:tcW w:w="4813" w:type="dxa"/>
            <w:shd w:val="clear" w:color="auto" w:fill="auto"/>
          </w:tcPr>
          <w:p w:rsidR="00933B65" w:rsidRPr="00596227" w:rsidRDefault="00933B65" w:rsidP="002154EF">
            <w:pPr>
              <w:jc w:val="both"/>
              <w:rPr>
                <w:rFonts w:ascii="Book Antiqua" w:hAnsi="Book Antiqua" w:cs="Arial"/>
                <w:b/>
                <w:sz w:val="22"/>
                <w:szCs w:val="22"/>
              </w:rPr>
            </w:pPr>
          </w:p>
        </w:tc>
      </w:tr>
    </w:tbl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  <w:r w:rsidRPr="00596227">
        <w:rPr>
          <w:rFonts w:ascii="Book Antiqua" w:hAnsi="Book Antiqua" w:cs="Arial"/>
          <w:b/>
          <w:sz w:val="22"/>
          <w:szCs w:val="22"/>
        </w:rPr>
        <w:t>Before</w:t>
      </w: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color w:val="000000"/>
          <w:sz w:val="22"/>
          <w:szCs w:val="22"/>
        </w:rPr>
      </w:pPr>
      <w:r w:rsidRPr="00596227">
        <w:rPr>
          <w:rFonts w:ascii="Book Antiqua" w:hAnsi="Book Antiqua" w:cs="Arial"/>
          <w:b/>
          <w:color w:val="000000"/>
          <w:sz w:val="22"/>
          <w:szCs w:val="22"/>
        </w:rPr>
        <w:t xml:space="preserve">UPPER TRIBUNAL JUDGE </w:t>
      </w:r>
      <w:r w:rsidR="008B5B9B" w:rsidRPr="00596227">
        <w:rPr>
          <w:rFonts w:ascii="Book Antiqua" w:hAnsi="Book Antiqua" w:cs="Arial"/>
          <w:b/>
          <w:color w:val="000000"/>
          <w:sz w:val="22"/>
          <w:szCs w:val="22"/>
        </w:rPr>
        <w:t>MACLEMAN</w:t>
      </w: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  <w:r w:rsidRPr="00596227">
        <w:rPr>
          <w:rFonts w:ascii="Book Antiqua" w:hAnsi="Book Antiqua" w:cs="Arial"/>
          <w:b/>
          <w:sz w:val="22"/>
          <w:szCs w:val="22"/>
        </w:rPr>
        <w:t>Between</w:t>
      </w: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933B65" w:rsidRPr="00596227" w:rsidRDefault="00524905" w:rsidP="00933B65">
      <w:pPr>
        <w:jc w:val="center"/>
        <w:rPr>
          <w:rFonts w:ascii="Book Antiqua" w:hAnsi="Book Antiqua" w:cs="Arial"/>
          <w:b/>
          <w:sz w:val="22"/>
          <w:szCs w:val="22"/>
        </w:rPr>
      </w:pPr>
      <w:r w:rsidRPr="00596227">
        <w:rPr>
          <w:rFonts w:ascii="Book Antiqua" w:hAnsi="Book Antiqua" w:cs="Arial"/>
          <w:b/>
          <w:sz w:val="22"/>
          <w:szCs w:val="22"/>
        </w:rPr>
        <w:t>M F N</w:t>
      </w:r>
      <w:r w:rsidR="008B5B9B" w:rsidRPr="00596227">
        <w:rPr>
          <w:rFonts w:ascii="Book Antiqua" w:hAnsi="Book Antiqua" w:cs="Arial"/>
          <w:b/>
          <w:sz w:val="22"/>
          <w:szCs w:val="22"/>
        </w:rPr>
        <w:t xml:space="preserve"> </w:t>
      </w:r>
    </w:p>
    <w:p w:rsidR="00933B65" w:rsidRPr="00596227" w:rsidRDefault="00933B65" w:rsidP="00933B65">
      <w:pPr>
        <w:jc w:val="right"/>
        <w:rPr>
          <w:rFonts w:ascii="Book Antiqua" w:hAnsi="Book Antiqua" w:cs="Arial"/>
          <w:sz w:val="22"/>
          <w:szCs w:val="22"/>
          <w:u w:val="single"/>
        </w:rPr>
      </w:pPr>
      <w:r w:rsidRPr="00596227">
        <w:rPr>
          <w:rFonts w:ascii="Book Antiqua" w:hAnsi="Book Antiqua" w:cs="Arial"/>
          <w:sz w:val="22"/>
          <w:szCs w:val="22"/>
          <w:u w:val="single"/>
        </w:rPr>
        <w:t>Appellant</w:t>
      </w: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  <w:r w:rsidRPr="00596227">
        <w:rPr>
          <w:rFonts w:ascii="Book Antiqua" w:hAnsi="Book Antiqua" w:cs="Arial"/>
          <w:b/>
          <w:sz w:val="22"/>
          <w:szCs w:val="22"/>
        </w:rPr>
        <w:t>and</w:t>
      </w:r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D44C2B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  <w:r w:rsidRPr="00596227">
        <w:rPr>
          <w:rFonts w:ascii="Book Antiqua" w:hAnsi="Book Antiqua" w:cs="Arial"/>
          <w:b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596227">
        <w:rPr>
          <w:rFonts w:ascii="Book Antiqua" w:hAnsi="Book Antiqua" w:cs="Arial"/>
          <w:b/>
          <w:sz w:val="22"/>
          <w:szCs w:val="22"/>
        </w:rPr>
        <w:instrText xml:space="preserve"> FORMTEXT </w:instrText>
      </w:r>
      <w:r w:rsidRPr="00596227">
        <w:rPr>
          <w:rFonts w:ascii="Book Antiqua" w:hAnsi="Book Antiqua" w:cs="Arial"/>
          <w:b/>
          <w:sz w:val="22"/>
          <w:szCs w:val="22"/>
        </w:rPr>
      </w:r>
      <w:r w:rsidRPr="00596227">
        <w:rPr>
          <w:rFonts w:ascii="Book Antiqua" w:hAnsi="Book Antiqua" w:cs="Arial"/>
          <w:b/>
          <w:sz w:val="22"/>
          <w:szCs w:val="22"/>
        </w:rPr>
        <w:fldChar w:fldCharType="separate"/>
      </w:r>
      <w:r w:rsidRPr="00596227">
        <w:rPr>
          <w:rFonts w:ascii="Book Antiqua" w:hAnsi="Book Antiqua" w:cs="Arial"/>
          <w:b/>
          <w:noProof/>
          <w:sz w:val="22"/>
          <w:szCs w:val="22"/>
        </w:rPr>
        <w:t>THE SECRETARY OF STATE FOR THE HOME DEPARTMENT</w:t>
      </w:r>
      <w:r w:rsidRPr="00596227">
        <w:rPr>
          <w:rFonts w:ascii="Book Antiqua" w:hAnsi="Book Antiqua" w:cs="Arial"/>
          <w:b/>
          <w:sz w:val="22"/>
          <w:szCs w:val="22"/>
        </w:rPr>
        <w:fldChar w:fldCharType="end"/>
      </w:r>
      <w:bookmarkEnd w:id="1"/>
    </w:p>
    <w:p w:rsidR="00933B65" w:rsidRPr="00596227" w:rsidRDefault="00933B65" w:rsidP="00933B65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933B65" w:rsidRPr="00596227" w:rsidRDefault="00933B65" w:rsidP="008A64A7">
      <w:pPr>
        <w:jc w:val="right"/>
        <w:rPr>
          <w:rFonts w:ascii="Book Antiqua" w:hAnsi="Book Antiqua" w:cs="Arial"/>
          <w:sz w:val="22"/>
          <w:szCs w:val="22"/>
          <w:u w:val="single"/>
        </w:rPr>
      </w:pPr>
      <w:r w:rsidRPr="00596227">
        <w:rPr>
          <w:rFonts w:ascii="Book Antiqua" w:hAnsi="Book Antiqua" w:cs="Arial"/>
          <w:sz w:val="22"/>
          <w:szCs w:val="22"/>
          <w:u w:val="single"/>
        </w:rPr>
        <w:t>Respondent</w:t>
      </w:r>
    </w:p>
    <w:p w:rsidR="00933B65" w:rsidRPr="00596227" w:rsidRDefault="00933B65" w:rsidP="00933B65">
      <w:pPr>
        <w:rPr>
          <w:rFonts w:ascii="Book Antiqua" w:hAnsi="Book Antiqua" w:cs="Arial"/>
          <w:sz w:val="22"/>
          <w:szCs w:val="22"/>
        </w:rPr>
      </w:pPr>
    </w:p>
    <w:p w:rsidR="00933B65" w:rsidRPr="00596227" w:rsidRDefault="00933B65" w:rsidP="00933B65">
      <w:pPr>
        <w:tabs>
          <w:tab w:val="left" w:pos="2520"/>
        </w:tabs>
        <w:rPr>
          <w:rFonts w:ascii="Book Antiqua" w:hAnsi="Book Antiqua" w:cs="Arial"/>
          <w:sz w:val="22"/>
          <w:szCs w:val="22"/>
        </w:rPr>
      </w:pPr>
      <w:r w:rsidRPr="00596227">
        <w:rPr>
          <w:rFonts w:ascii="Book Antiqua" w:hAnsi="Book Antiqua" w:cs="Arial"/>
          <w:sz w:val="22"/>
          <w:szCs w:val="22"/>
        </w:rPr>
        <w:t>For the Appellant:</w:t>
      </w:r>
      <w:r w:rsidRPr="00596227">
        <w:rPr>
          <w:rFonts w:ascii="Book Antiqua" w:hAnsi="Book Antiqua" w:cs="Arial"/>
          <w:sz w:val="22"/>
          <w:szCs w:val="22"/>
        </w:rPr>
        <w:tab/>
      </w:r>
      <w:r w:rsidR="007C246B" w:rsidRPr="00596227">
        <w:rPr>
          <w:rFonts w:ascii="Book Antiqua" w:hAnsi="Book Antiqua" w:cs="Arial"/>
          <w:sz w:val="22"/>
          <w:szCs w:val="22"/>
        </w:rPr>
        <w:t xml:space="preserve">Mr S Winter, Advocate, instructed by Katani &amp; Co, </w:t>
      </w:r>
      <w:r w:rsidR="003D7D3D" w:rsidRPr="00596227">
        <w:rPr>
          <w:rFonts w:ascii="Book Antiqua" w:hAnsi="Book Antiqua" w:cs="Arial"/>
          <w:sz w:val="22"/>
          <w:szCs w:val="22"/>
        </w:rPr>
        <w:t>Solicitors</w:t>
      </w:r>
    </w:p>
    <w:p w:rsidR="00933B65" w:rsidRPr="00596227" w:rsidRDefault="00933B65" w:rsidP="008A64A7">
      <w:pPr>
        <w:tabs>
          <w:tab w:val="left" w:pos="2520"/>
        </w:tabs>
        <w:rPr>
          <w:rFonts w:ascii="Book Antiqua" w:hAnsi="Book Antiqua" w:cs="Arial"/>
          <w:sz w:val="22"/>
          <w:szCs w:val="22"/>
        </w:rPr>
      </w:pPr>
      <w:r w:rsidRPr="00596227">
        <w:rPr>
          <w:rFonts w:ascii="Book Antiqua" w:hAnsi="Book Antiqua" w:cs="Arial"/>
          <w:sz w:val="22"/>
          <w:szCs w:val="22"/>
        </w:rPr>
        <w:t>For the Respondent:</w:t>
      </w:r>
      <w:r w:rsidRPr="00596227">
        <w:rPr>
          <w:rFonts w:ascii="Book Antiqua" w:hAnsi="Book Antiqua" w:cs="Arial"/>
          <w:sz w:val="22"/>
          <w:szCs w:val="22"/>
        </w:rPr>
        <w:tab/>
      </w:r>
      <w:r w:rsidR="00D20396" w:rsidRPr="00596227">
        <w:rPr>
          <w:rFonts w:ascii="Book Antiqua" w:hAnsi="Book Antiqua" w:cs="Arial"/>
          <w:sz w:val="22"/>
          <w:szCs w:val="22"/>
        </w:rPr>
        <w:t xml:space="preserve">Mr A Govan, </w:t>
      </w:r>
      <w:r w:rsidR="003D7D3D" w:rsidRPr="00596227">
        <w:rPr>
          <w:rFonts w:ascii="Book Antiqua" w:hAnsi="Book Antiqua" w:cs="Arial"/>
          <w:sz w:val="22"/>
          <w:szCs w:val="22"/>
        </w:rPr>
        <w:t>Senior</w:t>
      </w:r>
      <w:r w:rsidRPr="00596227">
        <w:rPr>
          <w:rFonts w:ascii="Book Antiqua" w:hAnsi="Book Antiqua" w:cs="Arial"/>
          <w:sz w:val="22"/>
          <w:szCs w:val="22"/>
        </w:rPr>
        <w:t xml:space="preserve"> Home Office Presenting Officer</w:t>
      </w:r>
    </w:p>
    <w:p w:rsidR="00933B65" w:rsidRPr="00596227" w:rsidRDefault="00933B65" w:rsidP="00933B65">
      <w:pPr>
        <w:tabs>
          <w:tab w:val="left" w:pos="2520"/>
        </w:tabs>
        <w:jc w:val="center"/>
        <w:rPr>
          <w:rFonts w:ascii="Book Antiqua" w:hAnsi="Book Antiqua" w:cs="Arial"/>
          <w:sz w:val="22"/>
          <w:szCs w:val="22"/>
        </w:rPr>
      </w:pPr>
    </w:p>
    <w:p w:rsidR="00321C6F" w:rsidRPr="00596227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2"/>
          <w:szCs w:val="22"/>
        </w:rPr>
      </w:pPr>
      <w:r w:rsidRPr="00596227">
        <w:rPr>
          <w:rFonts w:ascii="Book Antiqua" w:hAnsi="Book Antiqua" w:cs="Arial"/>
          <w:b/>
          <w:sz w:val="22"/>
          <w:szCs w:val="22"/>
          <w:u w:val="single"/>
        </w:rPr>
        <w:t>DETERMINATION AND REASONS</w:t>
      </w:r>
    </w:p>
    <w:p w:rsidR="004236E4" w:rsidRPr="00596227" w:rsidRDefault="00321C6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 w:cs="Arial"/>
          <w:sz w:val="22"/>
          <w:szCs w:val="22"/>
        </w:rPr>
        <w:t xml:space="preserve">The </w:t>
      </w:r>
      <w:r w:rsidR="0023620D" w:rsidRPr="00596227">
        <w:rPr>
          <w:rFonts w:ascii="Book Antiqua" w:hAnsi="Book Antiqua" w:cs="Arial"/>
          <w:sz w:val="22"/>
          <w:szCs w:val="22"/>
        </w:rPr>
        <w:t>appellant appeals</w:t>
      </w:r>
      <w:r w:rsidR="004236E4" w:rsidRPr="00596227">
        <w:rPr>
          <w:rFonts w:ascii="Book Antiqua" w:hAnsi="Book Antiqua" w:cs="Arial"/>
          <w:sz w:val="22"/>
          <w:szCs w:val="22"/>
        </w:rPr>
        <w:t xml:space="preserve"> against a decision by FtT Judge Boyd, promulgated</w:t>
      </w:r>
      <w:r w:rsidR="00E0122A" w:rsidRPr="00596227">
        <w:rPr>
          <w:rFonts w:ascii="Book Antiqua" w:hAnsi="Book Antiqua" w:cs="Arial"/>
          <w:sz w:val="22"/>
          <w:szCs w:val="22"/>
        </w:rPr>
        <w:t xml:space="preserve"> on 30 November 2017.</w:t>
      </w:r>
      <w:r w:rsidR="00B873BE" w:rsidRPr="00596227">
        <w:rPr>
          <w:rFonts w:ascii="Book Antiqua" w:hAnsi="Book Antiqua" w:cs="Arial"/>
          <w:sz w:val="22"/>
          <w:szCs w:val="22"/>
        </w:rPr>
        <w:t xml:space="preserve">  His three grounds are as attached </w:t>
      </w:r>
      <w:r w:rsidR="002E2DBB" w:rsidRPr="00596227">
        <w:rPr>
          <w:rFonts w:ascii="Book Antiqua" w:hAnsi="Book Antiqua" w:cs="Arial"/>
          <w:sz w:val="22"/>
          <w:szCs w:val="22"/>
        </w:rPr>
        <w:t>to his application of 13</w:t>
      </w:r>
      <w:r w:rsidR="0023620D" w:rsidRPr="00596227">
        <w:rPr>
          <w:rFonts w:ascii="Book Antiqua" w:hAnsi="Book Antiqua" w:cs="Arial"/>
          <w:sz w:val="22"/>
          <w:szCs w:val="22"/>
        </w:rPr>
        <w:t xml:space="preserve"> </w:t>
      </w:r>
      <w:r w:rsidR="002E2DBB" w:rsidRPr="00596227">
        <w:rPr>
          <w:rFonts w:ascii="Book Antiqua" w:hAnsi="Book Antiqua" w:cs="Arial"/>
          <w:sz w:val="22"/>
          <w:szCs w:val="22"/>
        </w:rPr>
        <w:t>December 2017</w:t>
      </w:r>
      <w:r w:rsidR="00E12DFD" w:rsidRPr="00596227">
        <w:rPr>
          <w:rFonts w:ascii="Book Antiqua" w:hAnsi="Book Antiqua" w:cs="Arial"/>
          <w:sz w:val="22"/>
          <w:szCs w:val="22"/>
        </w:rPr>
        <w:t>.</w:t>
      </w:r>
    </w:p>
    <w:p w:rsidR="005E61D6" w:rsidRPr="00596227" w:rsidRDefault="00E12DF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t xml:space="preserve">On the first ground, the respondent accepted in the rule 24 response and in submissions that </w:t>
      </w:r>
      <w:r w:rsidR="005A2104" w:rsidRPr="00596227">
        <w:rPr>
          <w:rFonts w:ascii="Book Antiqua" w:hAnsi="Book Antiqua"/>
          <w:sz w:val="22"/>
          <w:szCs w:val="22"/>
        </w:rPr>
        <w:t xml:space="preserve">it </w:t>
      </w:r>
      <w:r w:rsidR="00B10CD6" w:rsidRPr="00596227">
        <w:rPr>
          <w:rFonts w:ascii="Book Antiqua" w:hAnsi="Book Antiqua"/>
          <w:sz w:val="22"/>
          <w:szCs w:val="22"/>
        </w:rPr>
        <w:t xml:space="preserve">would have been better if the judge had made a finding on the evidence of the appellant’s uncle that </w:t>
      </w:r>
      <w:r w:rsidR="005A2104" w:rsidRPr="00596227">
        <w:rPr>
          <w:rFonts w:ascii="Book Antiqua" w:hAnsi="Book Antiqua"/>
          <w:sz w:val="22"/>
          <w:szCs w:val="22"/>
        </w:rPr>
        <w:t>the appellant is an undocumented Bidoon.</w:t>
      </w:r>
    </w:p>
    <w:p w:rsidR="00A16244" w:rsidRPr="00596227" w:rsidRDefault="005E61D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t xml:space="preserve">As the respondent </w:t>
      </w:r>
      <w:r w:rsidR="0008452A" w:rsidRPr="00596227">
        <w:rPr>
          <w:rFonts w:ascii="Book Antiqua" w:hAnsi="Book Antiqua"/>
          <w:sz w:val="22"/>
          <w:szCs w:val="22"/>
        </w:rPr>
        <w:t>argues, the decision contains several reasons for rejecting the claim</w:t>
      </w:r>
      <w:r w:rsidR="007A74B9" w:rsidRPr="00596227">
        <w:rPr>
          <w:rFonts w:ascii="Book Antiqua" w:hAnsi="Book Antiqua"/>
          <w:sz w:val="22"/>
          <w:szCs w:val="22"/>
        </w:rPr>
        <w:t>,</w:t>
      </w:r>
      <w:r w:rsidR="0008452A" w:rsidRPr="00596227">
        <w:rPr>
          <w:rFonts w:ascii="Book Antiqua" w:hAnsi="Book Antiqua"/>
          <w:sz w:val="22"/>
          <w:szCs w:val="22"/>
        </w:rPr>
        <w:t xml:space="preserve"> not all of which are the subject of challenge</w:t>
      </w:r>
      <w:r w:rsidR="00A16244" w:rsidRPr="00596227">
        <w:rPr>
          <w:rFonts w:ascii="Book Antiqua" w:hAnsi="Book Antiqua"/>
          <w:sz w:val="22"/>
          <w:szCs w:val="22"/>
        </w:rPr>
        <w:t>, and a specific finding is not always required on every aspect of the evidence</w:t>
      </w:r>
      <w:r w:rsidR="007A74B9" w:rsidRPr="00596227">
        <w:rPr>
          <w:rFonts w:ascii="Book Antiqua" w:hAnsi="Book Antiqua"/>
          <w:sz w:val="22"/>
          <w:szCs w:val="22"/>
        </w:rPr>
        <w:t>.</w:t>
      </w:r>
      <w:r w:rsidR="002019A7" w:rsidRPr="00596227">
        <w:rPr>
          <w:rFonts w:ascii="Book Antiqua" w:hAnsi="Book Antiqua"/>
          <w:sz w:val="22"/>
          <w:szCs w:val="22"/>
        </w:rPr>
        <w:t xml:space="preserve">  </w:t>
      </w:r>
      <w:r w:rsidR="007A74B9" w:rsidRPr="00596227">
        <w:rPr>
          <w:rFonts w:ascii="Book Antiqua" w:hAnsi="Book Antiqua"/>
          <w:sz w:val="22"/>
          <w:szCs w:val="22"/>
        </w:rPr>
        <w:t xml:space="preserve">The question is whether the omission is of </w:t>
      </w:r>
      <w:r w:rsidR="001E416D" w:rsidRPr="00596227">
        <w:rPr>
          <w:rFonts w:ascii="Book Antiqua" w:hAnsi="Book Antiqua"/>
          <w:sz w:val="22"/>
          <w:szCs w:val="22"/>
        </w:rPr>
        <w:t xml:space="preserve">such </w:t>
      </w:r>
      <w:r w:rsidR="007A74B9" w:rsidRPr="00596227">
        <w:rPr>
          <w:rFonts w:ascii="Book Antiqua" w:hAnsi="Book Antiqua"/>
          <w:sz w:val="22"/>
          <w:szCs w:val="22"/>
        </w:rPr>
        <w:t xml:space="preserve">a degree </w:t>
      </w:r>
      <w:r w:rsidR="00570F54">
        <w:rPr>
          <w:rFonts w:ascii="Book Antiqua" w:hAnsi="Book Antiqua"/>
          <w:sz w:val="22"/>
          <w:szCs w:val="22"/>
        </w:rPr>
        <w:t>as to undermine</w:t>
      </w:r>
      <w:r w:rsidR="001E416D" w:rsidRPr="00596227">
        <w:rPr>
          <w:rFonts w:ascii="Book Antiqua" w:hAnsi="Book Antiqua"/>
          <w:sz w:val="22"/>
          <w:szCs w:val="22"/>
        </w:rPr>
        <w:t xml:space="preserve"> the decision as a whole</w:t>
      </w:r>
      <w:r w:rsidR="00A16244" w:rsidRPr="00596227">
        <w:rPr>
          <w:rFonts w:ascii="Book Antiqua" w:hAnsi="Book Antiqua"/>
          <w:sz w:val="22"/>
          <w:szCs w:val="22"/>
        </w:rPr>
        <w:t>.</w:t>
      </w:r>
      <w:r w:rsidR="007A74B9" w:rsidRPr="00596227">
        <w:rPr>
          <w:rFonts w:ascii="Book Antiqua" w:hAnsi="Book Antiqua"/>
          <w:sz w:val="22"/>
          <w:szCs w:val="22"/>
        </w:rPr>
        <w:t xml:space="preserve"> </w:t>
      </w:r>
    </w:p>
    <w:p w:rsidR="00803B55" w:rsidRPr="00596227" w:rsidRDefault="001F37F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t xml:space="preserve">Mr Winter </w:t>
      </w:r>
      <w:r w:rsidR="008034BB" w:rsidRPr="00596227">
        <w:rPr>
          <w:rFonts w:ascii="Book Antiqua" w:hAnsi="Book Antiqua"/>
          <w:sz w:val="22"/>
          <w:szCs w:val="22"/>
        </w:rPr>
        <w:t>relied upon the</w:t>
      </w:r>
      <w:r w:rsidRPr="00596227">
        <w:rPr>
          <w:rFonts w:ascii="Book Antiqua" w:hAnsi="Book Antiqua"/>
          <w:sz w:val="22"/>
          <w:szCs w:val="22"/>
        </w:rPr>
        <w:t xml:space="preserve"> observations of </w:t>
      </w:r>
      <w:r w:rsidR="00E2117F" w:rsidRPr="00596227">
        <w:rPr>
          <w:rFonts w:ascii="Book Antiqua" w:hAnsi="Book Antiqua"/>
          <w:sz w:val="22"/>
          <w:szCs w:val="22"/>
        </w:rPr>
        <w:t xml:space="preserve">the Court in </w:t>
      </w:r>
      <w:r w:rsidR="00E2117F" w:rsidRPr="00596227">
        <w:rPr>
          <w:rFonts w:ascii="Book Antiqua" w:hAnsi="Book Antiqua"/>
          <w:i/>
          <w:sz w:val="22"/>
          <w:szCs w:val="22"/>
        </w:rPr>
        <w:t>AR</w:t>
      </w:r>
      <w:r w:rsidR="00315C1A" w:rsidRPr="00596227">
        <w:rPr>
          <w:rFonts w:ascii="Book Antiqua" w:hAnsi="Book Antiqua"/>
          <w:sz w:val="22"/>
          <w:szCs w:val="22"/>
        </w:rPr>
        <w:t xml:space="preserve"> [2017] CSIH 52 at </w:t>
      </w:r>
      <w:r w:rsidR="002D1985" w:rsidRPr="00596227">
        <w:rPr>
          <w:rFonts w:ascii="Book Antiqua" w:hAnsi="Book Antiqua"/>
          <w:sz w:val="22"/>
          <w:szCs w:val="22"/>
        </w:rPr>
        <w:t>[36]</w:t>
      </w:r>
      <w:r w:rsidR="00596227" w:rsidRPr="00596227">
        <w:rPr>
          <w:rFonts w:ascii="Book Antiqua" w:hAnsi="Book Antiqua"/>
          <w:sz w:val="22"/>
          <w:szCs w:val="22"/>
        </w:rPr>
        <w:t>:</w:t>
      </w:r>
    </w:p>
    <w:p w:rsidR="00803B55" w:rsidRPr="007D4F80" w:rsidRDefault="000D056B" w:rsidP="00803B55">
      <w:pPr>
        <w:spacing w:before="240"/>
        <w:ind w:left="720"/>
        <w:jc w:val="both"/>
        <w:rPr>
          <w:rFonts w:ascii="Book Antiqua" w:hAnsi="Book Antiqua"/>
          <w:sz w:val="18"/>
          <w:szCs w:val="18"/>
        </w:rPr>
      </w:pPr>
      <w:r w:rsidRPr="007D4F80">
        <w:rPr>
          <w:rFonts w:ascii="Book Antiqua" w:hAnsi="Book Antiqua"/>
          <w:sz w:val="18"/>
          <w:szCs w:val="18"/>
        </w:rPr>
        <w:t>“…</w:t>
      </w:r>
      <w:r w:rsidR="002D1985" w:rsidRPr="007D4F80">
        <w:rPr>
          <w:rFonts w:ascii="Book Antiqua" w:hAnsi="Book Antiqua"/>
          <w:sz w:val="18"/>
          <w:szCs w:val="18"/>
        </w:rPr>
        <w:t xml:space="preserve"> lack of any proper consideration and assessment of the evidence f</w:t>
      </w:r>
      <w:r w:rsidR="008F111B" w:rsidRPr="007D4F80">
        <w:rPr>
          <w:rFonts w:ascii="Book Antiqua" w:hAnsi="Book Antiqua"/>
          <w:sz w:val="18"/>
          <w:szCs w:val="18"/>
        </w:rPr>
        <w:t>ro</w:t>
      </w:r>
      <w:r w:rsidR="002D1985" w:rsidRPr="007D4F80">
        <w:rPr>
          <w:rFonts w:ascii="Book Antiqua" w:hAnsi="Book Antiqua"/>
          <w:sz w:val="18"/>
          <w:szCs w:val="18"/>
        </w:rPr>
        <w:t>m the supporting witness</w:t>
      </w:r>
      <w:r w:rsidR="00702DBB" w:rsidRPr="007D4F80">
        <w:rPr>
          <w:rFonts w:ascii="Book Antiqua" w:hAnsi="Book Antiqua"/>
          <w:sz w:val="18"/>
          <w:szCs w:val="18"/>
        </w:rPr>
        <w:t xml:space="preserve"> … One cannot simply dismiss this evidence, or in effect ignore it, because one has already decided that the claimant’s account is false</w:t>
      </w:r>
      <w:r w:rsidR="00DA3352" w:rsidRPr="007D4F80">
        <w:rPr>
          <w:rFonts w:ascii="Book Antiqua" w:hAnsi="Book Antiqua"/>
          <w:sz w:val="18"/>
          <w:szCs w:val="18"/>
        </w:rPr>
        <w:t xml:space="preserve"> … it provides direct support</w:t>
      </w:r>
      <w:r w:rsidR="00016F1B" w:rsidRPr="007D4F80">
        <w:rPr>
          <w:rFonts w:ascii="Book Antiqua" w:hAnsi="Book Antiqua"/>
          <w:sz w:val="18"/>
          <w:szCs w:val="18"/>
        </w:rPr>
        <w:t xml:space="preserve"> for something which is acknowledged to be difficult to prove</w:t>
      </w:r>
      <w:r w:rsidR="00D46245" w:rsidRPr="007D4F80">
        <w:rPr>
          <w:rFonts w:ascii="Book Antiqua" w:hAnsi="Book Antiqua"/>
          <w:sz w:val="18"/>
          <w:szCs w:val="18"/>
        </w:rPr>
        <w:t>.”</w:t>
      </w:r>
    </w:p>
    <w:p w:rsidR="004A0427" w:rsidRPr="00596227" w:rsidRDefault="00AC396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lastRenderedPageBreak/>
        <w:t xml:space="preserve">He submitted further that although </w:t>
      </w:r>
      <w:r w:rsidR="00D46245" w:rsidRPr="00596227">
        <w:rPr>
          <w:rFonts w:ascii="Book Antiqua" w:hAnsi="Book Antiqua"/>
          <w:sz w:val="22"/>
          <w:szCs w:val="22"/>
        </w:rPr>
        <w:t>undocumented status is a different matter from proof of sexuality</w:t>
      </w:r>
      <w:r w:rsidR="00B90E88" w:rsidRPr="00596227">
        <w:rPr>
          <w:rFonts w:ascii="Book Antiqua" w:hAnsi="Book Antiqua"/>
          <w:sz w:val="22"/>
          <w:szCs w:val="22"/>
        </w:rPr>
        <w:t xml:space="preserve"> (</w:t>
      </w:r>
      <w:r w:rsidR="00D46245" w:rsidRPr="00596227">
        <w:rPr>
          <w:rFonts w:ascii="Book Antiqua" w:hAnsi="Book Antiqua"/>
          <w:sz w:val="22"/>
          <w:szCs w:val="22"/>
        </w:rPr>
        <w:t>the issue in</w:t>
      </w:r>
      <w:r w:rsidR="00750811" w:rsidRPr="00596227">
        <w:rPr>
          <w:rFonts w:ascii="Book Antiqua" w:hAnsi="Book Antiqua"/>
          <w:sz w:val="22"/>
          <w:szCs w:val="22"/>
        </w:rPr>
        <w:t xml:space="preserve"> </w:t>
      </w:r>
      <w:r w:rsidR="00750811" w:rsidRPr="00596227">
        <w:rPr>
          <w:rFonts w:ascii="Book Antiqua" w:hAnsi="Book Antiqua"/>
          <w:i/>
          <w:sz w:val="22"/>
          <w:szCs w:val="22"/>
        </w:rPr>
        <w:t>AR</w:t>
      </w:r>
      <w:r w:rsidR="00B90E88" w:rsidRPr="00596227">
        <w:rPr>
          <w:rFonts w:ascii="Book Antiqua" w:hAnsi="Book Antiqua"/>
          <w:sz w:val="22"/>
          <w:szCs w:val="22"/>
        </w:rPr>
        <w:t>)</w:t>
      </w:r>
      <w:r w:rsidR="00750811" w:rsidRPr="00596227">
        <w:rPr>
          <w:rFonts w:ascii="Book Antiqua" w:hAnsi="Book Antiqua"/>
          <w:sz w:val="22"/>
          <w:szCs w:val="22"/>
        </w:rPr>
        <w:t xml:space="preserve"> </w:t>
      </w:r>
      <w:r w:rsidRPr="00596227">
        <w:rPr>
          <w:rFonts w:ascii="Book Antiqua" w:hAnsi="Book Antiqua"/>
          <w:sz w:val="22"/>
          <w:szCs w:val="22"/>
        </w:rPr>
        <w:t>it is</w:t>
      </w:r>
      <w:r w:rsidR="00750811" w:rsidRPr="00596227">
        <w:rPr>
          <w:rFonts w:ascii="Book Antiqua" w:hAnsi="Book Antiqua"/>
          <w:sz w:val="22"/>
          <w:szCs w:val="22"/>
        </w:rPr>
        <w:t xml:space="preserve"> similar in its difficulty.</w:t>
      </w:r>
      <w:r w:rsidR="0066054F" w:rsidRPr="00596227">
        <w:rPr>
          <w:rFonts w:ascii="Book Antiqua" w:hAnsi="Book Antiqua"/>
          <w:sz w:val="22"/>
          <w:szCs w:val="22"/>
        </w:rPr>
        <w:t xml:space="preserve">  He referred to the statement by the witness</w:t>
      </w:r>
      <w:r w:rsidR="00836F82" w:rsidRPr="00596227">
        <w:rPr>
          <w:rFonts w:ascii="Book Antiqua" w:hAnsi="Book Antiqua"/>
          <w:sz w:val="22"/>
          <w:szCs w:val="22"/>
        </w:rPr>
        <w:t xml:space="preserve"> and pointed out that although his </w:t>
      </w:r>
      <w:r w:rsidR="00C30106">
        <w:rPr>
          <w:rFonts w:ascii="Book Antiqua" w:hAnsi="Book Antiqua"/>
          <w:sz w:val="22"/>
          <w:szCs w:val="22"/>
        </w:rPr>
        <w:t xml:space="preserve">oral </w:t>
      </w:r>
      <w:r w:rsidR="00836F82" w:rsidRPr="00596227">
        <w:rPr>
          <w:rFonts w:ascii="Book Antiqua" w:hAnsi="Book Antiqua"/>
          <w:sz w:val="22"/>
          <w:szCs w:val="22"/>
        </w:rPr>
        <w:t xml:space="preserve">evidence is </w:t>
      </w:r>
      <w:r w:rsidR="003C031C" w:rsidRPr="00596227">
        <w:rPr>
          <w:rFonts w:ascii="Book Antiqua" w:hAnsi="Book Antiqua"/>
          <w:sz w:val="22"/>
          <w:szCs w:val="22"/>
        </w:rPr>
        <w:t xml:space="preserve">briefly </w:t>
      </w:r>
      <w:r w:rsidR="00212A6A" w:rsidRPr="00596227">
        <w:rPr>
          <w:rFonts w:ascii="Book Antiqua" w:hAnsi="Book Antiqua"/>
          <w:sz w:val="22"/>
          <w:szCs w:val="22"/>
        </w:rPr>
        <w:t>not</w:t>
      </w:r>
      <w:r w:rsidR="003C031C" w:rsidRPr="00596227">
        <w:rPr>
          <w:rFonts w:ascii="Book Antiqua" w:hAnsi="Book Antiqua"/>
          <w:sz w:val="22"/>
          <w:szCs w:val="22"/>
        </w:rPr>
        <w:t xml:space="preserve">ed at paragraph 27, and there </w:t>
      </w:r>
      <w:r w:rsidR="0098296C" w:rsidRPr="00596227">
        <w:rPr>
          <w:rFonts w:ascii="Book Antiqua" w:hAnsi="Book Antiqua"/>
          <w:sz w:val="22"/>
          <w:szCs w:val="22"/>
        </w:rPr>
        <w:t>is a finding at paragraph 33 that he is the appellant’s uncle</w:t>
      </w:r>
      <w:r w:rsidR="00624603" w:rsidRPr="00596227">
        <w:rPr>
          <w:rFonts w:ascii="Book Antiqua" w:hAnsi="Book Antiqua"/>
          <w:sz w:val="22"/>
          <w:szCs w:val="22"/>
        </w:rPr>
        <w:t xml:space="preserve"> (as </w:t>
      </w:r>
      <w:r w:rsidR="005C0382">
        <w:rPr>
          <w:rFonts w:ascii="Book Antiqua" w:hAnsi="Book Antiqua"/>
          <w:sz w:val="22"/>
          <w:szCs w:val="22"/>
        </w:rPr>
        <w:t>shown</w:t>
      </w:r>
      <w:r w:rsidR="00624603" w:rsidRPr="00596227">
        <w:rPr>
          <w:rFonts w:ascii="Book Antiqua" w:hAnsi="Book Antiqua"/>
          <w:sz w:val="22"/>
          <w:szCs w:val="22"/>
        </w:rPr>
        <w:t xml:space="preserve"> by a DNA report)</w:t>
      </w:r>
      <w:r w:rsidR="0098296C" w:rsidRPr="00596227">
        <w:rPr>
          <w:rFonts w:ascii="Book Antiqua" w:hAnsi="Book Antiqua"/>
          <w:sz w:val="22"/>
          <w:szCs w:val="22"/>
        </w:rPr>
        <w:t xml:space="preserve">, </w:t>
      </w:r>
      <w:r w:rsidR="001B0326" w:rsidRPr="00596227">
        <w:rPr>
          <w:rFonts w:ascii="Book Antiqua" w:hAnsi="Book Antiqua"/>
          <w:sz w:val="22"/>
          <w:szCs w:val="22"/>
        </w:rPr>
        <w:t>no</w:t>
      </w:r>
      <w:r w:rsidR="00A8057F" w:rsidRPr="00596227">
        <w:rPr>
          <w:rFonts w:ascii="Book Antiqua" w:hAnsi="Book Antiqua"/>
          <w:sz w:val="22"/>
          <w:szCs w:val="22"/>
        </w:rPr>
        <w:t>thing is said about his evidence that the appellant, like his uncle and the rest of the family, is an undocumented Bidoon.</w:t>
      </w:r>
      <w:r w:rsidR="0098296C" w:rsidRPr="00596227">
        <w:rPr>
          <w:rFonts w:ascii="Book Antiqua" w:hAnsi="Book Antiqua"/>
          <w:sz w:val="22"/>
          <w:szCs w:val="22"/>
        </w:rPr>
        <w:t xml:space="preserve"> </w:t>
      </w:r>
    </w:p>
    <w:p w:rsidR="00A84C09" w:rsidRPr="00596227" w:rsidRDefault="004A0427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t>Ground 2</w:t>
      </w:r>
      <w:r w:rsidR="008553C9" w:rsidRPr="00596227">
        <w:rPr>
          <w:rFonts w:ascii="Book Antiqua" w:hAnsi="Book Antiqua"/>
          <w:sz w:val="22"/>
          <w:szCs w:val="22"/>
        </w:rPr>
        <w:t xml:space="preserve"> is that the FtT’s findings are not supported by country guidance case law</w:t>
      </w:r>
      <w:r w:rsidR="00B507F0">
        <w:rPr>
          <w:rFonts w:ascii="Book Antiqua" w:hAnsi="Book Antiqua"/>
          <w:sz w:val="22"/>
          <w:szCs w:val="22"/>
        </w:rPr>
        <w:t xml:space="preserve">, </w:t>
      </w:r>
      <w:r w:rsidR="00B507F0" w:rsidRPr="0092655F">
        <w:rPr>
          <w:rFonts w:ascii="Book Antiqua" w:hAnsi="Book Antiqua"/>
          <w:i/>
          <w:sz w:val="22"/>
          <w:szCs w:val="22"/>
        </w:rPr>
        <w:t>NM</w:t>
      </w:r>
      <w:r w:rsidR="00B507F0">
        <w:rPr>
          <w:rFonts w:ascii="Book Antiqua" w:hAnsi="Book Antiqua"/>
          <w:sz w:val="22"/>
          <w:szCs w:val="22"/>
        </w:rPr>
        <w:t xml:space="preserve"> [2013] UKUT</w:t>
      </w:r>
      <w:r w:rsidR="0092655F">
        <w:rPr>
          <w:rFonts w:ascii="Book Antiqua" w:hAnsi="Book Antiqua"/>
          <w:sz w:val="22"/>
          <w:szCs w:val="22"/>
        </w:rPr>
        <w:t xml:space="preserve"> 00356</w:t>
      </w:r>
      <w:r w:rsidR="008553C9" w:rsidRPr="00596227">
        <w:rPr>
          <w:rFonts w:ascii="Book Antiqua" w:hAnsi="Book Antiqua"/>
          <w:sz w:val="22"/>
          <w:szCs w:val="22"/>
        </w:rPr>
        <w:t>.  Mr Winter accepted that the point made in the ground was not that the FtT reached a decision which could not be reconciled with the bi</w:t>
      </w:r>
      <w:r w:rsidR="00C60330" w:rsidRPr="00596227">
        <w:rPr>
          <w:rFonts w:ascii="Book Antiqua" w:hAnsi="Book Antiqua"/>
          <w:sz w:val="22"/>
          <w:szCs w:val="22"/>
        </w:rPr>
        <w:t>n</w:t>
      </w:r>
      <w:r w:rsidR="008553C9" w:rsidRPr="00596227">
        <w:rPr>
          <w:rFonts w:ascii="Book Antiqua" w:hAnsi="Book Antiqua"/>
          <w:sz w:val="22"/>
          <w:szCs w:val="22"/>
        </w:rPr>
        <w:t xml:space="preserve">ding </w:t>
      </w:r>
      <w:r w:rsidR="00041D70" w:rsidRPr="00596227">
        <w:rPr>
          <w:rFonts w:ascii="Book Antiqua" w:hAnsi="Book Antiqua"/>
          <w:sz w:val="22"/>
          <w:szCs w:val="22"/>
        </w:rPr>
        <w:t>passages</w:t>
      </w:r>
      <w:r w:rsidR="008553C9" w:rsidRPr="00596227">
        <w:rPr>
          <w:rFonts w:ascii="Book Antiqua" w:hAnsi="Book Antiqua"/>
          <w:sz w:val="22"/>
          <w:szCs w:val="22"/>
        </w:rPr>
        <w:t xml:space="preserve"> of the guidance, but </w:t>
      </w:r>
      <w:r w:rsidR="00C13FB9" w:rsidRPr="00596227">
        <w:rPr>
          <w:rFonts w:ascii="Book Antiqua" w:hAnsi="Book Antiqua"/>
          <w:sz w:val="22"/>
          <w:szCs w:val="22"/>
        </w:rPr>
        <w:t>rather</w:t>
      </w:r>
      <w:r w:rsidR="008553C9" w:rsidRPr="00596227">
        <w:rPr>
          <w:rFonts w:ascii="Book Antiqua" w:hAnsi="Book Antiqua"/>
          <w:sz w:val="22"/>
          <w:szCs w:val="22"/>
        </w:rPr>
        <w:t xml:space="preserve"> that </w:t>
      </w:r>
      <w:r w:rsidR="00C60330" w:rsidRPr="00596227">
        <w:rPr>
          <w:rFonts w:ascii="Book Antiqua" w:hAnsi="Book Antiqua"/>
          <w:sz w:val="22"/>
          <w:szCs w:val="22"/>
        </w:rPr>
        <w:t xml:space="preserve">evidence narrated in </w:t>
      </w:r>
      <w:r w:rsidR="0092655F" w:rsidRPr="0092655F">
        <w:rPr>
          <w:rFonts w:ascii="Book Antiqua" w:hAnsi="Book Antiqua"/>
          <w:i/>
          <w:sz w:val="22"/>
          <w:szCs w:val="22"/>
        </w:rPr>
        <w:t>NM</w:t>
      </w:r>
      <w:r w:rsidR="00C60330" w:rsidRPr="00596227">
        <w:rPr>
          <w:rFonts w:ascii="Book Antiqua" w:hAnsi="Book Antiqua"/>
          <w:sz w:val="22"/>
          <w:szCs w:val="22"/>
        </w:rPr>
        <w:t xml:space="preserve"> was consistent with the claim.</w:t>
      </w:r>
    </w:p>
    <w:p w:rsidR="007739A9" w:rsidRPr="00596227" w:rsidRDefault="009752E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i/>
          <w:sz w:val="22"/>
          <w:szCs w:val="22"/>
        </w:rPr>
        <w:t>NM</w:t>
      </w:r>
      <w:r w:rsidRPr="00596227">
        <w:rPr>
          <w:rFonts w:ascii="Book Antiqua" w:hAnsi="Book Antiqua"/>
          <w:sz w:val="22"/>
          <w:szCs w:val="22"/>
        </w:rPr>
        <w:t xml:space="preserve"> is an example of a case with broad similarities to this one, where an appellant</w:t>
      </w:r>
      <w:r w:rsidR="00624B87" w:rsidRPr="00596227">
        <w:rPr>
          <w:rFonts w:ascii="Book Antiqua" w:hAnsi="Book Antiqua"/>
          <w:sz w:val="22"/>
          <w:szCs w:val="22"/>
        </w:rPr>
        <w:t xml:space="preserve">’s credibility was damaged by some discrepancies, </w:t>
      </w:r>
      <w:r w:rsidR="00114A7F" w:rsidRPr="00596227">
        <w:rPr>
          <w:rFonts w:ascii="Book Antiqua" w:hAnsi="Book Antiqua"/>
          <w:sz w:val="22"/>
          <w:szCs w:val="22"/>
        </w:rPr>
        <w:t xml:space="preserve">but was found nevertheless to </w:t>
      </w:r>
      <w:r w:rsidR="001A56EB" w:rsidRPr="00596227">
        <w:rPr>
          <w:rFonts w:ascii="Book Antiqua" w:hAnsi="Book Antiqua"/>
          <w:sz w:val="22"/>
          <w:szCs w:val="22"/>
        </w:rPr>
        <w:t>be</w:t>
      </w:r>
      <w:r w:rsidR="00114A7F" w:rsidRPr="00596227">
        <w:rPr>
          <w:rFonts w:ascii="Book Antiqua" w:hAnsi="Book Antiqua"/>
          <w:sz w:val="22"/>
          <w:szCs w:val="22"/>
        </w:rPr>
        <w:t xml:space="preserve"> an undocumented Bidoon, based partly on evidence from </w:t>
      </w:r>
      <w:r w:rsidR="007B3623" w:rsidRPr="00596227">
        <w:rPr>
          <w:rFonts w:ascii="Book Antiqua" w:hAnsi="Book Antiqua"/>
          <w:sz w:val="22"/>
          <w:szCs w:val="22"/>
        </w:rPr>
        <w:t>a brother who had been accepted as such.</w:t>
      </w:r>
      <w:r w:rsidRPr="00596227">
        <w:rPr>
          <w:rFonts w:ascii="Book Antiqua" w:hAnsi="Book Antiqua"/>
          <w:sz w:val="22"/>
          <w:szCs w:val="22"/>
        </w:rPr>
        <w:t xml:space="preserve"> </w:t>
      </w:r>
      <w:r w:rsidR="007B3623" w:rsidRPr="00596227">
        <w:rPr>
          <w:rFonts w:ascii="Book Antiqua" w:hAnsi="Book Antiqua"/>
          <w:sz w:val="22"/>
          <w:szCs w:val="22"/>
        </w:rPr>
        <w:t xml:space="preserve">However, </w:t>
      </w:r>
      <w:r w:rsidR="00D21105" w:rsidRPr="00596227">
        <w:rPr>
          <w:rFonts w:ascii="Book Antiqua" w:hAnsi="Book Antiqua"/>
          <w:sz w:val="22"/>
          <w:szCs w:val="22"/>
        </w:rPr>
        <w:t xml:space="preserve">there is nothing in </w:t>
      </w:r>
      <w:r w:rsidR="00D21105" w:rsidRPr="00596227">
        <w:rPr>
          <w:rFonts w:ascii="Book Antiqua" w:hAnsi="Book Antiqua"/>
          <w:i/>
          <w:sz w:val="22"/>
          <w:szCs w:val="22"/>
        </w:rPr>
        <w:t>NM</w:t>
      </w:r>
      <w:r w:rsidR="00D21105" w:rsidRPr="00596227">
        <w:rPr>
          <w:rFonts w:ascii="Book Antiqua" w:hAnsi="Book Antiqua"/>
          <w:sz w:val="22"/>
          <w:szCs w:val="22"/>
        </w:rPr>
        <w:t xml:space="preserve"> which prescribes that this case must have gone the other way.</w:t>
      </w:r>
      <w:r w:rsidR="00296619" w:rsidRPr="00596227">
        <w:rPr>
          <w:rFonts w:ascii="Book Antiqua" w:hAnsi="Book Antiqua"/>
          <w:sz w:val="22"/>
          <w:szCs w:val="22"/>
        </w:rPr>
        <w:t xml:space="preserve">  </w:t>
      </w:r>
    </w:p>
    <w:p w:rsidR="001D6ADD" w:rsidRPr="00596227" w:rsidRDefault="00D2110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t xml:space="preserve">As I indicated at the hearing, ground 3 is at best a makeweight.  </w:t>
      </w:r>
      <w:r w:rsidR="007862DA" w:rsidRPr="00596227">
        <w:rPr>
          <w:rFonts w:ascii="Book Antiqua" w:hAnsi="Book Antiqua"/>
          <w:sz w:val="22"/>
          <w:szCs w:val="22"/>
        </w:rPr>
        <w:t xml:space="preserve">It is a generality to </w:t>
      </w:r>
      <w:r w:rsidR="00736980" w:rsidRPr="00596227">
        <w:rPr>
          <w:rFonts w:ascii="Book Antiqua" w:hAnsi="Book Antiqua"/>
          <w:sz w:val="22"/>
          <w:szCs w:val="22"/>
        </w:rPr>
        <w:t>be</w:t>
      </w:r>
      <w:r w:rsidR="007862DA" w:rsidRPr="00596227">
        <w:rPr>
          <w:rFonts w:ascii="Book Antiqua" w:hAnsi="Book Antiqua"/>
          <w:sz w:val="22"/>
          <w:szCs w:val="22"/>
        </w:rPr>
        <w:t xml:space="preserve"> borne in mind that release from detention</w:t>
      </w:r>
      <w:r w:rsidR="00736980" w:rsidRPr="00596227">
        <w:rPr>
          <w:rFonts w:ascii="Book Antiqua" w:hAnsi="Book Antiqua"/>
          <w:sz w:val="22"/>
          <w:szCs w:val="22"/>
        </w:rPr>
        <w:t xml:space="preserve"> is not conclusive that the authorities may have no ongoing interest in an appellant</w:t>
      </w:r>
      <w:r w:rsidR="00CD67ED" w:rsidRPr="00596227">
        <w:rPr>
          <w:rFonts w:ascii="Book Antiqua" w:hAnsi="Book Antiqua"/>
          <w:sz w:val="22"/>
          <w:szCs w:val="22"/>
        </w:rPr>
        <w:t>, but t</w:t>
      </w:r>
      <w:r w:rsidR="00E91DAC" w:rsidRPr="00596227">
        <w:rPr>
          <w:rFonts w:ascii="Book Antiqua" w:hAnsi="Book Antiqua"/>
          <w:sz w:val="22"/>
          <w:szCs w:val="22"/>
        </w:rPr>
        <w:t>hat shows no error of law in the finding at [45] – [46], based on the facts of this case.</w:t>
      </w:r>
    </w:p>
    <w:p w:rsidR="00871A6A" w:rsidRPr="00596227" w:rsidRDefault="001D6AD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t>Ground 1 shows error</w:t>
      </w:r>
      <w:r w:rsidR="00E4610F" w:rsidRPr="00596227">
        <w:rPr>
          <w:rFonts w:ascii="Book Antiqua" w:hAnsi="Book Antiqua"/>
          <w:sz w:val="22"/>
          <w:szCs w:val="22"/>
        </w:rPr>
        <w:t xml:space="preserve"> of law.  The</w:t>
      </w:r>
      <w:r w:rsidR="0050518F" w:rsidRPr="00596227">
        <w:rPr>
          <w:rFonts w:ascii="Book Antiqua" w:hAnsi="Book Antiqua"/>
          <w:sz w:val="22"/>
          <w:szCs w:val="22"/>
        </w:rPr>
        <w:t xml:space="preserve"> evidence</w:t>
      </w:r>
      <w:r w:rsidR="00E26388" w:rsidRPr="00596227">
        <w:rPr>
          <w:rFonts w:ascii="Book Antiqua" w:hAnsi="Book Antiqua"/>
          <w:sz w:val="22"/>
          <w:szCs w:val="22"/>
        </w:rPr>
        <w:t xml:space="preserve"> from the appellant’s uncle was important enough to require </w:t>
      </w:r>
      <w:r w:rsidR="0050518F" w:rsidRPr="00596227">
        <w:rPr>
          <w:rFonts w:ascii="Book Antiqua" w:hAnsi="Book Antiqua"/>
          <w:sz w:val="22"/>
          <w:szCs w:val="22"/>
        </w:rPr>
        <w:t>specific resolution. The</w:t>
      </w:r>
      <w:r w:rsidR="00871A6A" w:rsidRPr="00596227">
        <w:rPr>
          <w:rFonts w:ascii="Book Antiqua" w:hAnsi="Book Antiqua"/>
          <w:sz w:val="22"/>
          <w:szCs w:val="22"/>
        </w:rPr>
        <w:t>re is also some merit in ground 2.  The</w:t>
      </w:r>
      <w:r w:rsidR="0050518F" w:rsidRPr="00596227">
        <w:rPr>
          <w:rFonts w:ascii="Book Antiqua" w:hAnsi="Book Antiqua"/>
          <w:sz w:val="22"/>
          <w:szCs w:val="22"/>
        </w:rPr>
        <w:t xml:space="preserve"> </w:t>
      </w:r>
      <w:r w:rsidR="00766A8E" w:rsidRPr="00596227">
        <w:rPr>
          <w:rFonts w:ascii="Book Antiqua" w:hAnsi="Book Antiqua"/>
          <w:sz w:val="22"/>
          <w:szCs w:val="22"/>
        </w:rPr>
        <w:t>judge d</w:t>
      </w:r>
      <w:r w:rsidR="00E4610F" w:rsidRPr="00596227">
        <w:rPr>
          <w:rFonts w:ascii="Book Antiqua" w:hAnsi="Book Antiqua"/>
          <w:sz w:val="22"/>
          <w:szCs w:val="22"/>
        </w:rPr>
        <w:t>id</w:t>
      </w:r>
      <w:r w:rsidR="00766A8E" w:rsidRPr="00596227">
        <w:rPr>
          <w:rFonts w:ascii="Book Antiqua" w:hAnsi="Book Antiqua"/>
          <w:sz w:val="22"/>
          <w:szCs w:val="22"/>
        </w:rPr>
        <w:t xml:space="preserve"> not </w:t>
      </w:r>
      <w:r w:rsidR="00E4610F" w:rsidRPr="00596227">
        <w:rPr>
          <w:rFonts w:ascii="Book Antiqua" w:hAnsi="Book Antiqua"/>
          <w:sz w:val="22"/>
          <w:szCs w:val="22"/>
        </w:rPr>
        <w:t>consider</w:t>
      </w:r>
      <w:r w:rsidR="00766A8E" w:rsidRPr="00596227">
        <w:rPr>
          <w:rFonts w:ascii="Book Antiqua" w:hAnsi="Book Antiqua"/>
          <w:sz w:val="22"/>
          <w:szCs w:val="22"/>
        </w:rPr>
        <w:t xml:space="preserve"> whether the appellant might have exaggerated or invented parts of his clai</w:t>
      </w:r>
      <w:r w:rsidR="00E4610F" w:rsidRPr="00596227">
        <w:rPr>
          <w:rFonts w:ascii="Book Antiqua" w:hAnsi="Book Antiqua"/>
          <w:sz w:val="22"/>
          <w:szCs w:val="22"/>
        </w:rPr>
        <w:t>m</w:t>
      </w:r>
      <w:r w:rsidR="00766A8E" w:rsidRPr="00596227">
        <w:rPr>
          <w:rFonts w:ascii="Book Antiqua" w:hAnsi="Book Antiqua"/>
          <w:sz w:val="22"/>
          <w:szCs w:val="22"/>
        </w:rPr>
        <w:t xml:space="preserve">, </w:t>
      </w:r>
      <w:r w:rsidR="00E4610F" w:rsidRPr="00596227">
        <w:rPr>
          <w:rFonts w:ascii="Book Antiqua" w:hAnsi="Book Antiqua"/>
          <w:sz w:val="22"/>
          <w:szCs w:val="22"/>
        </w:rPr>
        <w:t xml:space="preserve">and </w:t>
      </w:r>
      <w:r w:rsidR="00766A8E" w:rsidRPr="00596227">
        <w:rPr>
          <w:rFonts w:ascii="Book Antiqua" w:hAnsi="Book Antiqua"/>
          <w:sz w:val="22"/>
          <w:szCs w:val="22"/>
        </w:rPr>
        <w:t xml:space="preserve">yet be an undocumented </w:t>
      </w:r>
      <w:r w:rsidR="00E4610F" w:rsidRPr="00596227">
        <w:rPr>
          <w:rFonts w:ascii="Book Antiqua" w:hAnsi="Book Antiqua"/>
          <w:sz w:val="22"/>
          <w:szCs w:val="22"/>
        </w:rPr>
        <w:t>Bidoon</w:t>
      </w:r>
      <w:r w:rsidR="0050518F" w:rsidRPr="00596227">
        <w:rPr>
          <w:rFonts w:ascii="Book Antiqua" w:hAnsi="Book Antiqua"/>
          <w:sz w:val="22"/>
          <w:szCs w:val="22"/>
        </w:rPr>
        <w:t xml:space="preserve">.  </w:t>
      </w:r>
      <w:r w:rsidR="00871A6A" w:rsidRPr="00596227">
        <w:rPr>
          <w:rFonts w:ascii="Book Antiqua" w:hAnsi="Book Antiqua"/>
          <w:sz w:val="22"/>
          <w:szCs w:val="22"/>
        </w:rPr>
        <w:t>T</w:t>
      </w:r>
      <w:r w:rsidR="00543EE3" w:rsidRPr="00596227">
        <w:rPr>
          <w:rFonts w:ascii="Book Antiqua" w:hAnsi="Book Antiqua"/>
          <w:sz w:val="22"/>
          <w:szCs w:val="22"/>
        </w:rPr>
        <w:t>he two grounds together show that the decision can</w:t>
      </w:r>
      <w:r w:rsidR="006D788A" w:rsidRPr="00596227">
        <w:rPr>
          <w:rFonts w:ascii="Book Antiqua" w:hAnsi="Book Antiqua"/>
          <w:sz w:val="22"/>
          <w:szCs w:val="22"/>
        </w:rPr>
        <w:t>n</w:t>
      </w:r>
      <w:r w:rsidR="00543EE3" w:rsidRPr="00596227">
        <w:rPr>
          <w:rFonts w:ascii="Book Antiqua" w:hAnsi="Book Antiqua"/>
          <w:sz w:val="22"/>
          <w:szCs w:val="22"/>
        </w:rPr>
        <w:t>ot safely stand.</w:t>
      </w:r>
    </w:p>
    <w:p w:rsidR="00321C6F" w:rsidRPr="00596227" w:rsidRDefault="004236E4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  <w:sz w:val="22"/>
          <w:szCs w:val="22"/>
        </w:rPr>
      </w:pPr>
      <w:r w:rsidRPr="00596227">
        <w:rPr>
          <w:rFonts w:ascii="Book Antiqua" w:hAnsi="Book Antiqua" w:cs="Arial"/>
          <w:sz w:val="22"/>
          <w:szCs w:val="22"/>
        </w:rPr>
        <w:t xml:space="preserve">The </w:t>
      </w:r>
      <w:r w:rsidR="008A64A7" w:rsidRPr="00596227">
        <w:rPr>
          <w:rFonts w:ascii="Book Antiqua" w:hAnsi="Book Antiqua" w:cs="Arial"/>
          <w:sz w:val="22"/>
          <w:szCs w:val="22"/>
        </w:rPr>
        <w:t>de</w:t>
      </w:r>
      <w:r w:rsidR="00DA3D04" w:rsidRPr="00596227">
        <w:rPr>
          <w:rFonts w:ascii="Book Antiqua" w:hAnsi="Book Antiqua" w:cs="Arial"/>
          <w:sz w:val="22"/>
          <w:szCs w:val="22"/>
        </w:rPr>
        <w:t>cision</w:t>
      </w:r>
      <w:r w:rsidR="008A64A7" w:rsidRPr="00596227">
        <w:rPr>
          <w:rFonts w:ascii="Book Antiqua" w:hAnsi="Book Antiqua" w:cs="Arial"/>
          <w:sz w:val="22"/>
          <w:szCs w:val="22"/>
        </w:rPr>
        <w:t xml:space="preserve"> </w:t>
      </w:r>
      <w:r w:rsidR="00321C6F" w:rsidRPr="00596227">
        <w:rPr>
          <w:rFonts w:ascii="Book Antiqua" w:hAnsi="Book Antiqua" w:cs="Arial"/>
          <w:sz w:val="22"/>
          <w:szCs w:val="22"/>
        </w:rPr>
        <w:t xml:space="preserve">of the First-tier Tribunal </w:t>
      </w:r>
      <w:r w:rsidR="008A64A7" w:rsidRPr="00596227">
        <w:rPr>
          <w:rFonts w:ascii="Book Antiqua" w:hAnsi="Book Antiqua" w:cs="Arial"/>
          <w:sz w:val="22"/>
          <w:szCs w:val="22"/>
        </w:rPr>
        <w:t xml:space="preserve">is </w:t>
      </w:r>
      <w:r w:rsidR="008A64A7" w:rsidRPr="0004604F">
        <w:rPr>
          <w:rFonts w:ascii="Book Antiqua" w:hAnsi="Book Antiqua" w:cs="Arial"/>
          <w:b/>
          <w:sz w:val="22"/>
          <w:szCs w:val="22"/>
        </w:rPr>
        <w:t>set aside</w:t>
      </w:r>
      <w:r w:rsidR="00321C6F" w:rsidRPr="00596227">
        <w:rPr>
          <w:rFonts w:ascii="Book Antiqua" w:hAnsi="Book Antiqua" w:cs="Arial"/>
          <w:sz w:val="22"/>
          <w:szCs w:val="22"/>
        </w:rPr>
        <w:t>.</w:t>
      </w:r>
      <w:r w:rsidR="00786D9A" w:rsidRPr="00596227">
        <w:rPr>
          <w:rFonts w:ascii="Book Antiqua" w:hAnsi="Book Antiqua" w:cs="Arial"/>
          <w:sz w:val="22"/>
          <w:szCs w:val="22"/>
        </w:rPr>
        <w:t xml:space="preserve"> </w:t>
      </w:r>
      <w:r w:rsidR="00EE5B95" w:rsidRPr="00596227">
        <w:rPr>
          <w:rFonts w:ascii="Book Antiqua" w:hAnsi="Book Antiqua" w:cs="Arial"/>
          <w:sz w:val="22"/>
          <w:szCs w:val="22"/>
        </w:rPr>
        <w:t xml:space="preserve"> T</w:t>
      </w:r>
      <w:r w:rsidR="00EE5B95" w:rsidRPr="00596227">
        <w:rPr>
          <w:rFonts w:ascii="Book Antiqua" w:hAnsi="Book Antiqua"/>
          <w:sz w:val="22"/>
          <w:szCs w:val="22"/>
        </w:rPr>
        <w:t xml:space="preserve">he nature of this case is such that it is appropriate under section 12 of the 2002 Act and Practice Statement 7.2 to </w:t>
      </w:r>
      <w:r w:rsidR="00EE5B95" w:rsidRPr="0004604F">
        <w:rPr>
          <w:rFonts w:ascii="Book Antiqua" w:hAnsi="Book Antiqua"/>
          <w:b/>
          <w:sz w:val="22"/>
          <w:szCs w:val="22"/>
        </w:rPr>
        <w:t>remit to the FtT</w:t>
      </w:r>
      <w:r w:rsidR="00EE5B95" w:rsidRPr="00596227">
        <w:rPr>
          <w:rFonts w:ascii="Book Antiqua" w:hAnsi="Book Antiqua"/>
          <w:sz w:val="22"/>
          <w:szCs w:val="22"/>
        </w:rPr>
        <w:t xml:space="preserve"> for an entirely fresh hearing.  </w:t>
      </w:r>
      <w:r w:rsidR="00EE5B95" w:rsidRPr="00596227">
        <w:rPr>
          <w:rFonts w:ascii="Book Antiqua" w:hAnsi="Book Antiqua" w:cs="Arial"/>
          <w:sz w:val="22"/>
          <w:szCs w:val="22"/>
        </w:rPr>
        <w:t xml:space="preserve">The member(s) of the FtT chosen to consider the case are not to include Judge </w:t>
      </w:r>
      <w:r w:rsidR="002019A7" w:rsidRPr="00596227">
        <w:rPr>
          <w:rFonts w:ascii="Book Antiqua" w:hAnsi="Book Antiqua" w:cs="Arial"/>
          <w:sz w:val="22"/>
          <w:szCs w:val="22"/>
        </w:rPr>
        <w:t>Boyd.</w:t>
      </w:r>
    </w:p>
    <w:p w:rsidR="00321C6F" w:rsidRPr="00596227" w:rsidRDefault="00524905" w:rsidP="004B6704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  <w:sz w:val="22"/>
          <w:szCs w:val="22"/>
        </w:rPr>
      </w:pPr>
      <w:r w:rsidRPr="00596227">
        <w:rPr>
          <w:rFonts w:ascii="Book Antiqua" w:hAnsi="Book Antiqua" w:cs="Arial"/>
          <w:sz w:val="22"/>
          <w:szCs w:val="22"/>
        </w:rPr>
        <w:t>The FtT made an</w:t>
      </w:r>
      <w:r w:rsidR="00321C6F" w:rsidRPr="00596227">
        <w:rPr>
          <w:rFonts w:ascii="Book Antiqua" w:hAnsi="Book Antiqua"/>
          <w:sz w:val="22"/>
          <w:szCs w:val="22"/>
        </w:rPr>
        <w:t xml:space="preserve"> anonymity direction</w:t>
      </w:r>
      <w:r w:rsidRPr="00596227">
        <w:rPr>
          <w:rFonts w:ascii="Book Antiqua" w:hAnsi="Book Antiqua"/>
          <w:sz w:val="22"/>
          <w:szCs w:val="22"/>
        </w:rPr>
        <w:t>.  The matter was not addressed in the UT</w:t>
      </w:r>
      <w:r w:rsidR="00813872">
        <w:rPr>
          <w:rFonts w:ascii="Book Antiqua" w:hAnsi="Book Antiqua"/>
          <w:sz w:val="22"/>
          <w:szCs w:val="22"/>
        </w:rPr>
        <w:t>.  A</w:t>
      </w:r>
      <w:r w:rsidR="004B6704" w:rsidRPr="00596227">
        <w:rPr>
          <w:rFonts w:ascii="Book Antiqua" w:hAnsi="Book Antiqua"/>
          <w:sz w:val="22"/>
          <w:szCs w:val="22"/>
        </w:rPr>
        <w:t>nonymity</w:t>
      </w:r>
      <w:r w:rsidR="00321C6F" w:rsidRPr="00596227">
        <w:rPr>
          <w:rFonts w:ascii="Book Antiqua" w:hAnsi="Book Antiqua"/>
          <w:sz w:val="22"/>
          <w:szCs w:val="22"/>
        </w:rPr>
        <w:t xml:space="preserve"> has been </w:t>
      </w:r>
      <w:r w:rsidR="004B6704" w:rsidRPr="00596227">
        <w:rPr>
          <w:rFonts w:ascii="Book Antiqua" w:hAnsi="Book Antiqua"/>
          <w:sz w:val="22"/>
          <w:szCs w:val="22"/>
        </w:rPr>
        <w:t>preserved herein</w:t>
      </w:r>
      <w:r w:rsidR="00321C6F" w:rsidRPr="00596227">
        <w:rPr>
          <w:rFonts w:ascii="Book Antiqua" w:hAnsi="Book Antiqua"/>
          <w:sz w:val="22"/>
          <w:szCs w:val="22"/>
        </w:rPr>
        <w:t>.</w:t>
      </w:r>
    </w:p>
    <w:p w:rsidR="00321C6F" w:rsidRPr="00596227" w:rsidRDefault="00321C6F" w:rsidP="00321C6F">
      <w:pPr>
        <w:jc w:val="both"/>
        <w:rPr>
          <w:rFonts w:ascii="Book Antiqua" w:hAnsi="Book Antiqua" w:cs="Arial"/>
          <w:sz w:val="22"/>
          <w:szCs w:val="22"/>
        </w:rPr>
      </w:pPr>
    </w:p>
    <w:p w:rsidR="00321C6F" w:rsidRPr="00596227" w:rsidRDefault="00321C6F" w:rsidP="00321C6F">
      <w:pPr>
        <w:jc w:val="both"/>
        <w:rPr>
          <w:rFonts w:ascii="Book Antiqua" w:hAnsi="Book Antiqua" w:cs="Arial"/>
          <w:sz w:val="22"/>
          <w:szCs w:val="22"/>
        </w:rPr>
      </w:pPr>
    </w:p>
    <w:p w:rsidR="00321C6F" w:rsidRPr="00596227" w:rsidRDefault="00321C6F" w:rsidP="00321C6F">
      <w:pPr>
        <w:jc w:val="both"/>
        <w:rPr>
          <w:rFonts w:ascii="Book Antiqua" w:hAnsi="Book Antiqua" w:cs="Arial"/>
          <w:sz w:val="22"/>
          <w:szCs w:val="22"/>
        </w:rPr>
      </w:pPr>
      <w:r w:rsidRPr="00596227">
        <w:rPr>
          <w:rFonts w:ascii="Book Antiqua" w:hAnsi="Book Antiqua"/>
          <w:sz w:val="22"/>
          <w:szCs w:val="22"/>
        </w:rPr>
        <w:tab/>
      </w:r>
      <w:r w:rsidRPr="00596227">
        <w:rPr>
          <w:rFonts w:ascii="Book Antiqua" w:hAnsi="Book Antiqua"/>
          <w:sz w:val="22"/>
          <w:szCs w:val="22"/>
        </w:rPr>
        <w:tab/>
      </w:r>
      <w:r w:rsidR="00FE0046" w:rsidRPr="00596227">
        <w:rPr>
          <w:rFonts w:ascii="Book Antiqua" w:hAnsi="Book Antiqua"/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596227" w:rsidRDefault="00321C6F" w:rsidP="00321C6F">
      <w:pPr>
        <w:jc w:val="both"/>
        <w:rPr>
          <w:rFonts w:ascii="Book Antiqua" w:hAnsi="Book Antiqua" w:cs="Arial"/>
          <w:sz w:val="22"/>
          <w:szCs w:val="22"/>
        </w:rPr>
      </w:pPr>
    </w:p>
    <w:p w:rsidR="00321C6F" w:rsidRPr="00596227" w:rsidRDefault="00321C6F" w:rsidP="00321C6F">
      <w:pPr>
        <w:jc w:val="both"/>
        <w:rPr>
          <w:rFonts w:ascii="Book Antiqua" w:hAnsi="Book Antiqua" w:cs="Arial"/>
          <w:sz w:val="22"/>
          <w:szCs w:val="22"/>
        </w:rPr>
      </w:pPr>
    </w:p>
    <w:p w:rsidR="00321C6F" w:rsidRPr="00596227" w:rsidRDefault="00321C6F" w:rsidP="00321C6F">
      <w:pPr>
        <w:jc w:val="both"/>
        <w:rPr>
          <w:rFonts w:ascii="Book Antiqua" w:hAnsi="Book Antiqua" w:cs="Arial"/>
          <w:sz w:val="22"/>
          <w:szCs w:val="22"/>
        </w:rPr>
      </w:pPr>
      <w:r w:rsidRPr="00596227">
        <w:rPr>
          <w:rFonts w:ascii="Book Antiqua" w:hAnsi="Book Antiqua" w:cs="Arial"/>
          <w:sz w:val="22"/>
          <w:szCs w:val="22"/>
        </w:rPr>
        <w:tab/>
      </w:r>
      <w:r w:rsidRPr="00596227">
        <w:rPr>
          <w:rFonts w:ascii="Book Antiqua" w:hAnsi="Book Antiqua" w:cs="Arial"/>
          <w:sz w:val="22"/>
          <w:szCs w:val="22"/>
        </w:rPr>
        <w:tab/>
      </w:r>
      <w:r w:rsidR="004B6704" w:rsidRPr="00596227">
        <w:rPr>
          <w:rFonts w:ascii="Book Antiqua" w:hAnsi="Book Antiqua" w:cs="Arial"/>
          <w:sz w:val="22"/>
          <w:szCs w:val="22"/>
        </w:rPr>
        <w:t xml:space="preserve">28 June </w:t>
      </w:r>
      <w:r w:rsidR="000B442A" w:rsidRPr="00596227">
        <w:rPr>
          <w:rFonts w:ascii="Book Antiqua" w:hAnsi="Book Antiqua" w:cs="Arial"/>
          <w:sz w:val="22"/>
          <w:szCs w:val="22"/>
        </w:rPr>
        <w:t>20</w:t>
      </w:r>
      <w:r w:rsidR="00A810D2" w:rsidRPr="00596227">
        <w:rPr>
          <w:rFonts w:ascii="Book Antiqua" w:hAnsi="Book Antiqua" w:cs="Arial"/>
          <w:sz w:val="22"/>
          <w:szCs w:val="22"/>
        </w:rPr>
        <w:t>1</w:t>
      </w:r>
      <w:r w:rsidR="00B170ED" w:rsidRPr="00596227">
        <w:rPr>
          <w:rFonts w:ascii="Book Antiqua" w:hAnsi="Book Antiqua" w:cs="Arial"/>
          <w:sz w:val="22"/>
          <w:szCs w:val="22"/>
        </w:rPr>
        <w:t>8</w:t>
      </w:r>
      <w:r w:rsidRPr="00596227">
        <w:rPr>
          <w:rFonts w:ascii="Book Antiqua" w:hAnsi="Book Antiqua" w:cs="Arial"/>
          <w:sz w:val="22"/>
          <w:szCs w:val="22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 w:rsidRPr="00596227">
        <w:rPr>
          <w:rFonts w:ascii="Book Antiqua" w:hAnsi="Book Antiqua" w:cs="Arial"/>
          <w:sz w:val="22"/>
          <w:szCs w:val="22"/>
        </w:rPr>
        <w:tab/>
      </w:r>
      <w:r w:rsidRPr="00596227">
        <w:rPr>
          <w:rFonts w:ascii="Book Antiqua" w:hAnsi="Book Antiqua" w:cs="Arial"/>
          <w:sz w:val="22"/>
          <w:szCs w:val="22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D0507B">
      <w:headerReference w:type="default" r:id="rId10"/>
      <w:footerReference w:type="default" r:id="rId11"/>
      <w:footerReference w:type="first" r:id="rId12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EC6" w:rsidRDefault="00E76EC6">
      <w:r>
        <w:separator/>
      </w:r>
    </w:p>
  </w:endnote>
  <w:endnote w:type="continuationSeparator" w:id="0">
    <w:p w:rsidR="00E76EC6" w:rsidRDefault="00E7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7A0A16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D0507B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EC6" w:rsidRDefault="00E76EC6">
      <w:r>
        <w:separator/>
      </w:r>
    </w:p>
  </w:footnote>
  <w:footnote w:type="continuationSeparator" w:id="0">
    <w:p w:rsidR="00E76EC6" w:rsidRDefault="00E76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D0507B" w:rsidRDefault="00D0507B" w:rsidP="00D0507B">
    <w:pPr>
      <w:pStyle w:val="Header"/>
      <w:jc w:val="right"/>
      <w:rPr>
        <w:sz w:val="20"/>
        <w:szCs w:val="20"/>
      </w:rPr>
    </w:pPr>
    <w:r w:rsidRPr="00D0507B">
      <w:rPr>
        <w:rFonts w:ascii="Book Antiqua" w:hAnsi="Book Antiqua" w:cs="Arial"/>
        <w:color w:val="000000"/>
        <w:sz w:val="20"/>
        <w:szCs w:val="20"/>
      </w:rPr>
      <w:t xml:space="preserve">Appeal Number: </w:t>
    </w:r>
    <w:r w:rsidRPr="00D0507B">
      <w:rPr>
        <w:rFonts w:ascii="Book Antiqua" w:hAnsi="Book Antiqua" w:cs="Arial"/>
        <w:caps/>
        <w:color w:val="000000"/>
        <w:sz w:val="20"/>
        <w:szCs w:val="20"/>
      </w:rPr>
      <w:t>PA/07536/2017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5159"/>
    <w:rsid w:val="00007BAC"/>
    <w:rsid w:val="00016F1B"/>
    <w:rsid w:val="00041D70"/>
    <w:rsid w:val="0004604F"/>
    <w:rsid w:val="00050F40"/>
    <w:rsid w:val="000777B7"/>
    <w:rsid w:val="0008452A"/>
    <w:rsid w:val="00087C41"/>
    <w:rsid w:val="000B442A"/>
    <w:rsid w:val="000D056B"/>
    <w:rsid w:val="001103E2"/>
    <w:rsid w:val="00114A7F"/>
    <w:rsid w:val="00117089"/>
    <w:rsid w:val="001312F8"/>
    <w:rsid w:val="00172233"/>
    <w:rsid w:val="00184269"/>
    <w:rsid w:val="001A56EB"/>
    <w:rsid w:val="001B0326"/>
    <w:rsid w:val="001D6343"/>
    <w:rsid w:val="001D6ADD"/>
    <w:rsid w:val="001E0145"/>
    <w:rsid w:val="001E416D"/>
    <w:rsid w:val="001F37F6"/>
    <w:rsid w:val="001F3A81"/>
    <w:rsid w:val="002019A7"/>
    <w:rsid w:val="002065B8"/>
    <w:rsid w:val="00212A6A"/>
    <w:rsid w:val="002135A6"/>
    <w:rsid w:val="002154EF"/>
    <w:rsid w:val="00224440"/>
    <w:rsid w:val="0023620D"/>
    <w:rsid w:val="00266FFE"/>
    <w:rsid w:val="00274F92"/>
    <w:rsid w:val="00296619"/>
    <w:rsid w:val="002C683E"/>
    <w:rsid w:val="002D1985"/>
    <w:rsid w:val="002E2DBB"/>
    <w:rsid w:val="00315C1A"/>
    <w:rsid w:val="00321C6F"/>
    <w:rsid w:val="003812EE"/>
    <w:rsid w:val="003C031C"/>
    <w:rsid w:val="003C1934"/>
    <w:rsid w:val="003D7D3D"/>
    <w:rsid w:val="003D7F34"/>
    <w:rsid w:val="003E6445"/>
    <w:rsid w:val="004171D0"/>
    <w:rsid w:val="004236E4"/>
    <w:rsid w:val="00441640"/>
    <w:rsid w:val="004541E5"/>
    <w:rsid w:val="0046122D"/>
    <w:rsid w:val="00470675"/>
    <w:rsid w:val="004A012D"/>
    <w:rsid w:val="004A0427"/>
    <w:rsid w:val="004B6704"/>
    <w:rsid w:val="004D0A87"/>
    <w:rsid w:val="0050518F"/>
    <w:rsid w:val="00513527"/>
    <w:rsid w:val="00524905"/>
    <w:rsid w:val="00543EE3"/>
    <w:rsid w:val="00556381"/>
    <w:rsid w:val="0057020B"/>
    <w:rsid w:val="00570F54"/>
    <w:rsid w:val="00590CEE"/>
    <w:rsid w:val="00594CA2"/>
    <w:rsid w:val="00595C55"/>
    <w:rsid w:val="00596227"/>
    <w:rsid w:val="005A1712"/>
    <w:rsid w:val="005A2104"/>
    <w:rsid w:val="005C0382"/>
    <w:rsid w:val="005E61D6"/>
    <w:rsid w:val="005F6D40"/>
    <w:rsid w:val="00614020"/>
    <w:rsid w:val="00614E94"/>
    <w:rsid w:val="00624603"/>
    <w:rsid w:val="00624B87"/>
    <w:rsid w:val="0063091E"/>
    <w:rsid w:val="0065091A"/>
    <w:rsid w:val="00657E4A"/>
    <w:rsid w:val="0066054F"/>
    <w:rsid w:val="0067358B"/>
    <w:rsid w:val="006B1E4E"/>
    <w:rsid w:val="006D2D9A"/>
    <w:rsid w:val="006D788A"/>
    <w:rsid w:val="006D7C16"/>
    <w:rsid w:val="006E3DE1"/>
    <w:rsid w:val="00702DBB"/>
    <w:rsid w:val="00734D2D"/>
    <w:rsid w:val="00736980"/>
    <w:rsid w:val="007412E0"/>
    <w:rsid w:val="00750811"/>
    <w:rsid w:val="00766A8E"/>
    <w:rsid w:val="007739A9"/>
    <w:rsid w:val="00774C7C"/>
    <w:rsid w:val="007862DA"/>
    <w:rsid w:val="00786D9A"/>
    <w:rsid w:val="007A0A16"/>
    <w:rsid w:val="007A74B9"/>
    <w:rsid w:val="007B3623"/>
    <w:rsid w:val="007C246B"/>
    <w:rsid w:val="007D4F80"/>
    <w:rsid w:val="007F7538"/>
    <w:rsid w:val="0080239D"/>
    <w:rsid w:val="008034BB"/>
    <w:rsid w:val="00803B55"/>
    <w:rsid w:val="00810338"/>
    <w:rsid w:val="00813872"/>
    <w:rsid w:val="00836F82"/>
    <w:rsid w:val="0084433E"/>
    <w:rsid w:val="008553C9"/>
    <w:rsid w:val="00861DE2"/>
    <w:rsid w:val="00871A6A"/>
    <w:rsid w:val="008832E8"/>
    <w:rsid w:val="008A64A7"/>
    <w:rsid w:val="008B5B9B"/>
    <w:rsid w:val="008C2761"/>
    <w:rsid w:val="008D4782"/>
    <w:rsid w:val="008F111B"/>
    <w:rsid w:val="008F2CE1"/>
    <w:rsid w:val="00923BA9"/>
    <w:rsid w:val="0092655F"/>
    <w:rsid w:val="00926DE2"/>
    <w:rsid w:val="00933B65"/>
    <w:rsid w:val="009701EB"/>
    <w:rsid w:val="009752E5"/>
    <w:rsid w:val="0098296C"/>
    <w:rsid w:val="009A61FE"/>
    <w:rsid w:val="009E3D21"/>
    <w:rsid w:val="009F361B"/>
    <w:rsid w:val="00A16244"/>
    <w:rsid w:val="00A8057F"/>
    <w:rsid w:val="00A810D2"/>
    <w:rsid w:val="00A84C09"/>
    <w:rsid w:val="00A86A8D"/>
    <w:rsid w:val="00AA199C"/>
    <w:rsid w:val="00AA25A1"/>
    <w:rsid w:val="00AA5502"/>
    <w:rsid w:val="00AC3961"/>
    <w:rsid w:val="00B10CD6"/>
    <w:rsid w:val="00B170ED"/>
    <w:rsid w:val="00B507F0"/>
    <w:rsid w:val="00B52844"/>
    <w:rsid w:val="00B873BE"/>
    <w:rsid w:val="00B90E88"/>
    <w:rsid w:val="00BB2B34"/>
    <w:rsid w:val="00BB470C"/>
    <w:rsid w:val="00BB69F4"/>
    <w:rsid w:val="00BC0611"/>
    <w:rsid w:val="00BC220A"/>
    <w:rsid w:val="00BC7B87"/>
    <w:rsid w:val="00BE34CF"/>
    <w:rsid w:val="00BE6FB7"/>
    <w:rsid w:val="00C013D8"/>
    <w:rsid w:val="00C01F6A"/>
    <w:rsid w:val="00C13FB9"/>
    <w:rsid w:val="00C15A7E"/>
    <w:rsid w:val="00C30106"/>
    <w:rsid w:val="00C51B29"/>
    <w:rsid w:val="00C60330"/>
    <w:rsid w:val="00C628F1"/>
    <w:rsid w:val="00CD5AEE"/>
    <w:rsid w:val="00CD67ED"/>
    <w:rsid w:val="00CF0FE6"/>
    <w:rsid w:val="00D0507B"/>
    <w:rsid w:val="00D20396"/>
    <w:rsid w:val="00D21105"/>
    <w:rsid w:val="00D31D54"/>
    <w:rsid w:val="00D44C2B"/>
    <w:rsid w:val="00D46245"/>
    <w:rsid w:val="00D760F5"/>
    <w:rsid w:val="00DA3352"/>
    <w:rsid w:val="00DA3D04"/>
    <w:rsid w:val="00DC699D"/>
    <w:rsid w:val="00E0122A"/>
    <w:rsid w:val="00E12DFD"/>
    <w:rsid w:val="00E2117F"/>
    <w:rsid w:val="00E26388"/>
    <w:rsid w:val="00E4610F"/>
    <w:rsid w:val="00E76EC6"/>
    <w:rsid w:val="00E91DAC"/>
    <w:rsid w:val="00EA3D98"/>
    <w:rsid w:val="00EE5B95"/>
    <w:rsid w:val="00EE6CE7"/>
    <w:rsid w:val="00F125AD"/>
    <w:rsid w:val="00F40619"/>
    <w:rsid w:val="00F47052"/>
    <w:rsid w:val="00F648C0"/>
    <w:rsid w:val="00F85C8A"/>
    <w:rsid w:val="00FA0A2E"/>
    <w:rsid w:val="00FA2A43"/>
    <w:rsid w:val="00FA7FC0"/>
    <w:rsid w:val="00FB0516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86D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6D9A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5FD76-C117-4DBB-8A04-FCD17B17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2018-07-30T10:44:00Z</dcterms:created>
  <dcterms:modified xsi:type="dcterms:W3CDTF">2018-07-30T10:45:00Z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