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A5147" w:rsidRDefault="00751F47" w:rsidP="00C321B5">
      <w:pPr>
        <w:jc w:val="center"/>
        <w:rPr>
          <w:rFonts w:ascii="Book Antiqua" w:hAnsi="Book Antiqua" w:cs="Arial"/>
          <w:sz w:val="16"/>
          <w:szCs w:val="16"/>
        </w:rPr>
      </w:pPr>
      <w:r w:rsidRPr="00FA5147">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A5147"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662C2"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662C2" w:rsidRPr="008662C2">
        <w:rPr>
          <w:rFonts w:ascii="Book Antiqua" w:hAnsi="Book Antiqua" w:cs="Arial"/>
          <w:caps/>
        </w:rPr>
        <w:t>PA/</w:t>
      </w:r>
      <w:r w:rsidR="00B15D74">
        <w:rPr>
          <w:rFonts w:ascii="Book Antiqua" w:hAnsi="Book Antiqua" w:cs="Arial"/>
          <w:caps/>
        </w:rPr>
        <w:t>0</w:t>
      </w:r>
      <w:r w:rsidR="00496AF1">
        <w:rPr>
          <w:rFonts w:ascii="Book Antiqua" w:hAnsi="Book Antiqua" w:cs="Arial"/>
          <w:caps/>
        </w:rPr>
        <w:t>7987</w:t>
      </w:r>
      <w:r w:rsidR="008662C2" w:rsidRPr="008662C2">
        <w:rPr>
          <w:rFonts w:ascii="Book Antiqua" w:hAnsi="Book Antiqua" w:cs="Arial"/>
          <w:caps/>
        </w:rPr>
        <w:t>/201</w:t>
      </w:r>
      <w:r w:rsidR="0096632C">
        <w:rPr>
          <w:rFonts w:ascii="Book Antiqua" w:hAnsi="Book Antiqua" w:cs="Arial"/>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FA5147" w:rsidRPr="00F5664C" w:rsidRDefault="00FA5147"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Heard at </w:t>
            </w:r>
            <w:r w:rsidR="000B3FBB">
              <w:rPr>
                <w:rFonts w:ascii="Book Antiqua" w:hAnsi="Book Antiqua" w:cs="Arial"/>
                <w:b/>
              </w:rPr>
              <w:t>North Shields</w:t>
            </w:r>
          </w:p>
        </w:tc>
        <w:tc>
          <w:tcPr>
            <w:tcW w:w="3960" w:type="dxa"/>
            <w:shd w:val="clear" w:color="auto" w:fill="auto"/>
          </w:tcPr>
          <w:p w:rsidR="00D22636" w:rsidRPr="00487C54" w:rsidRDefault="004153F5" w:rsidP="00487C54">
            <w:pPr>
              <w:jc w:val="both"/>
              <w:rPr>
                <w:rFonts w:ascii="Book Antiqua" w:hAnsi="Book Antiqua" w:cs="Arial"/>
                <w:b/>
              </w:rPr>
            </w:pPr>
            <w:r w:rsidRPr="00487C54">
              <w:rPr>
                <w:rFonts w:ascii="Book Antiqua" w:hAnsi="Book Antiqua" w:cs="Arial"/>
                <w:b/>
              </w:rPr>
              <w:t>Decision &amp; Reasons</w:t>
            </w:r>
            <w:r w:rsidR="00283659" w:rsidRPr="00487C54">
              <w:rPr>
                <w:rFonts w:ascii="Book Antiqua" w:hAnsi="Book Antiqua" w:cs="Arial"/>
                <w:b/>
              </w:rPr>
              <w:t xml:space="preserve"> Promulgated</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On </w:t>
            </w:r>
            <w:r w:rsidR="00496AF1">
              <w:rPr>
                <w:rFonts w:ascii="Book Antiqua" w:hAnsi="Book Antiqua" w:cs="Arial"/>
                <w:b/>
              </w:rPr>
              <w:t>22</w:t>
            </w:r>
            <w:r w:rsidR="00460E22" w:rsidRPr="00487C54">
              <w:rPr>
                <w:rFonts w:ascii="Book Antiqua" w:hAnsi="Book Antiqua" w:cs="Arial"/>
                <w:b/>
              </w:rPr>
              <w:t xml:space="preserve"> </w:t>
            </w:r>
            <w:r w:rsidR="00090EC4">
              <w:rPr>
                <w:rFonts w:ascii="Book Antiqua" w:hAnsi="Book Antiqua" w:cs="Arial"/>
                <w:b/>
              </w:rPr>
              <w:t>Ma</w:t>
            </w:r>
            <w:r w:rsidR="0096632C">
              <w:rPr>
                <w:rFonts w:ascii="Book Antiqua" w:hAnsi="Book Antiqua" w:cs="Arial"/>
                <w:b/>
              </w:rPr>
              <w:t>y</w:t>
            </w:r>
            <w:r w:rsidR="00460E22" w:rsidRPr="00487C54">
              <w:rPr>
                <w:rFonts w:ascii="Book Antiqua" w:hAnsi="Book Antiqua" w:cs="Arial"/>
                <w:b/>
              </w:rPr>
              <w:t xml:space="preserve"> 2018</w:t>
            </w:r>
          </w:p>
        </w:tc>
        <w:tc>
          <w:tcPr>
            <w:tcW w:w="3960" w:type="dxa"/>
            <w:shd w:val="clear" w:color="auto" w:fill="auto"/>
          </w:tcPr>
          <w:p w:rsidR="00D22636" w:rsidRPr="00487C54" w:rsidRDefault="00751F47" w:rsidP="00487C54">
            <w:pPr>
              <w:jc w:val="both"/>
              <w:rPr>
                <w:rFonts w:ascii="Book Antiqua" w:hAnsi="Book Antiqua" w:cs="Arial"/>
                <w:b/>
              </w:rPr>
            </w:pPr>
            <w:r>
              <w:rPr>
                <w:rFonts w:ascii="Book Antiqua" w:hAnsi="Book Antiqua" w:cs="Arial"/>
                <w:b/>
              </w:rPr>
              <w:t>On 24 May 2018</w:t>
            </w:r>
          </w:p>
        </w:tc>
      </w:tr>
      <w:tr w:rsidR="00D22636" w:rsidRPr="00487C54" w:rsidTr="00487C54">
        <w:tc>
          <w:tcPr>
            <w:tcW w:w="6048" w:type="dxa"/>
            <w:shd w:val="clear" w:color="auto" w:fill="auto"/>
          </w:tcPr>
          <w:p w:rsidR="00D22636" w:rsidRPr="00487C54" w:rsidRDefault="00D22636" w:rsidP="00487C54">
            <w:pPr>
              <w:jc w:val="both"/>
              <w:rPr>
                <w:rFonts w:ascii="Book Antiqua" w:hAnsi="Book Antiqua" w:cs="Arial"/>
                <w:b/>
              </w:rPr>
            </w:pPr>
          </w:p>
        </w:tc>
        <w:tc>
          <w:tcPr>
            <w:tcW w:w="3960" w:type="dxa"/>
            <w:shd w:val="clear" w:color="auto" w:fill="auto"/>
          </w:tcPr>
          <w:p w:rsidR="00D22636" w:rsidRPr="00487C54" w:rsidRDefault="00D22636" w:rsidP="00487C5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4B3E92">
        <w:rPr>
          <w:rFonts w:ascii="Book Antiqua" w:hAnsi="Book Antiqua" w:cs="Arial"/>
          <w:b/>
        </w:rPr>
        <w:t>JUDGE J M HOLMES</w:t>
      </w:r>
    </w:p>
    <w:p w:rsidR="00B16F58" w:rsidRDefault="00B16F58" w:rsidP="00A15234">
      <w:pPr>
        <w:jc w:val="center"/>
        <w:rPr>
          <w:rFonts w:ascii="Book Antiqua" w:hAnsi="Book Antiqua" w:cs="Arial"/>
          <w:b/>
        </w:rPr>
      </w:pPr>
    </w:p>
    <w:p w:rsidR="00FA5147" w:rsidRPr="00F5664C" w:rsidRDefault="00FA5147"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96AF1" w:rsidP="00742A8D">
      <w:pPr>
        <w:jc w:val="center"/>
        <w:rPr>
          <w:rFonts w:ascii="Book Antiqua" w:hAnsi="Book Antiqua" w:cs="Arial"/>
          <w:b/>
          <w:caps/>
        </w:rPr>
      </w:pPr>
      <w:r>
        <w:rPr>
          <w:rFonts w:ascii="Book Antiqua" w:hAnsi="Book Antiqua" w:cs="Arial"/>
          <w:b/>
          <w:caps/>
        </w:rPr>
        <w:t xml:space="preserve">E. </w:t>
      </w:r>
      <w:r w:rsidR="0096632C">
        <w:rPr>
          <w:rFonts w:ascii="Book Antiqua" w:hAnsi="Book Antiqua" w:cs="Arial"/>
          <w:b/>
          <w:caps/>
        </w:rPr>
        <w:t>M</w:t>
      </w:r>
      <w:r w:rsidR="000B3FBB">
        <w:rPr>
          <w:rFonts w:ascii="Book Antiqua" w:hAnsi="Book Antiqua" w:cs="Arial"/>
          <w:b/>
          <w:caps/>
        </w:rPr>
        <w:t>.</w:t>
      </w:r>
    </w:p>
    <w:p w:rsidR="004153F5" w:rsidRPr="00FA5147" w:rsidRDefault="004153F5" w:rsidP="004153F5">
      <w:pPr>
        <w:jc w:val="center"/>
        <w:rPr>
          <w:rFonts w:ascii="Book Antiqua" w:hAnsi="Book Antiqua" w:cs="Arial"/>
          <w:b/>
          <w:caps/>
          <w:sz w:val="22"/>
        </w:rPr>
      </w:pPr>
      <w:r w:rsidRPr="00FA5147">
        <w:rPr>
          <w:rFonts w:ascii="Book Antiqua" w:hAnsi="Book Antiqua" w:cs="Arial"/>
          <w:b/>
          <w:caps/>
          <w:sz w:val="22"/>
        </w:rPr>
        <w:t xml:space="preserve">(ANONYMITY DIRECTION </w:t>
      </w:r>
      <w:r w:rsidR="00CD2DDC" w:rsidRPr="00FA5147">
        <w:rPr>
          <w:rFonts w:ascii="Book Antiqua" w:hAnsi="Book Antiqua" w:cs="Arial"/>
          <w:b/>
          <w:caps/>
          <w:sz w:val="22"/>
        </w:rPr>
        <w:t>MADE</w:t>
      </w:r>
      <w:r w:rsidRPr="00FA5147">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FA5147" w:rsidRDefault="00FA5147" w:rsidP="00704B61">
      <w:pPr>
        <w:jc w:val="center"/>
        <w:rPr>
          <w:rFonts w:ascii="Book Antiqua" w:hAnsi="Book Antiqua" w:cs="Arial"/>
          <w:b/>
          <w:caps/>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FA5147" w:rsidRPr="00F5664C" w:rsidRDefault="00FA5147"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60E22">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60E22">
        <w:rPr>
          <w:rFonts w:ascii="Book Antiqua" w:hAnsi="Book Antiqua" w:cs="Arial"/>
        </w:rPr>
        <w:t>M</w:t>
      </w:r>
      <w:r w:rsidR="00496AF1">
        <w:rPr>
          <w:rFonts w:ascii="Book Antiqua" w:hAnsi="Book Antiqua" w:cs="Arial"/>
        </w:rPr>
        <w:t>s Rogers, Solicitor, Immigration Advice Centre Ltd</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60E22">
        <w:rPr>
          <w:rFonts w:ascii="Book Antiqua" w:hAnsi="Book Antiqua" w:cs="Arial"/>
        </w:rPr>
        <w:t xml:space="preserve">Mr </w:t>
      </w:r>
      <w:proofErr w:type="spellStart"/>
      <w:r w:rsidR="0096632C">
        <w:rPr>
          <w:rFonts w:ascii="Book Antiqua" w:hAnsi="Book Antiqua" w:cs="Arial"/>
        </w:rPr>
        <w:t>Diwnycz</w:t>
      </w:r>
      <w:proofErr w:type="spellEnd"/>
      <w:r w:rsidR="00460E22">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33811" w:rsidRDefault="006A51FF" w:rsidP="008B38D2">
      <w:pPr>
        <w:pStyle w:val="p"/>
      </w:pPr>
      <w:r>
        <w:t xml:space="preserve">The Appellant is a national of </w:t>
      </w:r>
      <w:r w:rsidR="00496AF1">
        <w:t>Egypt</w:t>
      </w:r>
      <w:r w:rsidR="00B477C8">
        <w:t xml:space="preserve">, who </w:t>
      </w:r>
      <w:r w:rsidR="000B3FBB">
        <w:t>entered the UK illegally</w:t>
      </w:r>
      <w:r w:rsidR="008B38D2">
        <w:t>,</w:t>
      </w:r>
      <w:r w:rsidR="000B3FBB">
        <w:t xml:space="preserve"> and claimed asylum</w:t>
      </w:r>
      <w:r w:rsidR="00440BF5">
        <w:t xml:space="preserve"> </w:t>
      </w:r>
      <w:r w:rsidR="00496AF1">
        <w:t>on 16 May</w:t>
      </w:r>
      <w:r w:rsidR="00006456">
        <w:t xml:space="preserve"> 201</w:t>
      </w:r>
      <w:r w:rsidR="0096632C">
        <w:t>6</w:t>
      </w:r>
      <w:r w:rsidR="00496AF1">
        <w:t>. That</w:t>
      </w:r>
      <w:r w:rsidR="00F8731F">
        <w:t xml:space="preserve"> </w:t>
      </w:r>
      <w:r>
        <w:t xml:space="preserve">protection claim was refused on </w:t>
      </w:r>
      <w:r w:rsidR="005364FB">
        <w:t>3 August</w:t>
      </w:r>
      <w:r>
        <w:t xml:space="preserve"> 201</w:t>
      </w:r>
      <w:r w:rsidR="00F25A92">
        <w:t>7</w:t>
      </w:r>
      <w:r>
        <w:t xml:space="preserve">.  His appeal against that refusal came before the First-tier Tribunal at </w:t>
      </w:r>
      <w:r w:rsidR="008B38D2">
        <w:t>North Shields</w:t>
      </w:r>
      <w:r>
        <w:t xml:space="preserve"> when it was heard by First-tier Tribunal Judge </w:t>
      </w:r>
      <w:r w:rsidR="005364FB">
        <w:t>Moran</w:t>
      </w:r>
      <w:r>
        <w:t xml:space="preserve">. </w:t>
      </w:r>
      <w:r w:rsidR="006535B9">
        <w:t>T</w:t>
      </w:r>
      <w:r>
        <w:t>he appeal</w:t>
      </w:r>
      <w:r w:rsidR="006535B9">
        <w:t xml:space="preserve"> was </w:t>
      </w:r>
      <w:r w:rsidR="005364FB">
        <w:t>allow</w:t>
      </w:r>
      <w:r w:rsidR="003950EA">
        <w:t xml:space="preserve">ed on </w:t>
      </w:r>
      <w:r w:rsidR="005364FB">
        <w:t xml:space="preserve">asylum and human rights </w:t>
      </w:r>
      <w:r>
        <w:t xml:space="preserve">grounds in </w:t>
      </w:r>
      <w:r w:rsidR="00F8731F">
        <w:t>h</w:t>
      </w:r>
      <w:r w:rsidR="005364FB">
        <w:t>is</w:t>
      </w:r>
      <w:r>
        <w:t xml:space="preserve"> decision promulgated on </w:t>
      </w:r>
      <w:r w:rsidR="005364FB">
        <w:t>18 January</w:t>
      </w:r>
      <w:r>
        <w:t xml:space="preserve"> 201</w:t>
      </w:r>
      <w:r w:rsidR="005364FB">
        <w:t>8</w:t>
      </w:r>
      <w:r w:rsidR="003950EA">
        <w:t>.</w:t>
      </w:r>
    </w:p>
    <w:p w:rsidR="005364FB" w:rsidRDefault="006A51FF" w:rsidP="008B38D2">
      <w:pPr>
        <w:pStyle w:val="p"/>
      </w:pPr>
      <w:r>
        <w:t xml:space="preserve">The </w:t>
      </w:r>
      <w:r w:rsidR="005364FB">
        <w:t>Respondent’s</w:t>
      </w:r>
      <w:r w:rsidR="00852A9A">
        <w:t xml:space="preserve"> </w:t>
      </w:r>
      <w:r>
        <w:t xml:space="preserve">application for permission to appeal </w:t>
      </w:r>
      <w:r w:rsidR="003950EA">
        <w:t xml:space="preserve">was </w:t>
      </w:r>
      <w:r w:rsidR="005364FB">
        <w:t>grante</w:t>
      </w:r>
      <w:r w:rsidR="003950EA">
        <w:t xml:space="preserve">d by First </w:t>
      </w:r>
      <w:proofErr w:type="gramStart"/>
      <w:r w:rsidR="003950EA">
        <w:t>tier</w:t>
      </w:r>
      <w:proofErr w:type="gramEnd"/>
      <w:r w:rsidR="003950EA">
        <w:t xml:space="preserve"> Tribunal Judge </w:t>
      </w:r>
      <w:r w:rsidR="005364FB">
        <w:t>Pedr</w:t>
      </w:r>
      <w:r w:rsidR="00F25A92">
        <w:t>o</w:t>
      </w:r>
      <w:r w:rsidR="003950EA">
        <w:t xml:space="preserve"> on </w:t>
      </w:r>
      <w:r w:rsidR="005364FB">
        <w:t>5 February</w:t>
      </w:r>
      <w:r w:rsidR="003950EA">
        <w:t xml:space="preserve"> 201</w:t>
      </w:r>
      <w:r w:rsidR="005364FB">
        <w:t>8 on all grounds</w:t>
      </w:r>
      <w:r w:rsidR="003950EA">
        <w:t>.</w:t>
      </w:r>
    </w:p>
    <w:p w:rsidR="00865FBF" w:rsidRDefault="00865FBF" w:rsidP="008B38D2">
      <w:pPr>
        <w:pStyle w:val="p"/>
      </w:pPr>
      <w:r>
        <w:lastRenderedPageBreak/>
        <w:t>When the hearing of this appeal was called on before me,</w:t>
      </w:r>
      <w:r w:rsidR="005364FB">
        <w:t xml:space="preserve"> the parties</w:t>
      </w:r>
      <w:r>
        <w:t xml:space="preserve"> confirmed that no application to introduce evidence under Rule 15(2A) of the Upper Tribunal Procedure Rules had </w:t>
      </w:r>
      <w:r w:rsidR="00B477C8">
        <w:t xml:space="preserve">ever </w:t>
      </w:r>
      <w:r>
        <w:t>been made</w:t>
      </w:r>
      <w:r w:rsidR="005364FB">
        <w:t>, and no Rule 24 Reply had been lodged</w:t>
      </w:r>
      <w:r w:rsidR="00AB6D4D">
        <w:t>.</w:t>
      </w:r>
      <w:r w:rsidR="00DE46F9">
        <w:t xml:space="preserve"> </w:t>
      </w:r>
      <w:proofErr w:type="gramStart"/>
      <w:r w:rsidR="00DE46F9">
        <w:t>Thus</w:t>
      </w:r>
      <w:proofErr w:type="gramEnd"/>
      <w:r w:rsidR="00DE46F9">
        <w:t xml:space="preserve"> the matter comes before me.</w:t>
      </w:r>
    </w:p>
    <w:p w:rsidR="00517A98" w:rsidRDefault="003A0FB3" w:rsidP="008B38D2">
      <w:pPr>
        <w:pStyle w:val="p"/>
      </w:pPr>
      <w:r>
        <w:t>The</w:t>
      </w:r>
      <w:r w:rsidR="000C4652">
        <w:t xml:space="preserve">re are </w:t>
      </w:r>
      <w:r w:rsidR="00517A98">
        <w:t>two</w:t>
      </w:r>
      <w:r>
        <w:t xml:space="preserve"> grounds, as drafted</w:t>
      </w:r>
      <w:r w:rsidR="00517A98">
        <w:t>. The first is a challenge to the adequacy of the reasons given by the Judge for his decision</w:t>
      </w:r>
      <w:r>
        <w:t>,</w:t>
      </w:r>
      <w:r w:rsidR="000C4652">
        <w:t xml:space="preserve"> a</w:t>
      </w:r>
      <w:r w:rsidR="00517A98">
        <w:t>nd the second asserts that the decision i</w:t>
      </w:r>
      <w:r w:rsidR="00126311">
        <w:t>n relation to the ability to internally relocate within Egypt wa</w:t>
      </w:r>
      <w:r w:rsidR="00517A98">
        <w:t xml:space="preserve">s irrational or perverse. Before me Mr </w:t>
      </w:r>
      <w:proofErr w:type="spellStart"/>
      <w:r w:rsidR="00517A98">
        <w:t>Diwnycz</w:t>
      </w:r>
      <w:proofErr w:type="spellEnd"/>
      <w:r w:rsidR="00517A98">
        <w:t xml:space="preserve"> accepted that the complaint advanced in the second ground was not assisted by references to Albania</w:t>
      </w:r>
      <w:r w:rsidR="002062A3">
        <w:t xml:space="preserve">, and that </w:t>
      </w:r>
      <w:r w:rsidR="00126311">
        <w:t xml:space="preserve">the Judge had properly engaged with the Respondent’s case [30-1]. </w:t>
      </w:r>
      <w:proofErr w:type="gramStart"/>
      <w:r w:rsidR="00126311">
        <w:t>Thus</w:t>
      </w:r>
      <w:proofErr w:type="gramEnd"/>
      <w:r w:rsidR="00126311">
        <w:t xml:space="preserve"> this ground, as drafted, </w:t>
      </w:r>
      <w:r w:rsidR="002062A3">
        <w:t xml:space="preserve">fell well short of the high standards for such a complaint; </w:t>
      </w:r>
      <w:proofErr w:type="spellStart"/>
      <w:r w:rsidR="002062A3">
        <w:rPr>
          <w:u w:val="single"/>
        </w:rPr>
        <w:t>Miftari</w:t>
      </w:r>
      <w:proofErr w:type="spellEnd"/>
      <w:r w:rsidR="002062A3">
        <w:t>. I need say no more about it.</w:t>
      </w:r>
    </w:p>
    <w:p w:rsidR="00126311" w:rsidRDefault="002062A3" w:rsidP="008B38D2">
      <w:pPr>
        <w:pStyle w:val="p"/>
      </w:pPr>
      <w:r>
        <w:t xml:space="preserve">The real thrust of the first ground is a disagreement with the Judge’s decision to accept the opinion evidence of Dr Stein as an expert witness. That was however a decision that was well open to him, having set out Dr Stein’s relevant qualifications and experience [21]. If the Respondent had wished to seek to rebut the evidence of Dr Stein, then it was always open to her to do so, and she had taken no steps to do so. </w:t>
      </w:r>
      <w:proofErr w:type="gramStart"/>
      <w:r>
        <w:t>Thus</w:t>
      </w:r>
      <w:proofErr w:type="gramEnd"/>
      <w:r>
        <w:t xml:space="preserve"> no objective evidence had been offered to the Judge by the Respondent to demonstrate a picture inconsistent with that which he had painted</w:t>
      </w:r>
      <w:r w:rsidR="00126311">
        <w:t>. No adjournment had been sought upon receipt of his opinion evidence in order to instruct an alternative expert.</w:t>
      </w:r>
    </w:p>
    <w:p w:rsidR="00B42CF2" w:rsidRDefault="00637039" w:rsidP="008B38D2">
      <w:pPr>
        <w:pStyle w:val="p"/>
      </w:pPr>
      <w:r>
        <w:t>It follows that it was open to the Judge to accept Dr Stein’s unrebutted opinion evidence as reliable, and as evidence to which he could attach significant weight. Since the Respondent had conceded the Appellant’s claim that he was at risk of harm as a result of his involvement in a family blood feud, the issues for the Judge were narrow. The Judge was not satisfied that internal relocation was viable, and he gave adequate reasons for that conclusion;</w:t>
      </w:r>
      <w:r w:rsidR="00CF10FA">
        <w:t xml:space="preserve"> </w:t>
      </w:r>
      <w:r w:rsidR="00CF10FA" w:rsidRPr="005312A4">
        <w:rPr>
          <w:u w:val="single"/>
        </w:rPr>
        <w:t>MD (Turkey)</w:t>
      </w:r>
      <w:r w:rsidR="00CF10FA">
        <w:t xml:space="preserve"> [2017] EWCA </w:t>
      </w:r>
      <w:proofErr w:type="spellStart"/>
      <w:r w:rsidR="00CF10FA">
        <w:t>Civ</w:t>
      </w:r>
      <w:proofErr w:type="spellEnd"/>
      <w:r w:rsidR="00CF10FA">
        <w:t xml:space="preserve"> 1958.</w:t>
      </w:r>
      <w:r w:rsidR="00984240">
        <w:t xml:space="preserve"> </w:t>
      </w:r>
      <w:r w:rsidR="005312A4">
        <w:t xml:space="preserve">He was also not satisfied that there was adequate state protection against the risk, and he gave adequate reasons for that conclusion too. All of the findings were sourced </w:t>
      </w:r>
      <w:r w:rsidR="00C0513D">
        <w:t xml:space="preserve">in the evidence, and in particular the expert evidence of Dr Stein. </w:t>
      </w:r>
      <w:r w:rsidR="00984240">
        <w:t>The reality is that th</w:t>
      </w:r>
      <w:r w:rsidR="005312A4">
        <w:t>e Respondent’</w:t>
      </w:r>
      <w:r w:rsidR="00984240">
        <w:t>s complaints</w:t>
      </w:r>
      <w:r w:rsidR="00C0513D">
        <w:t xml:space="preserve"> over the adequacy of the reasons, are</w:t>
      </w:r>
      <w:r w:rsidR="00984240">
        <w:t xml:space="preserve"> no more than a disagreement with the Judge’s assessment of the weight that could be given to the evidence.</w:t>
      </w:r>
    </w:p>
    <w:p w:rsidR="00DA0E43" w:rsidRDefault="00DA0E43" w:rsidP="00DA0E43">
      <w:pPr>
        <w:numPr>
          <w:ilvl w:val="0"/>
          <w:numId w:val="3"/>
        </w:numPr>
        <w:spacing w:before="240"/>
        <w:jc w:val="both"/>
        <w:rPr>
          <w:rFonts w:ascii="Book Antiqua" w:hAnsi="Book Antiqua" w:cs="Arial"/>
        </w:rPr>
      </w:pPr>
      <w:r>
        <w:rPr>
          <w:rFonts w:ascii="Book Antiqua" w:hAnsi="Book Antiqua" w:cs="Arial"/>
        </w:rPr>
        <w:t xml:space="preserve">In the circumstances, and notwithstanding the terms in which permission to appeal was granted, I therefore dismiss the </w:t>
      </w:r>
      <w:r w:rsidR="00C0513D">
        <w:rPr>
          <w:rFonts w:ascii="Book Antiqua" w:hAnsi="Book Antiqua" w:cs="Arial"/>
        </w:rPr>
        <w:t>Respondent’s</w:t>
      </w:r>
      <w:r>
        <w:rPr>
          <w:rFonts w:ascii="Book Antiqua" w:hAnsi="Book Antiqua" w:cs="Arial"/>
        </w:rPr>
        <w:t xml:space="preserve"> challenge, and confirm the decision to </w:t>
      </w:r>
      <w:r w:rsidR="00C0513D">
        <w:rPr>
          <w:rFonts w:ascii="Book Antiqua" w:hAnsi="Book Antiqua" w:cs="Arial"/>
        </w:rPr>
        <w:t>allow</w:t>
      </w:r>
      <w:r>
        <w:rPr>
          <w:rFonts w:ascii="Book Antiqua" w:hAnsi="Book Antiqua" w:cs="Arial"/>
        </w:rPr>
        <w:t xml:space="preserve"> the appeal on all grounds.</w:t>
      </w:r>
    </w:p>
    <w:p w:rsidR="00DA0E43" w:rsidRPr="004153F5" w:rsidRDefault="00DA0E43" w:rsidP="00DA0E43">
      <w:pPr>
        <w:numPr>
          <w:ilvl w:val="0"/>
          <w:numId w:val="3"/>
        </w:numPr>
        <w:spacing w:before="240"/>
        <w:jc w:val="both"/>
        <w:rPr>
          <w:rFonts w:ascii="Book Antiqua" w:hAnsi="Book Antiqua" w:cs="Arial"/>
        </w:rPr>
      </w:pPr>
      <w:r>
        <w:rPr>
          <w:rFonts w:ascii="Book Antiqua" w:hAnsi="Book Antiqua" w:cs="Arial"/>
        </w:rPr>
        <w:t xml:space="preserve">The </w:t>
      </w:r>
      <w:r w:rsidRPr="004153F5">
        <w:rPr>
          <w:rFonts w:ascii="Book Antiqua" w:hAnsi="Book Antiqua" w:cs="Arial"/>
        </w:rPr>
        <w:t xml:space="preserve">anonymity direction </w:t>
      </w:r>
      <w:r>
        <w:rPr>
          <w:rFonts w:ascii="Book Antiqua" w:hAnsi="Book Antiqua" w:cs="Arial"/>
        </w:rPr>
        <w:t xml:space="preserve">previously made </w:t>
      </w:r>
      <w:r w:rsidRPr="004153F5">
        <w:rPr>
          <w:rFonts w:ascii="Book Antiqua" w:hAnsi="Book Antiqua" w:cs="Arial"/>
        </w:rPr>
        <w:t>is</w:t>
      </w:r>
      <w:r>
        <w:rPr>
          <w:rFonts w:ascii="Book Antiqua" w:hAnsi="Book Antiqua" w:cs="Arial"/>
        </w:rPr>
        <w:t xml:space="preserve"> continued</w:t>
      </w:r>
      <w:r w:rsidRPr="004153F5">
        <w:rPr>
          <w:rFonts w:ascii="Book Antiqua" w:hAnsi="Book Antiqua" w:cs="Arial"/>
        </w:rPr>
        <w:t>.</w:t>
      </w:r>
    </w:p>
    <w:p w:rsidR="00DA0E43" w:rsidRPr="004153F5" w:rsidRDefault="00DA0E43" w:rsidP="00DA0E43">
      <w:pPr>
        <w:jc w:val="both"/>
        <w:rPr>
          <w:rFonts w:ascii="Book Antiqua" w:hAnsi="Book Antiqua" w:cs="Arial"/>
        </w:rPr>
      </w:pPr>
    </w:p>
    <w:p w:rsidR="00DA0E43" w:rsidRPr="004153F5" w:rsidRDefault="00DA0E43" w:rsidP="00DA0E43">
      <w:pPr>
        <w:spacing w:before="240"/>
        <w:jc w:val="both"/>
        <w:rPr>
          <w:rFonts w:ascii="Book Antiqua" w:hAnsi="Book Antiqua" w:cs="Arial"/>
          <w:u w:val="single"/>
        </w:rPr>
      </w:pPr>
      <w:r w:rsidRPr="004153F5">
        <w:rPr>
          <w:rFonts w:ascii="Book Antiqua" w:hAnsi="Book Antiqua" w:cs="Arial"/>
          <w:u w:val="single"/>
        </w:rPr>
        <w:t>Notice of decision</w:t>
      </w:r>
    </w:p>
    <w:p w:rsidR="00DA0E43" w:rsidRPr="0012180A" w:rsidRDefault="00DA0E43" w:rsidP="00DA0E43">
      <w:pPr>
        <w:spacing w:before="120" w:after="120"/>
        <w:jc w:val="both"/>
        <w:rPr>
          <w:rFonts w:ascii="Book Antiqua" w:hAnsi="Book Antiqua"/>
        </w:rPr>
      </w:pPr>
      <w:r>
        <w:rPr>
          <w:rFonts w:ascii="Book Antiqua" w:hAnsi="Book Antiqua"/>
        </w:rPr>
        <w:t xml:space="preserve">The decision promulgated on </w:t>
      </w:r>
      <w:r w:rsidR="00C0513D">
        <w:rPr>
          <w:rFonts w:ascii="Book Antiqua" w:hAnsi="Book Antiqua"/>
        </w:rPr>
        <w:t>18</w:t>
      </w:r>
      <w:r w:rsidR="00E12A83">
        <w:rPr>
          <w:rFonts w:ascii="Book Antiqua" w:hAnsi="Book Antiqua"/>
        </w:rPr>
        <w:t xml:space="preserve"> J</w:t>
      </w:r>
      <w:r w:rsidR="00C0513D">
        <w:rPr>
          <w:rFonts w:ascii="Book Antiqua" w:hAnsi="Book Antiqua"/>
        </w:rPr>
        <w:t>anuar</w:t>
      </w:r>
      <w:r w:rsidR="00E12A83">
        <w:rPr>
          <w:rFonts w:ascii="Book Antiqua" w:hAnsi="Book Antiqua"/>
        </w:rPr>
        <w:t>y</w:t>
      </w:r>
      <w:r>
        <w:rPr>
          <w:rFonts w:ascii="Book Antiqua" w:hAnsi="Book Antiqua"/>
        </w:rPr>
        <w:t xml:space="preserve"> 201</w:t>
      </w:r>
      <w:r w:rsidR="00C0513D">
        <w:rPr>
          <w:rFonts w:ascii="Book Antiqua" w:hAnsi="Book Antiqua"/>
        </w:rPr>
        <w:t>8</w:t>
      </w:r>
      <w:r>
        <w:rPr>
          <w:rFonts w:ascii="Book Antiqua" w:hAnsi="Book Antiqua"/>
        </w:rPr>
        <w:t xml:space="preserve">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w:t>
      </w:r>
      <w:r w:rsidR="00B740C3">
        <w:rPr>
          <w:rFonts w:ascii="Book Antiqua" w:hAnsi="Book Antiqua"/>
        </w:rPr>
        <w:t xml:space="preserve"> </w:t>
      </w:r>
      <w:r w:rsidR="00C0513D">
        <w:rPr>
          <w:rFonts w:ascii="Book Antiqua" w:hAnsi="Book Antiqua"/>
        </w:rPr>
        <w:t>allow</w:t>
      </w:r>
      <w:r w:rsidR="00B740C3">
        <w:rPr>
          <w:rFonts w:ascii="Book Antiqua" w:hAnsi="Book Antiqua"/>
        </w:rPr>
        <w:t xml:space="preserve"> the</w:t>
      </w:r>
      <w:r>
        <w:rPr>
          <w:rFonts w:ascii="Book Antiqua" w:hAnsi="Book Antiqua"/>
        </w:rPr>
        <w:t xml:space="preserve"> </w:t>
      </w:r>
      <w:r w:rsidRPr="0012180A">
        <w:rPr>
          <w:rFonts w:ascii="Book Antiqua" w:hAnsi="Book Antiqua"/>
        </w:rPr>
        <w:t>appeal is</w:t>
      </w:r>
      <w:r>
        <w:rPr>
          <w:rFonts w:ascii="Book Antiqua" w:hAnsi="Book Antiqua"/>
        </w:rPr>
        <w:t xml:space="preserve"> accordingly confirmed.</w:t>
      </w:r>
    </w:p>
    <w:p w:rsidR="00DA0E43" w:rsidRPr="004153F5" w:rsidRDefault="00DA0E43" w:rsidP="00DA0E43">
      <w:pPr>
        <w:jc w:val="both"/>
        <w:rPr>
          <w:rFonts w:ascii="Book Antiqua" w:hAnsi="Book Antiqua" w:cs="Arial"/>
        </w:rPr>
      </w:pPr>
    </w:p>
    <w:p w:rsidR="00F771D5" w:rsidRPr="004153F5" w:rsidRDefault="00F771D5" w:rsidP="00E12A83">
      <w:pPr>
        <w:spacing w:before="120" w:after="120"/>
        <w:jc w:val="both"/>
        <w:rPr>
          <w:rFonts w:ascii="Book Antiqua" w:hAnsi="Book Antiqua" w:cs="Arial"/>
        </w:rPr>
      </w:pPr>
      <w:r w:rsidRPr="004153F5">
        <w:rPr>
          <w:rFonts w:ascii="Book Antiqua" w:hAnsi="Book Antiqua" w:cs="Arial"/>
          <w:u w:val="single"/>
        </w:rPr>
        <w:lastRenderedPageBreak/>
        <w:t xml:space="preserve">Direction </w:t>
      </w:r>
      <w:r>
        <w:rPr>
          <w:rFonts w:ascii="Book Antiqua" w:hAnsi="Book Antiqua" w:cs="Arial"/>
          <w:u w:val="single"/>
        </w:rPr>
        <w:t>R</w:t>
      </w:r>
      <w:r w:rsidRPr="004153F5">
        <w:rPr>
          <w:rFonts w:ascii="Book Antiqua" w:hAnsi="Book Antiqua" w:cs="Arial"/>
          <w:u w:val="single"/>
        </w:rPr>
        <w:t xml:space="preserve">egarding </w:t>
      </w:r>
      <w:r>
        <w:rPr>
          <w:rFonts w:ascii="Book Antiqua" w:hAnsi="Book Antiqua" w:cs="Arial"/>
          <w:u w:val="single"/>
        </w:rPr>
        <w:t>A</w:t>
      </w:r>
      <w:r w:rsidRPr="004153F5">
        <w:rPr>
          <w:rFonts w:ascii="Book Antiqua" w:hAnsi="Book Antiqua" w:cs="Arial"/>
          <w:u w:val="single"/>
        </w:rPr>
        <w:t>nonymity – Rule 14 of the Tribunal Procedure (Upper Tribunal) Rules 2008</w:t>
      </w:r>
    </w:p>
    <w:p w:rsidR="00F771D5" w:rsidRPr="004153F5" w:rsidRDefault="00F771D5" w:rsidP="00F771D5">
      <w:pPr>
        <w:jc w:val="both"/>
        <w:rPr>
          <w:rFonts w:ascii="Book Antiqua" w:hAnsi="Book Antiqua" w:cs="Arial"/>
        </w:rPr>
      </w:pPr>
    </w:p>
    <w:p w:rsidR="00F771D5" w:rsidRPr="00687601" w:rsidRDefault="00F771D5" w:rsidP="00F771D5">
      <w:pPr>
        <w:jc w:val="both"/>
        <w:rPr>
          <w:rFonts w:ascii="Book Antiqua" w:hAnsi="Book Antiqua" w:cs="Arial"/>
        </w:rPr>
      </w:pPr>
      <w:r w:rsidRPr="004153F5">
        <w:rPr>
          <w:rFonts w:ascii="Book Antiqua" w:hAnsi="Book Antiqua" w:cs="Arial"/>
        </w:rPr>
        <w:t xml:space="preserve">Unless and </w:t>
      </w:r>
      <w:r w:rsidRPr="004153F5">
        <w:rPr>
          <w:rFonts w:ascii="Book Antiqua" w:hAnsi="Book Antiqua"/>
        </w:rPr>
        <w:t xml:space="preserve">until a Tribunal or court directs otherwise, the Appellant is granted anonymity.  No report of these proceedings shall directly or indirectly identify him or any member of </w:t>
      </w:r>
      <w:r w:rsidR="006E1DAD">
        <w:rPr>
          <w:rFonts w:ascii="Book Antiqua" w:hAnsi="Book Antiqua"/>
        </w:rPr>
        <w:t>his</w:t>
      </w:r>
      <w:r w:rsidRPr="004153F5">
        <w:rPr>
          <w:rFonts w:ascii="Book Antiqua" w:hAnsi="Book Antiqua"/>
        </w:rPr>
        <w:t xml:space="preserve"> family.  This direction applies both to the Appellant and to the Respondent.  Failure to comply with this direction could lead to contempt of court proceedings.</w:t>
      </w:r>
    </w:p>
    <w:p w:rsidR="00F771D5" w:rsidRDefault="00F771D5" w:rsidP="00F771D5">
      <w:pPr>
        <w:tabs>
          <w:tab w:val="left" w:pos="2520"/>
        </w:tabs>
        <w:jc w:val="both"/>
        <w:rPr>
          <w:rFonts w:ascii="Book Antiqua" w:hAnsi="Book Antiqua" w:cs="Arial"/>
        </w:rPr>
      </w:pPr>
    </w:p>
    <w:p w:rsidR="00FA5147" w:rsidRPr="00F5664C" w:rsidRDefault="00FA5147" w:rsidP="00F771D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E3CA8">
        <w:rPr>
          <w:rFonts w:ascii="Book Antiqua" w:hAnsi="Book Antiqua" w:cs="Arial"/>
        </w:rPr>
        <w:t xml:space="preserve"> </w:t>
      </w:r>
      <w:r w:rsidR="00C0513D">
        <w:rPr>
          <w:rFonts w:ascii="Book Antiqua" w:hAnsi="Book Antiqua" w:cs="Arial"/>
        </w:rPr>
        <w:t>22</w:t>
      </w:r>
      <w:r w:rsidR="0012180A">
        <w:rPr>
          <w:rFonts w:ascii="Book Antiqua" w:hAnsi="Book Antiqua" w:cs="Arial"/>
        </w:rPr>
        <w:t xml:space="preserve"> Ma</w:t>
      </w:r>
      <w:r w:rsidR="00E12A83">
        <w:rPr>
          <w:rFonts w:ascii="Book Antiqua" w:hAnsi="Book Antiqua" w:cs="Arial"/>
        </w:rPr>
        <w:t>y</w:t>
      </w:r>
      <w:r w:rsidR="00DE3CA8">
        <w:rPr>
          <w:rFonts w:ascii="Book Antiqua" w:hAnsi="Book Antiqua" w:cs="Arial"/>
        </w:rPr>
        <w:t xml:space="preserve"> 2018</w:t>
      </w:r>
    </w:p>
    <w:p w:rsidR="00FA5147" w:rsidRDefault="00FA5147" w:rsidP="0056420C">
      <w:pPr>
        <w:tabs>
          <w:tab w:val="left" w:pos="2520"/>
        </w:tabs>
        <w:jc w:val="both"/>
        <w:rPr>
          <w:rFonts w:ascii="Book Antiqua" w:hAnsi="Book Antiqua" w:cs="Arial"/>
        </w:rPr>
      </w:pPr>
    </w:p>
    <w:p w:rsidR="005B7789" w:rsidRPr="00F5664C" w:rsidRDefault="004B3E92" w:rsidP="0056420C">
      <w:pPr>
        <w:tabs>
          <w:tab w:val="left" w:pos="2520"/>
        </w:tabs>
        <w:jc w:val="both"/>
        <w:rPr>
          <w:rFonts w:ascii="Book Antiqua" w:hAnsi="Book Antiqua" w:cs="Arial"/>
        </w:rPr>
      </w:pPr>
      <w:r>
        <w:rPr>
          <w:rFonts w:ascii="Book Antiqua" w:hAnsi="Book Antiqua" w:cs="Arial"/>
        </w:rPr>
        <w:t>Deputy Upper Tribunal Judge J M Holmes</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4CD" w:rsidRDefault="00EB74CD">
      <w:r>
        <w:separator/>
      </w:r>
    </w:p>
  </w:endnote>
  <w:endnote w:type="continuationSeparator" w:id="0">
    <w:p w:rsidR="00EB74CD" w:rsidRDefault="00EB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007FF">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4CD" w:rsidRDefault="00EB74CD">
      <w:r>
        <w:separator/>
      </w:r>
    </w:p>
  </w:footnote>
  <w:footnote w:type="continuationSeparator" w:id="0">
    <w:p w:rsidR="00EB74CD" w:rsidRDefault="00EB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8662C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662C2">
      <w:rPr>
        <w:rFonts w:ascii="Book Antiqua" w:hAnsi="Book Antiqua" w:cs="Arial"/>
        <w:sz w:val="16"/>
        <w:szCs w:val="16"/>
      </w:rPr>
      <w:t>PA/</w:t>
    </w:r>
    <w:r w:rsidR="00517A98">
      <w:rPr>
        <w:rFonts w:ascii="Book Antiqua" w:hAnsi="Book Antiqua" w:cs="Arial"/>
        <w:sz w:val="16"/>
        <w:szCs w:val="16"/>
      </w:rPr>
      <w:t>07987</w:t>
    </w:r>
    <w:r w:rsidRPr="008662C2">
      <w:rPr>
        <w:rFonts w:ascii="Book Antiqua" w:hAnsi="Book Antiqua" w:cs="Arial"/>
        <w:sz w:val="16"/>
        <w:szCs w:val="16"/>
      </w:rPr>
      <w:t>/201</w:t>
    </w:r>
    <w:r w:rsidR="00DE46F9">
      <w:rPr>
        <w:rFonts w:ascii="Book Antiqua" w:hAnsi="Book Antiqua" w:cs="Arial"/>
        <w:sz w:val="16"/>
        <w:szCs w:val="16"/>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1"/>
  </w:num>
  <w:num w:numId="6">
    <w:abstractNumId w:val="13"/>
  </w:num>
  <w:num w:numId="7">
    <w:abstractNumId w:val="20"/>
  </w:num>
  <w:num w:numId="8">
    <w:abstractNumId w:val="9"/>
  </w:num>
  <w:num w:numId="9">
    <w:abstractNumId w:val="6"/>
  </w:num>
  <w:num w:numId="10">
    <w:abstractNumId w:val="19"/>
  </w:num>
  <w:num w:numId="11">
    <w:abstractNumId w:val="18"/>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7"/>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C2"/>
    <w:rsid w:val="00006456"/>
    <w:rsid w:val="000076C5"/>
    <w:rsid w:val="00033811"/>
    <w:rsid w:val="00033AD9"/>
    <w:rsid w:val="00033D3D"/>
    <w:rsid w:val="000369F5"/>
    <w:rsid w:val="00040BF3"/>
    <w:rsid w:val="00041DF8"/>
    <w:rsid w:val="00053EF8"/>
    <w:rsid w:val="000551DC"/>
    <w:rsid w:val="00062155"/>
    <w:rsid w:val="00071A7E"/>
    <w:rsid w:val="00073DC7"/>
    <w:rsid w:val="000746C0"/>
    <w:rsid w:val="00074D1D"/>
    <w:rsid w:val="0008009E"/>
    <w:rsid w:val="00090EC4"/>
    <w:rsid w:val="00092580"/>
    <w:rsid w:val="000B3FBB"/>
    <w:rsid w:val="000B4B7A"/>
    <w:rsid w:val="000B5306"/>
    <w:rsid w:val="000C4205"/>
    <w:rsid w:val="000C4652"/>
    <w:rsid w:val="000C5BE7"/>
    <w:rsid w:val="000D01C9"/>
    <w:rsid w:val="000D53D9"/>
    <w:rsid w:val="000D5D94"/>
    <w:rsid w:val="000E0CD7"/>
    <w:rsid w:val="000E6B04"/>
    <w:rsid w:val="000F25D1"/>
    <w:rsid w:val="000F4DE7"/>
    <w:rsid w:val="0010049F"/>
    <w:rsid w:val="00101B85"/>
    <w:rsid w:val="00113604"/>
    <w:rsid w:val="00114F8B"/>
    <w:rsid w:val="001165A7"/>
    <w:rsid w:val="001212D5"/>
    <w:rsid w:val="0012180A"/>
    <w:rsid w:val="00126311"/>
    <w:rsid w:val="00131FEF"/>
    <w:rsid w:val="001424D3"/>
    <w:rsid w:val="00142919"/>
    <w:rsid w:val="001455DF"/>
    <w:rsid w:val="00151BB7"/>
    <w:rsid w:val="00167D3A"/>
    <w:rsid w:val="00172127"/>
    <w:rsid w:val="00172FD4"/>
    <w:rsid w:val="001753A0"/>
    <w:rsid w:val="001A1E2C"/>
    <w:rsid w:val="001A4217"/>
    <w:rsid w:val="001A6AB2"/>
    <w:rsid w:val="001B223D"/>
    <w:rsid w:val="001D2DD8"/>
    <w:rsid w:val="001D3DB0"/>
    <w:rsid w:val="001D6922"/>
    <w:rsid w:val="001F047C"/>
    <w:rsid w:val="001F2716"/>
    <w:rsid w:val="001F58E7"/>
    <w:rsid w:val="0020133A"/>
    <w:rsid w:val="0020382C"/>
    <w:rsid w:val="002062A3"/>
    <w:rsid w:val="00207617"/>
    <w:rsid w:val="002101C9"/>
    <w:rsid w:val="002236E8"/>
    <w:rsid w:val="00223A1C"/>
    <w:rsid w:val="00234405"/>
    <w:rsid w:val="00241E2B"/>
    <w:rsid w:val="002531DE"/>
    <w:rsid w:val="002541E1"/>
    <w:rsid w:val="00255071"/>
    <w:rsid w:val="00283659"/>
    <w:rsid w:val="002843CA"/>
    <w:rsid w:val="00285C3A"/>
    <w:rsid w:val="00286C97"/>
    <w:rsid w:val="00287B05"/>
    <w:rsid w:val="00287B78"/>
    <w:rsid w:val="00287FC4"/>
    <w:rsid w:val="00297038"/>
    <w:rsid w:val="002B4097"/>
    <w:rsid w:val="002B4BE4"/>
    <w:rsid w:val="002C0BCF"/>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89B"/>
    <w:rsid w:val="00330BCA"/>
    <w:rsid w:val="00334215"/>
    <w:rsid w:val="00336CBF"/>
    <w:rsid w:val="00337926"/>
    <w:rsid w:val="00345657"/>
    <w:rsid w:val="003458C3"/>
    <w:rsid w:val="003546C8"/>
    <w:rsid w:val="00361D3F"/>
    <w:rsid w:val="00363F5C"/>
    <w:rsid w:val="00376272"/>
    <w:rsid w:val="00382DD9"/>
    <w:rsid w:val="003834A2"/>
    <w:rsid w:val="0038446E"/>
    <w:rsid w:val="003950EA"/>
    <w:rsid w:val="003A0FB3"/>
    <w:rsid w:val="003A7CF2"/>
    <w:rsid w:val="003B3EE6"/>
    <w:rsid w:val="003C5CE5"/>
    <w:rsid w:val="003D600C"/>
    <w:rsid w:val="003D7E0D"/>
    <w:rsid w:val="003E267B"/>
    <w:rsid w:val="003E7CD1"/>
    <w:rsid w:val="003F51DE"/>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60E22"/>
    <w:rsid w:val="00464F1A"/>
    <w:rsid w:val="00466A2B"/>
    <w:rsid w:val="00477193"/>
    <w:rsid w:val="0047793E"/>
    <w:rsid w:val="00487C54"/>
    <w:rsid w:val="00496AF1"/>
    <w:rsid w:val="00496B5D"/>
    <w:rsid w:val="004A1848"/>
    <w:rsid w:val="004A7783"/>
    <w:rsid w:val="004B0F37"/>
    <w:rsid w:val="004B26A5"/>
    <w:rsid w:val="004B3E92"/>
    <w:rsid w:val="004C323C"/>
    <w:rsid w:val="004C7BDC"/>
    <w:rsid w:val="004D24DD"/>
    <w:rsid w:val="004D6EAD"/>
    <w:rsid w:val="004E29B5"/>
    <w:rsid w:val="004E665F"/>
    <w:rsid w:val="004F5833"/>
    <w:rsid w:val="00501489"/>
    <w:rsid w:val="00502D64"/>
    <w:rsid w:val="00507FEC"/>
    <w:rsid w:val="00510F0E"/>
    <w:rsid w:val="00517A98"/>
    <w:rsid w:val="00520271"/>
    <w:rsid w:val="00521196"/>
    <w:rsid w:val="00522B40"/>
    <w:rsid w:val="005312A4"/>
    <w:rsid w:val="005336A4"/>
    <w:rsid w:val="005364FB"/>
    <w:rsid w:val="005479E1"/>
    <w:rsid w:val="00550419"/>
    <w:rsid w:val="005570FD"/>
    <w:rsid w:val="005575EA"/>
    <w:rsid w:val="0056420C"/>
    <w:rsid w:val="005659E0"/>
    <w:rsid w:val="00567276"/>
    <w:rsid w:val="0057790C"/>
    <w:rsid w:val="00585D47"/>
    <w:rsid w:val="00586987"/>
    <w:rsid w:val="00593795"/>
    <w:rsid w:val="005A725F"/>
    <w:rsid w:val="005A75FF"/>
    <w:rsid w:val="005B6C88"/>
    <w:rsid w:val="005B7789"/>
    <w:rsid w:val="005D3B80"/>
    <w:rsid w:val="005D6CBF"/>
    <w:rsid w:val="005F30DA"/>
    <w:rsid w:val="005F5FE1"/>
    <w:rsid w:val="0060331A"/>
    <w:rsid w:val="006052D5"/>
    <w:rsid w:val="0061740E"/>
    <w:rsid w:val="0062215B"/>
    <w:rsid w:val="0062623D"/>
    <w:rsid w:val="00637039"/>
    <w:rsid w:val="006405D9"/>
    <w:rsid w:val="006449EB"/>
    <w:rsid w:val="00647CEF"/>
    <w:rsid w:val="006535B9"/>
    <w:rsid w:val="006542F7"/>
    <w:rsid w:val="00654EE0"/>
    <w:rsid w:val="0065791C"/>
    <w:rsid w:val="00660C86"/>
    <w:rsid w:val="00690B8A"/>
    <w:rsid w:val="00691AC3"/>
    <w:rsid w:val="006A3DF4"/>
    <w:rsid w:val="006A51FF"/>
    <w:rsid w:val="006B6BBA"/>
    <w:rsid w:val="006C2EA6"/>
    <w:rsid w:val="006D1DFA"/>
    <w:rsid w:val="006D506B"/>
    <w:rsid w:val="006E1DAD"/>
    <w:rsid w:val="006E3C90"/>
    <w:rsid w:val="006F56D6"/>
    <w:rsid w:val="00704B61"/>
    <w:rsid w:val="0070679A"/>
    <w:rsid w:val="00707DB1"/>
    <w:rsid w:val="00713B3E"/>
    <w:rsid w:val="00720409"/>
    <w:rsid w:val="00722A1F"/>
    <w:rsid w:val="007353BB"/>
    <w:rsid w:val="00741E92"/>
    <w:rsid w:val="00742282"/>
    <w:rsid w:val="00742A8D"/>
    <w:rsid w:val="00751F47"/>
    <w:rsid w:val="00752359"/>
    <w:rsid w:val="007552A9"/>
    <w:rsid w:val="0075568A"/>
    <w:rsid w:val="007563E0"/>
    <w:rsid w:val="00757E54"/>
    <w:rsid w:val="00761858"/>
    <w:rsid w:val="00767D59"/>
    <w:rsid w:val="00776E97"/>
    <w:rsid w:val="00777B62"/>
    <w:rsid w:val="00780FD7"/>
    <w:rsid w:val="007912AD"/>
    <w:rsid w:val="007A1E53"/>
    <w:rsid w:val="007A1F28"/>
    <w:rsid w:val="007B0824"/>
    <w:rsid w:val="007C00D2"/>
    <w:rsid w:val="007C0CD9"/>
    <w:rsid w:val="007C351A"/>
    <w:rsid w:val="007C67CD"/>
    <w:rsid w:val="007D7157"/>
    <w:rsid w:val="007E226B"/>
    <w:rsid w:val="007E345F"/>
    <w:rsid w:val="007E3D5D"/>
    <w:rsid w:val="007E7696"/>
    <w:rsid w:val="007F60EF"/>
    <w:rsid w:val="008019AD"/>
    <w:rsid w:val="008057EB"/>
    <w:rsid w:val="00813A73"/>
    <w:rsid w:val="0082119B"/>
    <w:rsid w:val="008303B8"/>
    <w:rsid w:val="00833DCE"/>
    <w:rsid w:val="00842418"/>
    <w:rsid w:val="0084283A"/>
    <w:rsid w:val="008456F8"/>
    <w:rsid w:val="008500C0"/>
    <w:rsid w:val="00850588"/>
    <w:rsid w:val="00852A9A"/>
    <w:rsid w:val="008634DB"/>
    <w:rsid w:val="0086522F"/>
    <w:rsid w:val="00865FBF"/>
    <w:rsid w:val="008662C2"/>
    <w:rsid w:val="008715F9"/>
    <w:rsid w:val="00871D34"/>
    <w:rsid w:val="008741A2"/>
    <w:rsid w:val="00876028"/>
    <w:rsid w:val="008825B6"/>
    <w:rsid w:val="00884D10"/>
    <w:rsid w:val="0089003B"/>
    <w:rsid w:val="00895F7F"/>
    <w:rsid w:val="008B270C"/>
    <w:rsid w:val="008B38D2"/>
    <w:rsid w:val="008B731B"/>
    <w:rsid w:val="008C3D3D"/>
    <w:rsid w:val="008C71B9"/>
    <w:rsid w:val="008D4131"/>
    <w:rsid w:val="008F1932"/>
    <w:rsid w:val="008F294D"/>
    <w:rsid w:val="0090544D"/>
    <w:rsid w:val="0091209A"/>
    <w:rsid w:val="00921062"/>
    <w:rsid w:val="00922D25"/>
    <w:rsid w:val="0092618D"/>
    <w:rsid w:val="0093083E"/>
    <w:rsid w:val="009308D1"/>
    <w:rsid w:val="00933303"/>
    <w:rsid w:val="00944544"/>
    <w:rsid w:val="00946E41"/>
    <w:rsid w:val="00947072"/>
    <w:rsid w:val="00947526"/>
    <w:rsid w:val="00950912"/>
    <w:rsid w:val="0096632C"/>
    <w:rsid w:val="00966ECF"/>
    <w:rsid w:val="009727A3"/>
    <w:rsid w:val="00980AF2"/>
    <w:rsid w:val="0098267B"/>
    <w:rsid w:val="00984240"/>
    <w:rsid w:val="00987733"/>
    <w:rsid w:val="00987774"/>
    <w:rsid w:val="009A11E8"/>
    <w:rsid w:val="009A6967"/>
    <w:rsid w:val="009B0104"/>
    <w:rsid w:val="009B5DB5"/>
    <w:rsid w:val="009D521E"/>
    <w:rsid w:val="009E26EE"/>
    <w:rsid w:val="009E30B4"/>
    <w:rsid w:val="009E4E62"/>
    <w:rsid w:val="009E6222"/>
    <w:rsid w:val="009F365C"/>
    <w:rsid w:val="009F442D"/>
    <w:rsid w:val="009F5220"/>
    <w:rsid w:val="009F7C4D"/>
    <w:rsid w:val="009F7E3C"/>
    <w:rsid w:val="00A15234"/>
    <w:rsid w:val="00A201AB"/>
    <w:rsid w:val="00A211D6"/>
    <w:rsid w:val="00A216C7"/>
    <w:rsid w:val="00A27F13"/>
    <w:rsid w:val="00A31C8B"/>
    <w:rsid w:val="00A43BD7"/>
    <w:rsid w:val="00A45052"/>
    <w:rsid w:val="00A56176"/>
    <w:rsid w:val="00A62541"/>
    <w:rsid w:val="00A700EA"/>
    <w:rsid w:val="00A70EA8"/>
    <w:rsid w:val="00A740C1"/>
    <w:rsid w:val="00A75965"/>
    <w:rsid w:val="00A7722B"/>
    <w:rsid w:val="00A842B7"/>
    <w:rsid w:val="00A845DC"/>
    <w:rsid w:val="00A97AEE"/>
    <w:rsid w:val="00AA30E9"/>
    <w:rsid w:val="00AA6AF5"/>
    <w:rsid w:val="00AA6B53"/>
    <w:rsid w:val="00AA7166"/>
    <w:rsid w:val="00AB6D4D"/>
    <w:rsid w:val="00AC1B5C"/>
    <w:rsid w:val="00AC5CF6"/>
    <w:rsid w:val="00AC6753"/>
    <w:rsid w:val="00AC6E08"/>
    <w:rsid w:val="00AE327A"/>
    <w:rsid w:val="00AE35B5"/>
    <w:rsid w:val="00AE5DC5"/>
    <w:rsid w:val="00AF0622"/>
    <w:rsid w:val="00B144FA"/>
    <w:rsid w:val="00B14CB7"/>
    <w:rsid w:val="00B15A5F"/>
    <w:rsid w:val="00B15D74"/>
    <w:rsid w:val="00B16F58"/>
    <w:rsid w:val="00B25961"/>
    <w:rsid w:val="00B3005F"/>
    <w:rsid w:val="00B30648"/>
    <w:rsid w:val="00B337AA"/>
    <w:rsid w:val="00B3524D"/>
    <w:rsid w:val="00B37ADC"/>
    <w:rsid w:val="00B40F69"/>
    <w:rsid w:val="00B42CF2"/>
    <w:rsid w:val="00B4659E"/>
    <w:rsid w:val="00B46616"/>
    <w:rsid w:val="00B477C8"/>
    <w:rsid w:val="00B47828"/>
    <w:rsid w:val="00B52399"/>
    <w:rsid w:val="00B610E3"/>
    <w:rsid w:val="00B61205"/>
    <w:rsid w:val="00B617C4"/>
    <w:rsid w:val="00B626FA"/>
    <w:rsid w:val="00B7040A"/>
    <w:rsid w:val="00B740C3"/>
    <w:rsid w:val="00B917CA"/>
    <w:rsid w:val="00B96FA0"/>
    <w:rsid w:val="00BB0235"/>
    <w:rsid w:val="00BB5844"/>
    <w:rsid w:val="00BC2BF7"/>
    <w:rsid w:val="00BD4196"/>
    <w:rsid w:val="00BE0225"/>
    <w:rsid w:val="00BE31CE"/>
    <w:rsid w:val="00BF0D89"/>
    <w:rsid w:val="00BF22CA"/>
    <w:rsid w:val="00BF3AA5"/>
    <w:rsid w:val="00BF3E38"/>
    <w:rsid w:val="00BF7003"/>
    <w:rsid w:val="00C0513D"/>
    <w:rsid w:val="00C14413"/>
    <w:rsid w:val="00C26032"/>
    <w:rsid w:val="00C265B0"/>
    <w:rsid w:val="00C321B5"/>
    <w:rsid w:val="00C345E1"/>
    <w:rsid w:val="00C45556"/>
    <w:rsid w:val="00C5017B"/>
    <w:rsid w:val="00C60E5D"/>
    <w:rsid w:val="00C648DD"/>
    <w:rsid w:val="00C7282E"/>
    <w:rsid w:val="00C84141"/>
    <w:rsid w:val="00C977BA"/>
    <w:rsid w:val="00CA13EC"/>
    <w:rsid w:val="00CA5EE8"/>
    <w:rsid w:val="00CA7417"/>
    <w:rsid w:val="00CB6E35"/>
    <w:rsid w:val="00CC3360"/>
    <w:rsid w:val="00CC4A1A"/>
    <w:rsid w:val="00CC6CEE"/>
    <w:rsid w:val="00CD2DDC"/>
    <w:rsid w:val="00CE1A46"/>
    <w:rsid w:val="00CE26B2"/>
    <w:rsid w:val="00CE3956"/>
    <w:rsid w:val="00CE74B6"/>
    <w:rsid w:val="00CF10FA"/>
    <w:rsid w:val="00CF253F"/>
    <w:rsid w:val="00CF56B4"/>
    <w:rsid w:val="00CF5E17"/>
    <w:rsid w:val="00D01276"/>
    <w:rsid w:val="00D1251C"/>
    <w:rsid w:val="00D155E5"/>
    <w:rsid w:val="00D20F09"/>
    <w:rsid w:val="00D22636"/>
    <w:rsid w:val="00D40FD9"/>
    <w:rsid w:val="00D45764"/>
    <w:rsid w:val="00D53769"/>
    <w:rsid w:val="00D65912"/>
    <w:rsid w:val="00D706DC"/>
    <w:rsid w:val="00D85C1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7048"/>
    <w:rsid w:val="00E00A0A"/>
    <w:rsid w:val="00E04BC0"/>
    <w:rsid w:val="00E05528"/>
    <w:rsid w:val="00E07F57"/>
    <w:rsid w:val="00E1040E"/>
    <w:rsid w:val="00E12A83"/>
    <w:rsid w:val="00E3199A"/>
    <w:rsid w:val="00E43A93"/>
    <w:rsid w:val="00E50BCE"/>
    <w:rsid w:val="00E61292"/>
    <w:rsid w:val="00E76309"/>
    <w:rsid w:val="00E77C4D"/>
    <w:rsid w:val="00E80BE2"/>
    <w:rsid w:val="00E81D01"/>
    <w:rsid w:val="00E86807"/>
    <w:rsid w:val="00E87450"/>
    <w:rsid w:val="00E87B2E"/>
    <w:rsid w:val="00E904E1"/>
    <w:rsid w:val="00EA0A8F"/>
    <w:rsid w:val="00EA40C9"/>
    <w:rsid w:val="00EB74CD"/>
    <w:rsid w:val="00ED1CCF"/>
    <w:rsid w:val="00ED4F0F"/>
    <w:rsid w:val="00EE2C96"/>
    <w:rsid w:val="00EE35FF"/>
    <w:rsid w:val="00EE45D8"/>
    <w:rsid w:val="00EE5362"/>
    <w:rsid w:val="00EF126F"/>
    <w:rsid w:val="00EF3577"/>
    <w:rsid w:val="00F004CD"/>
    <w:rsid w:val="00F007FF"/>
    <w:rsid w:val="00F03B44"/>
    <w:rsid w:val="00F06C48"/>
    <w:rsid w:val="00F119C1"/>
    <w:rsid w:val="00F12F50"/>
    <w:rsid w:val="00F151EA"/>
    <w:rsid w:val="00F21508"/>
    <w:rsid w:val="00F22A22"/>
    <w:rsid w:val="00F22C21"/>
    <w:rsid w:val="00F22EDA"/>
    <w:rsid w:val="00F25A92"/>
    <w:rsid w:val="00F27B76"/>
    <w:rsid w:val="00F3224D"/>
    <w:rsid w:val="00F33E0E"/>
    <w:rsid w:val="00F42933"/>
    <w:rsid w:val="00F47AEA"/>
    <w:rsid w:val="00F5664C"/>
    <w:rsid w:val="00F67F04"/>
    <w:rsid w:val="00F75110"/>
    <w:rsid w:val="00F771D5"/>
    <w:rsid w:val="00F77C13"/>
    <w:rsid w:val="00F80609"/>
    <w:rsid w:val="00F8731F"/>
    <w:rsid w:val="00FA000D"/>
    <w:rsid w:val="00FA5147"/>
    <w:rsid w:val="00FB7E80"/>
    <w:rsid w:val="00FC57C1"/>
    <w:rsid w:val="00FC7B86"/>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5151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0DC0-E743-4ADD-B3D7-D8189E85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2018-06-18T15:12:00Z</dcterms:created>
  <dcterms:modified xsi:type="dcterms:W3CDTF">2018-06-18T15:12:00Z</dcterms:modified>
</cp:coreProperties>
</file>