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F97703" w:rsidRDefault="00933B65" w:rsidP="00933B65">
      <w:pPr>
        <w:rPr>
          <w:rFonts w:ascii="Book Antiqua" w:hAnsi="Book Antiqua" w:cs="Arial"/>
          <w:color w:val="000000"/>
          <w:sz w:val="16"/>
          <w:szCs w:val="16"/>
        </w:rPr>
      </w:pPr>
    </w:p>
    <w:p w:rsidR="00933B65" w:rsidRDefault="008D27FB" w:rsidP="00933B65">
      <w:pPr>
        <w:jc w:val="center"/>
        <w:rPr>
          <w:rFonts w:ascii="Book Antiqua" w:hAnsi="Book Antiqua" w:cs="Arial"/>
          <w:color w:val="000000"/>
        </w:rPr>
      </w:pPr>
      <w:r>
        <w:rPr>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7B6EFD" w:rsidRDefault="00933B65" w:rsidP="00933B65">
      <w:pPr>
        <w:tabs>
          <w:tab w:val="right" w:pos="9720"/>
        </w:tabs>
        <w:ind w:right="-82"/>
        <w:rPr>
          <w:rFonts w:ascii="Book Antiqua" w:hAnsi="Book Antiqua" w:cs="Arial"/>
          <w:b/>
          <w:color w:val="000000"/>
        </w:rPr>
      </w:pPr>
      <w:r w:rsidRPr="00F97703">
        <w:rPr>
          <w:rFonts w:ascii="Book Antiqua" w:hAnsi="Book Antiqua" w:cs="Arial"/>
          <w:b/>
          <w:color w:val="000000"/>
        </w:rPr>
        <w:t xml:space="preserve">(Immigration and Asylum </w:t>
      </w:r>
      <w:proofErr w:type="gramStart"/>
      <w:r w:rsidRPr="00F97703">
        <w:rPr>
          <w:rFonts w:ascii="Book Antiqua" w:hAnsi="Book Antiqua" w:cs="Arial"/>
          <w:b/>
          <w:color w:val="000000"/>
        </w:rPr>
        <w:t>Chamber)</w:t>
      </w:r>
      <w:r w:rsidR="007B6EFD">
        <w:rPr>
          <w:rFonts w:ascii="Book Antiqua" w:hAnsi="Book Antiqua" w:cs="Arial"/>
          <w:b/>
          <w:color w:val="000000"/>
        </w:rPr>
        <w:t xml:space="preserve">   </w:t>
      </w:r>
      <w:proofErr w:type="gramEnd"/>
      <w:r w:rsidR="007B6EFD">
        <w:rPr>
          <w:rFonts w:ascii="Book Antiqua" w:hAnsi="Book Antiqua" w:cs="Arial"/>
          <w:b/>
          <w:color w:val="000000"/>
        </w:rPr>
        <w:t xml:space="preserve">                   </w:t>
      </w:r>
      <w:r w:rsidRPr="007B6EFD">
        <w:rPr>
          <w:rFonts w:ascii="Book Antiqua" w:hAnsi="Book Antiqua" w:cs="Arial"/>
          <w:b/>
          <w:color w:val="000000"/>
        </w:rPr>
        <w:t>Appeal Number:</w:t>
      </w:r>
      <w:r w:rsidR="00553339" w:rsidRPr="007B6EFD">
        <w:rPr>
          <w:rFonts w:ascii="Book Antiqua" w:hAnsi="Book Antiqua" w:cs="Arial"/>
          <w:b/>
          <w:color w:val="000000"/>
        </w:rPr>
        <w:t xml:space="preserve"> PA</w:t>
      </w:r>
      <w:r w:rsidR="00306EE9" w:rsidRPr="007B6EFD">
        <w:rPr>
          <w:rFonts w:ascii="Book Antiqua" w:hAnsi="Book Antiqua" w:cs="Arial"/>
          <w:b/>
          <w:color w:val="000000"/>
        </w:rPr>
        <w:t>/</w:t>
      </w:r>
      <w:r w:rsidR="00553339" w:rsidRPr="007B6EFD">
        <w:rPr>
          <w:rFonts w:ascii="Book Antiqua" w:hAnsi="Book Antiqua" w:cs="Arial"/>
          <w:b/>
          <w:color w:val="000000"/>
        </w:rPr>
        <w:t>08015</w:t>
      </w:r>
      <w:r w:rsidR="007D6500" w:rsidRPr="007B6EFD">
        <w:rPr>
          <w:rFonts w:ascii="Book Antiqua" w:hAnsi="Book Antiqua" w:cs="Arial"/>
          <w:b/>
          <w:color w:val="000000"/>
        </w:rPr>
        <w:t>/201</w:t>
      </w:r>
      <w:r w:rsidR="00553339" w:rsidRPr="007B6EFD">
        <w:rPr>
          <w:rFonts w:ascii="Book Antiqua" w:hAnsi="Book Antiqua" w:cs="Arial"/>
          <w:b/>
          <w:color w:val="000000"/>
        </w:rPr>
        <w:t>7</w:t>
      </w:r>
    </w:p>
    <w:p w:rsidR="00933B65" w:rsidRPr="007B6EFD" w:rsidRDefault="00933B65" w:rsidP="00933B65">
      <w:pPr>
        <w:jc w:val="center"/>
        <w:rPr>
          <w:rFonts w:ascii="Book Antiqua" w:hAnsi="Book Antiqua" w:cs="Arial"/>
          <w:b/>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4685"/>
        <w:gridCol w:w="4953"/>
      </w:tblGrid>
      <w:tr w:rsidR="00933B65" w:rsidRPr="003B5957" w:rsidTr="007B6EFD">
        <w:tc>
          <w:tcPr>
            <w:tcW w:w="4685" w:type="dxa"/>
            <w:shd w:val="clear" w:color="auto" w:fill="auto"/>
          </w:tcPr>
          <w:p w:rsidR="00933B65" w:rsidRPr="003B5957" w:rsidRDefault="00933B65" w:rsidP="003B5957">
            <w:pPr>
              <w:jc w:val="both"/>
              <w:rPr>
                <w:rFonts w:ascii="Book Antiqua" w:hAnsi="Book Antiqua" w:cs="Arial"/>
                <w:b/>
              </w:rPr>
            </w:pPr>
            <w:r w:rsidRPr="003B5957">
              <w:rPr>
                <w:rFonts w:ascii="Book Antiqua" w:hAnsi="Book Antiqua" w:cs="Arial"/>
                <w:b/>
              </w:rPr>
              <w:t>Heard at Field House</w:t>
            </w:r>
          </w:p>
        </w:tc>
        <w:tc>
          <w:tcPr>
            <w:tcW w:w="4953" w:type="dxa"/>
            <w:shd w:val="clear" w:color="auto" w:fill="auto"/>
          </w:tcPr>
          <w:p w:rsidR="00933B65" w:rsidRPr="003B5957" w:rsidRDefault="007B6EFD" w:rsidP="003B5957">
            <w:pPr>
              <w:jc w:val="both"/>
              <w:rPr>
                <w:rFonts w:ascii="Book Antiqua" w:hAnsi="Book Antiqua" w:cs="Arial"/>
                <w:b/>
                <w:color w:val="000000"/>
              </w:rPr>
            </w:pPr>
            <w:r>
              <w:rPr>
                <w:rFonts w:ascii="Book Antiqua" w:hAnsi="Book Antiqua" w:cs="Arial"/>
                <w:b/>
                <w:color w:val="000000"/>
              </w:rPr>
              <w:t xml:space="preserve">        </w:t>
            </w:r>
            <w:r w:rsidR="008D27FB">
              <w:rPr>
                <w:rFonts w:ascii="Book Antiqua" w:hAnsi="Book Antiqua" w:cs="Arial"/>
                <w:b/>
                <w:color w:val="000000"/>
              </w:rPr>
              <w:t>Decision &amp; Reasons Promulgated</w:t>
            </w:r>
          </w:p>
        </w:tc>
      </w:tr>
      <w:tr w:rsidR="00933B65" w:rsidRPr="003B5957" w:rsidTr="007B6EFD">
        <w:tc>
          <w:tcPr>
            <w:tcW w:w="4685" w:type="dxa"/>
            <w:shd w:val="clear" w:color="auto" w:fill="auto"/>
          </w:tcPr>
          <w:p w:rsidR="00933B65" w:rsidRPr="003B5957" w:rsidRDefault="00933B65" w:rsidP="003B5957">
            <w:pPr>
              <w:jc w:val="both"/>
              <w:rPr>
                <w:rFonts w:ascii="Book Antiqua" w:hAnsi="Book Antiqua" w:cs="Arial"/>
                <w:b/>
              </w:rPr>
            </w:pPr>
            <w:r w:rsidRPr="003B5957">
              <w:rPr>
                <w:rFonts w:ascii="Book Antiqua" w:hAnsi="Book Antiqua" w:cs="Arial"/>
                <w:b/>
              </w:rPr>
              <w:t xml:space="preserve">On </w:t>
            </w:r>
            <w:r w:rsidR="00553339">
              <w:rPr>
                <w:rFonts w:ascii="Book Antiqua" w:hAnsi="Book Antiqua" w:cs="Arial"/>
                <w:b/>
              </w:rPr>
              <w:t>10</w:t>
            </w:r>
            <w:r w:rsidR="00553339" w:rsidRPr="00553339">
              <w:rPr>
                <w:rFonts w:ascii="Book Antiqua" w:hAnsi="Book Antiqua" w:cs="Arial"/>
                <w:b/>
                <w:vertAlign w:val="superscript"/>
              </w:rPr>
              <w:t>th</w:t>
            </w:r>
            <w:r w:rsidR="00553339">
              <w:rPr>
                <w:rFonts w:ascii="Book Antiqua" w:hAnsi="Book Antiqua" w:cs="Arial"/>
                <w:b/>
              </w:rPr>
              <w:t xml:space="preserve"> July</w:t>
            </w:r>
            <w:r w:rsidR="00027238">
              <w:rPr>
                <w:rFonts w:ascii="Book Antiqua" w:hAnsi="Book Antiqua" w:cs="Arial"/>
                <w:b/>
              </w:rPr>
              <w:t xml:space="preserve"> </w:t>
            </w:r>
            <w:r w:rsidR="00306EE9">
              <w:rPr>
                <w:rFonts w:ascii="Book Antiqua" w:hAnsi="Book Antiqua" w:cs="Arial"/>
                <w:b/>
              </w:rPr>
              <w:t>201</w:t>
            </w:r>
            <w:r w:rsidR="00787B10">
              <w:rPr>
                <w:rFonts w:ascii="Book Antiqua" w:hAnsi="Book Antiqua" w:cs="Arial"/>
                <w:b/>
              </w:rPr>
              <w:t>8</w:t>
            </w:r>
          </w:p>
        </w:tc>
        <w:tc>
          <w:tcPr>
            <w:tcW w:w="4953" w:type="dxa"/>
            <w:shd w:val="clear" w:color="auto" w:fill="auto"/>
          </w:tcPr>
          <w:p w:rsidR="00933B65" w:rsidRPr="003B5957" w:rsidRDefault="007B6EFD" w:rsidP="003B5957">
            <w:pPr>
              <w:jc w:val="both"/>
              <w:rPr>
                <w:rFonts w:ascii="Book Antiqua" w:hAnsi="Book Antiqua" w:cs="Arial"/>
                <w:b/>
              </w:rPr>
            </w:pPr>
            <w:r>
              <w:rPr>
                <w:rFonts w:ascii="Book Antiqua" w:hAnsi="Book Antiqua" w:cs="Arial"/>
                <w:b/>
              </w:rPr>
              <w:t xml:space="preserve">        </w:t>
            </w:r>
            <w:r w:rsidR="008D27FB">
              <w:rPr>
                <w:rFonts w:ascii="Book Antiqua" w:hAnsi="Book Antiqua" w:cs="Arial"/>
                <w:b/>
              </w:rPr>
              <w:t>On 12</w:t>
            </w:r>
            <w:r w:rsidR="008D27FB" w:rsidRPr="008D27FB">
              <w:rPr>
                <w:rFonts w:ascii="Book Antiqua" w:hAnsi="Book Antiqua" w:cs="Arial"/>
                <w:b/>
                <w:vertAlign w:val="superscript"/>
              </w:rPr>
              <w:t>th</w:t>
            </w:r>
            <w:r w:rsidR="008D27FB">
              <w:rPr>
                <w:rFonts w:ascii="Book Antiqua" w:hAnsi="Book Antiqua" w:cs="Arial"/>
                <w:b/>
              </w:rPr>
              <w:t xml:space="preserve"> July 2018</w:t>
            </w:r>
          </w:p>
        </w:tc>
      </w:tr>
      <w:tr w:rsidR="00933B65" w:rsidRPr="003B5957" w:rsidTr="007B6EFD">
        <w:tc>
          <w:tcPr>
            <w:tcW w:w="4685" w:type="dxa"/>
            <w:shd w:val="clear" w:color="auto" w:fill="auto"/>
          </w:tcPr>
          <w:p w:rsidR="00933B65" w:rsidRPr="003B5957" w:rsidRDefault="00933B65" w:rsidP="003B5957">
            <w:pPr>
              <w:jc w:val="both"/>
              <w:rPr>
                <w:rFonts w:ascii="Book Antiqua" w:hAnsi="Book Antiqua" w:cs="Arial"/>
                <w:b/>
              </w:rPr>
            </w:pPr>
          </w:p>
        </w:tc>
        <w:tc>
          <w:tcPr>
            <w:tcW w:w="4953" w:type="dxa"/>
            <w:shd w:val="clear" w:color="auto" w:fill="auto"/>
          </w:tcPr>
          <w:p w:rsidR="00933B65" w:rsidRPr="003B5957" w:rsidRDefault="00933B65" w:rsidP="003B5957">
            <w:pPr>
              <w:jc w:val="both"/>
              <w:rPr>
                <w:rFonts w:ascii="Book Antiqua" w:hAnsi="Book Antiqua" w:cs="Arial"/>
                <w:b/>
              </w:rPr>
            </w:pPr>
          </w:p>
        </w:tc>
      </w:tr>
    </w:tbl>
    <w:p w:rsidR="0080131E" w:rsidRDefault="0080131E"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Before</w:t>
      </w:r>
    </w:p>
    <w:p w:rsidR="007D6500" w:rsidRPr="00F97703" w:rsidRDefault="007D6500"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UPPER TRIBUNAL JUDGE LINDSLEY</w:t>
      </w:r>
    </w:p>
    <w:p w:rsidR="00933B65" w:rsidRDefault="00933B65"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80131E" w:rsidRDefault="0080131E" w:rsidP="00933B65">
      <w:pPr>
        <w:jc w:val="center"/>
        <w:rPr>
          <w:rFonts w:ascii="Book Antiqua" w:hAnsi="Book Antiqua" w:cs="Arial"/>
          <w:b/>
        </w:rPr>
      </w:pPr>
    </w:p>
    <w:p w:rsidR="007D6500" w:rsidRDefault="00553339" w:rsidP="00933B65">
      <w:pPr>
        <w:jc w:val="center"/>
        <w:rPr>
          <w:rFonts w:ascii="Book Antiqua" w:hAnsi="Book Antiqua" w:cs="Arial"/>
          <w:b/>
        </w:rPr>
      </w:pPr>
      <w:r>
        <w:rPr>
          <w:rFonts w:ascii="Book Antiqua" w:hAnsi="Book Antiqua" w:cs="Arial"/>
          <w:b/>
        </w:rPr>
        <w:t>S C</w:t>
      </w:r>
    </w:p>
    <w:p w:rsidR="00933B65" w:rsidRPr="007B6EFD" w:rsidRDefault="00284315" w:rsidP="00933B65">
      <w:pPr>
        <w:jc w:val="center"/>
        <w:rPr>
          <w:rFonts w:ascii="Book Antiqua" w:hAnsi="Book Antiqua" w:cs="Arial"/>
        </w:rPr>
      </w:pPr>
      <w:r w:rsidRPr="007B6EFD">
        <w:rPr>
          <w:rFonts w:ascii="Book Antiqua" w:hAnsi="Book Antiqua" w:cs="Arial"/>
        </w:rPr>
        <w:t xml:space="preserve"> </w:t>
      </w:r>
      <w:r w:rsidR="00306EE9" w:rsidRPr="007B6EFD">
        <w:rPr>
          <w:rFonts w:ascii="Book Antiqua" w:hAnsi="Book Antiqua" w:cs="Arial"/>
        </w:rPr>
        <w:t>(ANONYMITY ORDER MADE)</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7B6EFD" w:rsidRDefault="007B6EFD"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7B6EFD" w:rsidRPr="00F97703" w:rsidRDefault="007B6EFD" w:rsidP="00933B65">
      <w:pPr>
        <w:jc w:val="center"/>
        <w:rPr>
          <w:rFonts w:ascii="Book Antiqua" w:hAnsi="Book Antiqua" w:cs="Arial"/>
          <w:b/>
        </w:rPr>
      </w:pPr>
      <w:r>
        <w:rPr>
          <w:rFonts w:ascii="Book Antiqua" w:hAnsi="Book Antiqua" w:cs="Arial"/>
          <w:b/>
        </w:rPr>
        <w:t>THE SECRETARY OF STATE FOR THE HOME DEPARTMENT</w:t>
      </w:r>
    </w:p>
    <w:p w:rsidR="00933B65" w:rsidRPr="00F97703" w:rsidRDefault="007D6500" w:rsidP="007B6EFD">
      <w:pPr>
        <w:jc w:val="right"/>
        <w:rPr>
          <w:rFonts w:ascii="Book Antiqua" w:hAnsi="Book Antiqua" w:cs="Arial"/>
          <w:u w:val="single"/>
        </w:rPr>
      </w:pPr>
      <w:r>
        <w:rPr>
          <w:rFonts w:ascii="Book Antiqua" w:hAnsi="Book Antiqua" w:cs="Arial"/>
          <w:b/>
        </w:rPr>
        <w:t xml:space="preserve"> </w:t>
      </w:r>
      <w:r w:rsidR="00933B65" w:rsidRPr="00F97703">
        <w:rPr>
          <w:rFonts w:ascii="Book Antiqua" w:hAnsi="Book Antiqua" w:cs="Arial"/>
          <w:u w:val="single"/>
        </w:rPr>
        <w:t>Respondent</w:t>
      </w:r>
    </w:p>
    <w:p w:rsidR="00933B65" w:rsidRDefault="00933B65" w:rsidP="00933B65">
      <w:pPr>
        <w:rPr>
          <w:rFonts w:ascii="Book Antiqua" w:hAnsi="Book Antiqua" w:cs="Arial"/>
          <w:u w:val="single"/>
        </w:rPr>
      </w:pPr>
    </w:p>
    <w:p w:rsidR="00933B65" w:rsidRDefault="00933B65" w:rsidP="00933B65">
      <w:pPr>
        <w:rPr>
          <w:rFonts w:ascii="Book Antiqua" w:hAnsi="Book Antiqua" w:cs="Arial"/>
          <w:b/>
        </w:rPr>
      </w:pPr>
      <w:r w:rsidRPr="00F97703">
        <w:rPr>
          <w:rFonts w:ascii="Book Antiqua" w:hAnsi="Book Antiqua" w:cs="Arial"/>
          <w:b/>
          <w:u w:val="single"/>
        </w:rPr>
        <w:t>Representation</w:t>
      </w:r>
      <w:r w:rsidRPr="00F97703">
        <w:rPr>
          <w:rFonts w:ascii="Book Antiqua" w:hAnsi="Book Antiqua" w:cs="Arial"/>
          <w:b/>
        </w:rPr>
        <w:t>:</w:t>
      </w:r>
    </w:p>
    <w:p w:rsidR="007B6EFD" w:rsidRPr="00F97703" w:rsidRDefault="007B6EFD" w:rsidP="00933B65">
      <w:pPr>
        <w:rPr>
          <w:rFonts w:ascii="Book Antiqua" w:hAnsi="Book Antiqua" w:cs="Arial"/>
        </w:rPr>
      </w:pPr>
    </w:p>
    <w:p w:rsidR="00933B65" w:rsidRPr="00F97703" w:rsidRDefault="00933B65" w:rsidP="00A66336">
      <w:pPr>
        <w:tabs>
          <w:tab w:val="left" w:pos="2520"/>
        </w:tabs>
        <w:ind w:left="2160" w:hanging="2160"/>
        <w:rPr>
          <w:rFonts w:ascii="Book Antiqua" w:hAnsi="Book Antiqua" w:cs="Arial"/>
        </w:rPr>
      </w:pPr>
      <w:r w:rsidRPr="00F97703">
        <w:rPr>
          <w:rFonts w:ascii="Book Antiqua" w:hAnsi="Book Antiqua" w:cs="Arial"/>
        </w:rPr>
        <w:t>For the Appellant:</w:t>
      </w:r>
      <w:proofErr w:type="gramStart"/>
      <w:r w:rsidRPr="00F97703">
        <w:rPr>
          <w:rFonts w:ascii="Book Antiqua" w:hAnsi="Book Antiqua" w:cs="Arial"/>
        </w:rPr>
        <w:tab/>
      </w:r>
      <w:r w:rsidR="007B6EFD">
        <w:rPr>
          <w:rFonts w:ascii="Book Antiqua" w:hAnsi="Book Antiqua" w:cs="Arial"/>
        </w:rPr>
        <w:t xml:space="preserve">  </w:t>
      </w:r>
      <w:r w:rsidR="00546523">
        <w:rPr>
          <w:rFonts w:ascii="Book Antiqua" w:hAnsi="Book Antiqua" w:cs="Arial"/>
        </w:rPr>
        <w:t>M</w:t>
      </w:r>
      <w:r w:rsidR="00A66336">
        <w:rPr>
          <w:rFonts w:ascii="Book Antiqua" w:hAnsi="Book Antiqua" w:cs="Arial"/>
        </w:rPr>
        <w:t>r</w:t>
      </w:r>
      <w:proofErr w:type="gramEnd"/>
      <w:r w:rsidR="00A66336">
        <w:rPr>
          <w:rFonts w:ascii="Book Antiqua" w:hAnsi="Book Antiqua" w:cs="Arial"/>
        </w:rPr>
        <w:t xml:space="preserve"> G Dolan, of Counsel,</w:t>
      </w:r>
      <w:r w:rsidR="00546523">
        <w:rPr>
          <w:rFonts w:ascii="Book Antiqua" w:hAnsi="Book Antiqua" w:cs="Arial"/>
        </w:rPr>
        <w:t xml:space="preserve"> </w:t>
      </w:r>
      <w:r>
        <w:rPr>
          <w:rFonts w:ascii="Book Antiqua" w:hAnsi="Book Antiqua" w:cs="Arial"/>
        </w:rPr>
        <w:t>instructed by</w:t>
      </w:r>
      <w:r w:rsidR="00553339">
        <w:rPr>
          <w:rFonts w:ascii="Book Antiqua" w:hAnsi="Book Antiqua" w:cs="Arial"/>
        </w:rPr>
        <w:t xml:space="preserve"> Duncan Lewis &amp; Co</w:t>
      </w:r>
      <w:r w:rsidR="00306EE9">
        <w:rPr>
          <w:rFonts w:ascii="Book Antiqua" w:hAnsi="Book Antiqua" w:cs="Arial"/>
        </w:rPr>
        <w:t xml:space="preserve"> Solicitors </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00A66336">
        <w:rPr>
          <w:rFonts w:ascii="Book Antiqua" w:hAnsi="Book Antiqua" w:cs="Arial"/>
        </w:rPr>
        <w:t xml:space="preserve"> </w:t>
      </w:r>
      <w:r w:rsidR="007B6EFD">
        <w:rPr>
          <w:rFonts w:ascii="Book Antiqua" w:hAnsi="Book Antiqua" w:cs="Arial"/>
        </w:rPr>
        <w:t xml:space="preserve"> </w:t>
      </w:r>
      <w:r w:rsidR="00546523">
        <w:rPr>
          <w:rFonts w:ascii="Book Antiqua" w:hAnsi="Book Antiqua" w:cs="Arial"/>
        </w:rPr>
        <w:t>M</w:t>
      </w:r>
      <w:r w:rsidR="00A66336">
        <w:rPr>
          <w:rFonts w:ascii="Book Antiqua" w:hAnsi="Book Antiqua" w:cs="Arial"/>
        </w:rPr>
        <w:t>r N Bramble,</w:t>
      </w:r>
      <w:r>
        <w:rPr>
          <w:rFonts w:ascii="Book Antiqua" w:hAnsi="Book Antiqua" w:cs="Arial"/>
        </w:rPr>
        <w:t xml:space="preserve"> Senior Home Office Presenting Officer</w:t>
      </w:r>
    </w:p>
    <w:p w:rsidR="00933B65" w:rsidRPr="00F97703" w:rsidRDefault="00933B65" w:rsidP="00933B65">
      <w:pPr>
        <w:tabs>
          <w:tab w:val="left" w:pos="2520"/>
        </w:tabs>
        <w:jc w:val="center"/>
        <w:rPr>
          <w:rFonts w:ascii="Book Antiqua" w:hAnsi="Book Antiqua" w:cs="Arial"/>
        </w:rPr>
      </w:pPr>
    </w:p>
    <w:p w:rsidR="00933B65" w:rsidRPr="00F97703" w:rsidRDefault="00933B65" w:rsidP="00933B65">
      <w:pPr>
        <w:tabs>
          <w:tab w:val="left" w:pos="2520"/>
        </w:tabs>
        <w:jc w:val="center"/>
        <w:rPr>
          <w:rFonts w:ascii="Book Antiqua" w:hAnsi="Book Antiqua" w:cs="Arial"/>
        </w:rPr>
      </w:pPr>
    </w:p>
    <w:p w:rsidR="00933B65" w:rsidRPr="00F97703" w:rsidRDefault="00270D89"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rsidR="00933B65" w:rsidRPr="00F97703" w:rsidRDefault="00933B65" w:rsidP="00933B65">
      <w:pPr>
        <w:tabs>
          <w:tab w:val="left" w:pos="2520"/>
        </w:tabs>
        <w:jc w:val="both"/>
        <w:rPr>
          <w:rFonts w:ascii="Book Antiqua" w:hAnsi="Book Antiqua" w:cs="Arial"/>
        </w:rPr>
      </w:pPr>
    </w:p>
    <w:p w:rsidR="00546523" w:rsidRDefault="00546523" w:rsidP="00546523">
      <w:pPr>
        <w:tabs>
          <w:tab w:val="left" w:pos="567"/>
        </w:tabs>
        <w:ind w:left="567"/>
        <w:jc w:val="both"/>
        <w:rPr>
          <w:rFonts w:ascii="Book Antiqua" w:hAnsi="Book Antiqua" w:cs="Arial"/>
          <w:i/>
        </w:rPr>
      </w:pPr>
      <w:r>
        <w:rPr>
          <w:rFonts w:ascii="Book Antiqua" w:hAnsi="Book Antiqua" w:cs="Arial"/>
          <w:i/>
        </w:rPr>
        <w:t>Introduction</w:t>
      </w:r>
    </w:p>
    <w:p w:rsidR="00546523" w:rsidRPr="003B12DA"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appellant is a citizen of</w:t>
      </w:r>
      <w:r w:rsidR="00A35F1C">
        <w:rPr>
          <w:rFonts w:ascii="Book Antiqua" w:hAnsi="Book Antiqua" w:cs="Arial"/>
        </w:rPr>
        <w:t xml:space="preserve"> Bangladesh. He came to the UK when he was 13 years old in 2001, and overstayed. He made a human rights application in December 2009</w:t>
      </w:r>
      <w:r w:rsidR="00D5277E">
        <w:rPr>
          <w:rFonts w:ascii="Book Antiqua" w:hAnsi="Book Antiqua" w:cs="Arial"/>
        </w:rPr>
        <w:t>,</w:t>
      </w:r>
      <w:r w:rsidR="00A35F1C">
        <w:rPr>
          <w:rFonts w:ascii="Book Antiqua" w:hAnsi="Book Antiqua" w:cs="Arial"/>
        </w:rPr>
        <w:t xml:space="preserve"> but this was refused without a right of appeal.</w:t>
      </w:r>
      <w:r w:rsidR="0072203B">
        <w:rPr>
          <w:rFonts w:ascii="Book Antiqua" w:hAnsi="Book Antiqua" w:cs="Arial"/>
        </w:rPr>
        <w:t xml:space="preserve"> He made another Article 8 ECHR claim in July 2013</w:t>
      </w:r>
      <w:r w:rsidR="00D5277E">
        <w:rPr>
          <w:rFonts w:ascii="Book Antiqua" w:hAnsi="Book Antiqua" w:cs="Arial"/>
        </w:rPr>
        <w:t>,</w:t>
      </w:r>
      <w:r w:rsidR="0072203B">
        <w:rPr>
          <w:rFonts w:ascii="Book Antiqua" w:hAnsi="Book Antiqua" w:cs="Arial"/>
        </w:rPr>
        <w:t xml:space="preserve"> but this was refused without a right of appeal in August 2013. A further similar application was made in December 2014, which was again refused without a right of appeal in January 2016. In January 2015 the appellant was arrested for facilitating a breach of immigration laws, and pleaded guilty to this offence in December 2015. The appellant was detained for removal on 10</w:t>
      </w:r>
      <w:r w:rsidR="0072203B" w:rsidRPr="0072203B">
        <w:rPr>
          <w:rFonts w:ascii="Book Antiqua" w:hAnsi="Book Antiqua" w:cs="Arial"/>
          <w:vertAlign w:val="superscript"/>
        </w:rPr>
        <w:t>th</w:t>
      </w:r>
      <w:r w:rsidR="0072203B">
        <w:rPr>
          <w:rFonts w:ascii="Book Antiqua" w:hAnsi="Book Antiqua" w:cs="Arial"/>
        </w:rPr>
        <w:t xml:space="preserve"> January 2017</w:t>
      </w:r>
      <w:r w:rsidR="00D5277E">
        <w:rPr>
          <w:rFonts w:ascii="Book Antiqua" w:hAnsi="Book Antiqua" w:cs="Arial"/>
        </w:rPr>
        <w:t>. He</w:t>
      </w:r>
      <w:r w:rsidR="0072203B">
        <w:rPr>
          <w:rFonts w:ascii="Book Antiqua" w:hAnsi="Book Antiqua" w:cs="Arial"/>
        </w:rPr>
        <w:t xml:space="preserve"> claimed asylum on 10</w:t>
      </w:r>
      <w:r w:rsidR="0072203B" w:rsidRPr="0072203B">
        <w:rPr>
          <w:rFonts w:ascii="Book Antiqua" w:hAnsi="Book Antiqua" w:cs="Arial"/>
          <w:vertAlign w:val="superscript"/>
        </w:rPr>
        <w:t>th</w:t>
      </w:r>
      <w:r w:rsidR="0072203B">
        <w:rPr>
          <w:rFonts w:ascii="Book Antiqua" w:hAnsi="Book Antiqua" w:cs="Arial"/>
        </w:rPr>
        <w:t xml:space="preserve"> February 2017 on the basis of his sexuality </w:t>
      </w:r>
      <w:r w:rsidR="0072203B">
        <w:rPr>
          <w:rFonts w:ascii="Book Antiqua" w:hAnsi="Book Antiqua" w:cs="Arial"/>
        </w:rPr>
        <w:lastRenderedPageBreak/>
        <w:t>and a fear of persecution on return to Bangladesh. This asylum claim was refused on 10</w:t>
      </w:r>
      <w:r w:rsidR="0072203B" w:rsidRPr="0072203B">
        <w:rPr>
          <w:rFonts w:ascii="Book Antiqua" w:hAnsi="Book Antiqua" w:cs="Arial"/>
          <w:vertAlign w:val="superscript"/>
        </w:rPr>
        <w:t>th</w:t>
      </w:r>
      <w:r w:rsidR="0072203B">
        <w:rPr>
          <w:rFonts w:ascii="Book Antiqua" w:hAnsi="Book Antiqua" w:cs="Arial"/>
        </w:rPr>
        <w:t xml:space="preserve"> August 2017. </w:t>
      </w:r>
      <w:r>
        <w:rPr>
          <w:rFonts w:ascii="Book Antiqua" w:hAnsi="Book Antiqua" w:cs="Arial"/>
        </w:rPr>
        <w:t>His appeal against the</w:t>
      </w:r>
      <w:r w:rsidR="0072203B">
        <w:rPr>
          <w:rFonts w:ascii="Book Antiqua" w:hAnsi="Book Antiqua" w:cs="Arial"/>
        </w:rPr>
        <w:t xml:space="preserve"> refusal of asylum decision </w:t>
      </w:r>
      <w:r>
        <w:rPr>
          <w:rFonts w:ascii="Book Antiqua" w:hAnsi="Book Antiqua" w:cs="Arial"/>
        </w:rPr>
        <w:t>was dismissed</w:t>
      </w:r>
      <w:r w:rsidR="0072203B">
        <w:rPr>
          <w:rFonts w:ascii="Book Antiqua" w:hAnsi="Book Antiqua" w:cs="Arial"/>
        </w:rPr>
        <w:t xml:space="preserve"> on all grounds</w:t>
      </w:r>
      <w:r>
        <w:rPr>
          <w:rFonts w:ascii="Book Antiqua" w:hAnsi="Book Antiqua" w:cs="Arial"/>
        </w:rPr>
        <w:t xml:space="preserve"> by First-tier Tribunal Judge</w:t>
      </w:r>
      <w:r w:rsidR="0072203B">
        <w:rPr>
          <w:rFonts w:ascii="Book Antiqua" w:hAnsi="Book Antiqua" w:cs="Arial"/>
        </w:rPr>
        <w:t xml:space="preserve"> Dean </w:t>
      </w:r>
      <w:r>
        <w:rPr>
          <w:rFonts w:ascii="Book Antiqua" w:hAnsi="Book Antiqua" w:cs="Arial"/>
        </w:rPr>
        <w:t xml:space="preserve">in a determination promulgated on the </w:t>
      </w:r>
      <w:r w:rsidR="0072203B">
        <w:rPr>
          <w:rFonts w:ascii="Book Antiqua" w:hAnsi="Book Antiqua" w:cs="Arial"/>
        </w:rPr>
        <w:t>11</w:t>
      </w:r>
      <w:r w:rsidR="0072203B" w:rsidRPr="0072203B">
        <w:rPr>
          <w:rFonts w:ascii="Book Antiqua" w:hAnsi="Book Antiqua" w:cs="Arial"/>
          <w:vertAlign w:val="superscript"/>
        </w:rPr>
        <w:t>th</w:t>
      </w:r>
      <w:r w:rsidR="0072203B">
        <w:rPr>
          <w:rFonts w:ascii="Book Antiqua" w:hAnsi="Book Antiqua" w:cs="Arial"/>
        </w:rPr>
        <w:t xml:space="preserve"> April 2018.</w:t>
      </w:r>
    </w:p>
    <w:p w:rsidR="00546523" w:rsidRPr="00546523"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Permission to appeal was granted</w:t>
      </w:r>
      <w:r w:rsidR="0072203B">
        <w:rPr>
          <w:rFonts w:ascii="Book Antiqua" w:hAnsi="Book Antiqua" w:cs="Arial"/>
        </w:rPr>
        <w:t xml:space="preserve"> by First-tier Tribunal Judge L Murray on 2</w:t>
      </w:r>
      <w:r w:rsidR="0072203B" w:rsidRPr="0072203B">
        <w:rPr>
          <w:rFonts w:ascii="Book Antiqua" w:hAnsi="Book Antiqua" w:cs="Arial"/>
          <w:vertAlign w:val="superscript"/>
        </w:rPr>
        <w:t>nd</w:t>
      </w:r>
      <w:r w:rsidR="0072203B">
        <w:rPr>
          <w:rFonts w:ascii="Book Antiqua" w:hAnsi="Book Antiqua" w:cs="Arial"/>
        </w:rPr>
        <w:t xml:space="preserve"> May 2018</w:t>
      </w:r>
      <w:r>
        <w:rPr>
          <w:rFonts w:ascii="Book Antiqua" w:hAnsi="Book Antiqua" w:cs="Arial"/>
        </w:rPr>
        <w:t xml:space="preserve"> on the basis that it was arguable that the First-tier judge had erred in law in </w:t>
      </w:r>
      <w:r w:rsidR="0072203B">
        <w:rPr>
          <w:rFonts w:ascii="Book Antiqua" w:hAnsi="Book Antiqua" w:cs="Arial"/>
        </w:rPr>
        <w:t xml:space="preserve">making mistakes of fact which materially affecting the outcome of the decision, and in particular the credibility of the claim. Permission was granted to argue all of the grounds. </w:t>
      </w:r>
    </w:p>
    <w:p w:rsidR="00546523" w:rsidRPr="00546523"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matter came before me to determine whether the First-tier Tribunal had erred in law</w:t>
      </w:r>
      <w:r w:rsidR="0072203B">
        <w:rPr>
          <w:rFonts w:ascii="Book Antiqua" w:hAnsi="Book Antiqua" w:cs="Arial"/>
        </w:rPr>
        <w:t>.</w:t>
      </w:r>
    </w:p>
    <w:p w:rsidR="00546523" w:rsidRPr="00546523" w:rsidRDefault="00546523" w:rsidP="00546523">
      <w:pPr>
        <w:tabs>
          <w:tab w:val="left" w:pos="2520"/>
        </w:tabs>
        <w:spacing w:before="240"/>
        <w:jc w:val="both"/>
        <w:rPr>
          <w:rFonts w:ascii="Book Antiqua" w:hAnsi="Book Antiqua" w:cs="Arial"/>
          <w:i/>
        </w:rPr>
      </w:pPr>
      <w:r>
        <w:rPr>
          <w:rFonts w:ascii="Book Antiqua" w:hAnsi="Book Antiqua" w:cs="Arial"/>
          <w:i/>
        </w:rPr>
        <w:t>Submissions</w:t>
      </w:r>
      <w:r w:rsidR="0072203B">
        <w:rPr>
          <w:rFonts w:ascii="Book Antiqua" w:hAnsi="Book Antiqua" w:cs="Arial"/>
          <w:i/>
        </w:rPr>
        <w:t xml:space="preserve"> – Error of Law</w:t>
      </w:r>
    </w:p>
    <w:p w:rsidR="00546523" w:rsidRPr="00C76C2C" w:rsidRDefault="00C76C2C"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It is argued firstly that t</w:t>
      </w:r>
      <w:r w:rsidR="0072203B">
        <w:rPr>
          <w:rFonts w:ascii="Book Antiqua" w:hAnsi="Book Antiqua" w:cs="Arial"/>
        </w:rPr>
        <w:t>he First-tier Tribunal erred in a material finding</w:t>
      </w:r>
      <w:r w:rsidR="007B2B84">
        <w:rPr>
          <w:rFonts w:ascii="Book Antiqua" w:hAnsi="Book Antiqua" w:cs="Arial"/>
        </w:rPr>
        <w:t xml:space="preserve"> of fact</w:t>
      </w:r>
      <w:r w:rsidR="0072203B">
        <w:rPr>
          <w:rFonts w:ascii="Book Antiqua" w:hAnsi="Book Antiqua" w:cs="Arial"/>
        </w:rPr>
        <w:t xml:space="preserve"> at paragraph 21 of the decision</w:t>
      </w:r>
      <w:r w:rsidR="007B2B84">
        <w:rPr>
          <w:rFonts w:ascii="Book Antiqua" w:hAnsi="Book Antiqua" w:cs="Arial"/>
        </w:rPr>
        <w:t>. There it is said</w:t>
      </w:r>
      <w:r w:rsidR="0072203B">
        <w:rPr>
          <w:rFonts w:ascii="Book Antiqua" w:hAnsi="Book Antiqua" w:cs="Arial"/>
        </w:rPr>
        <w:t xml:space="preserve"> that all of the evidence that the appellant was </w:t>
      </w:r>
      <w:r w:rsidR="007B2B84">
        <w:rPr>
          <w:rFonts w:ascii="Book Antiqua" w:hAnsi="Book Antiqua" w:cs="Arial"/>
        </w:rPr>
        <w:t>part of</w:t>
      </w:r>
      <w:r w:rsidR="0072203B">
        <w:rPr>
          <w:rFonts w:ascii="Book Antiqua" w:hAnsi="Book Antiqua" w:cs="Arial"/>
        </w:rPr>
        <w:t xml:space="preserve"> a London based support group for gay men was post his asylum claim, and therefore did not assist him. </w:t>
      </w:r>
      <w:r>
        <w:rPr>
          <w:rFonts w:ascii="Book Antiqua" w:hAnsi="Book Antiqua" w:cs="Arial"/>
        </w:rPr>
        <w:t>The evidence of DF was that he met the appellant at the support group in January 2017. As the appellant was detained on 10</w:t>
      </w:r>
      <w:r w:rsidRPr="00C76C2C">
        <w:rPr>
          <w:rFonts w:ascii="Book Antiqua" w:hAnsi="Book Antiqua" w:cs="Arial"/>
          <w:vertAlign w:val="superscript"/>
        </w:rPr>
        <w:t>th</w:t>
      </w:r>
      <w:r>
        <w:rPr>
          <w:rFonts w:ascii="Book Antiqua" w:hAnsi="Book Antiqua" w:cs="Arial"/>
        </w:rPr>
        <w:t xml:space="preserve"> January 2017 until after he made his asylum claim that evidence must mean that </w:t>
      </w:r>
      <w:r w:rsidR="007B2B84">
        <w:rPr>
          <w:rFonts w:ascii="Book Antiqua" w:hAnsi="Book Antiqua" w:cs="Arial"/>
        </w:rPr>
        <w:t>DF</w:t>
      </w:r>
      <w:r>
        <w:rPr>
          <w:rFonts w:ascii="Book Antiqua" w:hAnsi="Book Antiqua" w:cs="Arial"/>
        </w:rPr>
        <w:t xml:space="preserve"> met </w:t>
      </w:r>
      <w:r w:rsidR="007B2B84">
        <w:rPr>
          <w:rFonts w:ascii="Book Antiqua" w:hAnsi="Book Antiqua" w:cs="Arial"/>
        </w:rPr>
        <w:t>the appellant</w:t>
      </w:r>
      <w:r>
        <w:rPr>
          <w:rFonts w:ascii="Book Antiqua" w:hAnsi="Book Antiqua" w:cs="Arial"/>
        </w:rPr>
        <w:t xml:space="preserve"> prior to the asylum claim </w:t>
      </w:r>
      <w:r w:rsidR="007B2B84">
        <w:rPr>
          <w:rFonts w:ascii="Book Antiqua" w:hAnsi="Book Antiqua" w:cs="Arial"/>
        </w:rPr>
        <w:t>being</w:t>
      </w:r>
      <w:r>
        <w:rPr>
          <w:rFonts w:ascii="Book Antiqua" w:hAnsi="Book Antiqua" w:cs="Arial"/>
        </w:rPr>
        <w:t xml:space="preserve"> made. DF was not asked if he was mistaken or </w:t>
      </w:r>
      <w:r w:rsidR="007B2B84">
        <w:rPr>
          <w:rFonts w:ascii="Book Antiqua" w:hAnsi="Book Antiqua" w:cs="Arial"/>
        </w:rPr>
        <w:t>his</w:t>
      </w:r>
      <w:r>
        <w:rPr>
          <w:rFonts w:ascii="Book Antiqua" w:hAnsi="Book Antiqua" w:cs="Arial"/>
        </w:rPr>
        <w:t xml:space="preserve"> evidence challenged in any way in the proceedings. </w:t>
      </w:r>
    </w:p>
    <w:p w:rsidR="00C76C2C" w:rsidRPr="00C76C2C" w:rsidRDefault="00C76C2C"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appellant argues in his second ground of appeal that there were errors in the findings at paragraphs 16 to 18 of the decision related to the previous human rights applications that the appellant made in July 2013 and December 2014. The appellant’s evidence was that he had not decided to live openly as a gay man until after he made these applications, and that the relationship with AU was one which was hidden from family and the community at that time. </w:t>
      </w:r>
      <w:r w:rsidR="007B2B84">
        <w:rPr>
          <w:rFonts w:ascii="Book Antiqua" w:hAnsi="Book Antiqua" w:cs="Arial"/>
        </w:rPr>
        <w:t>The appellant says that he</w:t>
      </w:r>
      <w:r>
        <w:rPr>
          <w:rFonts w:ascii="Book Antiqua" w:hAnsi="Book Antiqua" w:cs="Arial"/>
        </w:rPr>
        <w:t xml:space="preserve"> did this because he did not want to be open with his family and community. As such </w:t>
      </w:r>
      <w:r w:rsidR="007B2B84">
        <w:rPr>
          <w:rFonts w:ascii="Book Antiqua" w:hAnsi="Book Antiqua" w:cs="Arial"/>
        </w:rPr>
        <w:t>t</w:t>
      </w:r>
      <w:r>
        <w:rPr>
          <w:rFonts w:ascii="Book Antiqua" w:hAnsi="Book Antiqua" w:cs="Arial"/>
        </w:rPr>
        <w:t>he</w:t>
      </w:r>
      <w:r w:rsidR="007B2B84">
        <w:rPr>
          <w:rFonts w:ascii="Book Antiqua" w:hAnsi="Book Antiqua" w:cs="Arial"/>
        </w:rPr>
        <w:t xml:space="preserve"> appellant</w:t>
      </w:r>
      <w:r>
        <w:rPr>
          <w:rFonts w:ascii="Book Antiqua" w:hAnsi="Book Antiqua" w:cs="Arial"/>
        </w:rPr>
        <w:t xml:space="preserve"> had no asylum claim based on his sexuality to make at that point, as he was being discrete for reasons other than a fear of persecution, see </w:t>
      </w:r>
      <w:r>
        <w:rPr>
          <w:rFonts w:ascii="Book Antiqua" w:hAnsi="Book Antiqua" w:cs="Arial"/>
          <w:u w:val="single"/>
        </w:rPr>
        <w:t xml:space="preserve">HJ (Iran) v SSHD </w:t>
      </w:r>
      <w:r>
        <w:rPr>
          <w:rFonts w:ascii="Book Antiqua" w:hAnsi="Book Antiqua" w:cs="Arial"/>
        </w:rPr>
        <w:t xml:space="preserve">[2010] UKSC 31.   </w:t>
      </w:r>
    </w:p>
    <w:p w:rsidR="00C76C2C" w:rsidRPr="00A66336" w:rsidRDefault="00C76C2C"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third contention by the appellant is that the First-tier Tribunal failed</w:t>
      </w:r>
      <w:r w:rsidR="007B2B84" w:rsidRPr="007B2B84">
        <w:rPr>
          <w:rFonts w:ascii="Book Antiqua" w:hAnsi="Book Antiqua" w:cs="Arial"/>
        </w:rPr>
        <w:t xml:space="preserve"> </w:t>
      </w:r>
      <w:r w:rsidR="007B2B84">
        <w:rPr>
          <w:rFonts w:ascii="Book Antiqua" w:hAnsi="Book Antiqua" w:cs="Arial"/>
        </w:rPr>
        <w:t>at paragraph 17 of the decision</w:t>
      </w:r>
      <w:r>
        <w:rPr>
          <w:rFonts w:ascii="Book Antiqua" w:hAnsi="Book Antiqua" w:cs="Arial"/>
        </w:rPr>
        <w:t xml:space="preserve"> to consider that s.8 Asylum and Immigration (Treatment of Claimants etc.) Act 2004 matters only potentially damage an appellant’s credibility, applying </w:t>
      </w:r>
      <w:r>
        <w:rPr>
          <w:rFonts w:ascii="Book Antiqua" w:hAnsi="Book Antiqua" w:cs="Arial"/>
          <w:u w:val="single"/>
        </w:rPr>
        <w:t xml:space="preserve">JT (Cameroon) v SSHD </w:t>
      </w:r>
      <w:r>
        <w:rPr>
          <w:rFonts w:ascii="Book Antiqua" w:hAnsi="Book Antiqua" w:cs="Arial"/>
        </w:rPr>
        <w:t xml:space="preserve">[2008] EWCA </w:t>
      </w:r>
      <w:proofErr w:type="spellStart"/>
      <w:r>
        <w:rPr>
          <w:rFonts w:ascii="Book Antiqua" w:hAnsi="Book Antiqua" w:cs="Arial"/>
        </w:rPr>
        <w:t>Civ</w:t>
      </w:r>
      <w:proofErr w:type="spellEnd"/>
      <w:r>
        <w:rPr>
          <w:rFonts w:ascii="Book Antiqua" w:hAnsi="Book Antiqua" w:cs="Arial"/>
        </w:rPr>
        <w:t xml:space="preserve"> 878.</w:t>
      </w:r>
    </w:p>
    <w:p w:rsidR="00A66336" w:rsidRPr="00A66336" w:rsidRDefault="00A66336"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Mr Bramble accepted that there were material errors of law in the decision of the First-tier Tribunal a</w:t>
      </w:r>
      <w:r w:rsidR="00A51BCE">
        <w:rPr>
          <w:rFonts w:ascii="Book Antiqua" w:hAnsi="Book Antiqua" w:cs="Arial"/>
        </w:rPr>
        <w:t>nd the decision should be set aside with no findings preserved</w:t>
      </w:r>
      <w:r>
        <w:rPr>
          <w:rFonts w:ascii="Book Antiqua" w:hAnsi="Book Antiqua" w:cs="Arial"/>
        </w:rPr>
        <w:t xml:space="preserve">. </w:t>
      </w:r>
      <w:r w:rsidR="00A51BCE">
        <w:rPr>
          <w:rFonts w:ascii="Book Antiqua" w:hAnsi="Book Antiqua" w:cs="Arial"/>
        </w:rPr>
        <w:t>I accepted that this was the case, and set out</w:t>
      </w:r>
      <w:r w:rsidR="00F97DEC">
        <w:rPr>
          <w:rFonts w:ascii="Book Antiqua" w:hAnsi="Book Antiqua" w:cs="Arial"/>
        </w:rPr>
        <w:t xml:space="preserve"> my</w:t>
      </w:r>
      <w:r w:rsidR="00A51BCE">
        <w:rPr>
          <w:rFonts w:ascii="Book Antiqua" w:hAnsi="Book Antiqua" w:cs="Arial"/>
        </w:rPr>
        <w:t xml:space="preserve"> brief reasons below.</w:t>
      </w:r>
    </w:p>
    <w:p w:rsidR="00A66336" w:rsidRPr="00A66336" w:rsidRDefault="00A66336"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Both parties argued that it was appropriate to remit the matter to the First-tier Tribunal </w:t>
      </w:r>
      <w:r w:rsidR="00F05428">
        <w:rPr>
          <w:rFonts w:ascii="Book Antiqua" w:hAnsi="Book Antiqua" w:cs="Arial"/>
        </w:rPr>
        <w:t>because</w:t>
      </w:r>
      <w:r>
        <w:rPr>
          <w:rFonts w:ascii="Book Antiqua" w:hAnsi="Book Antiqua" w:cs="Arial"/>
        </w:rPr>
        <w:t xml:space="preserve"> the only issue in the appeal was credibility, as if the appellant was</w:t>
      </w:r>
      <w:r w:rsidR="007B2B84">
        <w:rPr>
          <w:rFonts w:ascii="Book Antiqua" w:hAnsi="Book Antiqua" w:cs="Arial"/>
        </w:rPr>
        <w:t xml:space="preserve"> found to be</w:t>
      </w:r>
      <w:r>
        <w:rPr>
          <w:rFonts w:ascii="Book Antiqua" w:hAnsi="Book Antiqua" w:cs="Arial"/>
        </w:rPr>
        <w:t xml:space="preserve"> an openly gay man it </w:t>
      </w:r>
      <w:r w:rsidR="007B2B84">
        <w:rPr>
          <w:rFonts w:ascii="Book Antiqua" w:hAnsi="Book Antiqua" w:cs="Arial"/>
        </w:rPr>
        <w:t>i</w:t>
      </w:r>
      <w:r>
        <w:rPr>
          <w:rFonts w:ascii="Book Antiqua" w:hAnsi="Book Antiqua" w:cs="Arial"/>
        </w:rPr>
        <w:t>s accepted that he ha</w:t>
      </w:r>
      <w:r w:rsidR="007B2B84">
        <w:rPr>
          <w:rFonts w:ascii="Book Antiqua" w:hAnsi="Book Antiqua" w:cs="Arial"/>
        </w:rPr>
        <w:t>s</w:t>
      </w:r>
      <w:r>
        <w:rPr>
          <w:rFonts w:ascii="Book Antiqua" w:hAnsi="Book Antiqua" w:cs="Arial"/>
        </w:rPr>
        <w:t xml:space="preserve"> a </w:t>
      </w:r>
      <w:proofErr w:type="gramStart"/>
      <w:r>
        <w:rPr>
          <w:rFonts w:ascii="Book Antiqua" w:hAnsi="Book Antiqua" w:cs="Arial"/>
        </w:rPr>
        <w:t>well founded</w:t>
      </w:r>
      <w:proofErr w:type="gramEnd"/>
      <w:r>
        <w:rPr>
          <w:rFonts w:ascii="Book Antiqua" w:hAnsi="Book Antiqua" w:cs="Arial"/>
        </w:rPr>
        <w:t xml:space="preserve"> fear of persecution on return</w:t>
      </w:r>
      <w:r w:rsidR="007B2B84">
        <w:rPr>
          <w:rFonts w:ascii="Book Antiqua" w:hAnsi="Book Antiqua" w:cs="Arial"/>
        </w:rPr>
        <w:t xml:space="preserve"> to Bangladesh</w:t>
      </w:r>
      <w:r>
        <w:rPr>
          <w:rFonts w:ascii="Book Antiqua" w:hAnsi="Book Antiqua" w:cs="Arial"/>
        </w:rPr>
        <w:t xml:space="preserve">, and given that there would have to be </w:t>
      </w:r>
      <w:r>
        <w:rPr>
          <w:rFonts w:ascii="Book Antiqua" w:hAnsi="Book Antiqua" w:cs="Arial"/>
        </w:rPr>
        <w:lastRenderedPageBreak/>
        <w:t>extensive fact finding on this issue as there would be five witness (four of whom had come to the Upper Tribunal today) who would give evidence on this issue.</w:t>
      </w:r>
    </w:p>
    <w:p w:rsidR="00A66336" w:rsidRDefault="00A66336"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sidRPr="00A66336">
        <w:rPr>
          <w:rFonts w:ascii="Book Antiqua" w:hAnsi="Book Antiqua"/>
        </w:rPr>
        <w:t>I have taken into account paragraph 7.2 of the Senior President's Practice Statements, and agree with the submissions made by both representatives that it is appropriate to remit this appeal back to the F</w:t>
      </w:r>
      <w:r>
        <w:rPr>
          <w:rFonts w:ascii="Book Antiqua" w:hAnsi="Book Antiqua"/>
        </w:rPr>
        <w:t>irst-tier Tribunal</w:t>
      </w:r>
      <w:r w:rsidRPr="00A66336">
        <w:rPr>
          <w:rFonts w:ascii="Book Antiqua" w:hAnsi="Book Antiqua"/>
        </w:rPr>
        <w:t xml:space="preserve"> to be heard afresh. There are no findings preserved. The reason for remittal is that substantial fact-finding needs to be undertaken, and this is more appropriately undertaken by the F</w:t>
      </w:r>
      <w:r>
        <w:rPr>
          <w:rFonts w:ascii="Book Antiqua" w:hAnsi="Book Antiqua"/>
        </w:rPr>
        <w:t>irst-tier Tribunal</w:t>
      </w:r>
      <w:r w:rsidRPr="00A66336">
        <w:rPr>
          <w:rFonts w:ascii="Book Antiqua" w:hAnsi="Book Antiqua"/>
        </w:rPr>
        <w:t xml:space="preserve"> rather than the Upper Tribuna</w:t>
      </w:r>
      <w:r>
        <w:rPr>
          <w:rFonts w:ascii="Book Antiqua" w:hAnsi="Book Antiqua"/>
        </w:rPr>
        <w:t>l.</w:t>
      </w:r>
      <w:r>
        <w:rPr>
          <w:rFonts w:ascii="Book Antiqua" w:hAnsi="Book Antiqua" w:cs="Arial"/>
        </w:rPr>
        <w:t xml:space="preserve">  </w:t>
      </w:r>
    </w:p>
    <w:p w:rsidR="00546523" w:rsidRPr="00546523" w:rsidRDefault="00546523" w:rsidP="00546523">
      <w:pPr>
        <w:tabs>
          <w:tab w:val="left" w:pos="2520"/>
        </w:tabs>
        <w:spacing w:before="240"/>
        <w:jc w:val="both"/>
        <w:rPr>
          <w:rFonts w:ascii="Book Antiqua" w:hAnsi="Book Antiqua" w:cs="Arial"/>
          <w:i/>
        </w:rPr>
      </w:pPr>
      <w:r>
        <w:rPr>
          <w:rFonts w:ascii="Book Antiqua" w:hAnsi="Book Antiqua" w:cs="Arial"/>
          <w:i/>
        </w:rPr>
        <w:t>Conclusions</w:t>
      </w:r>
      <w:r w:rsidR="00C76C2C">
        <w:rPr>
          <w:rFonts w:ascii="Book Antiqua" w:hAnsi="Book Antiqua" w:cs="Arial"/>
          <w:i/>
        </w:rPr>
        <w:t xml:space="preserve"> – Error of Law</w:t>
      </w:r>
    </w:p>
    <w:p w:rsidR="00A66336" w:rsidRPr="00A66336" w:rsidRDefault="00A66336" w:rsidP="00546523">
      <w:pPr>
        <w:numPr>
          <w:ilvl w:val="0"/>
          <w:numId w:val="4"/>
        </w:numPr>
        <w:tabs>
          <w:tab w:val="clear" w:pos="851"/>
          <w:tab w:val="num" w:pos="900"/>
          <w:tab w:val="left" w:pos="2520"/>
        </w:tabs>
        <w:spacing w:before="240"/>
        <w:ind w:left="900" w:hanging="559"/>
        <w:jc w:val="both"/>
        <w:rPr>
          <w:rFonts w:ascii="Book Antiqua" w:hAnsi="Book Antiqua" w:cs="Arial"/>
        </w:rPr>
      </w:pPr>
      <w:r w:rsidRPr="00A66336">
        <w:rPr>
          <w:rFonts w:ascii="Book Antiqua" w:hAnsi="Book Antiqua" w:cs="Arial"/>
        </w:rPr>
        <w:t>I on</w:t>
      </w:r>
      <w:r>
        <w:rPr>
          <w:rFonts w:ascii="Book Antiqua" w:hAnsi="Book Antiqua" w:cs="Arial"/>
        </w:rPr>
        <w:t xml:space="preserve">ly given brief reasons for the finding that the First-tier Tribunal erred in law given the agreement of the parties that this was the case and that the decision should be set aside in its entirety. </w:t>
      </w:r>
    </w:p>
    <w:p w:rsidR="00546523" w:rsidRPr="00B13536" w:rsidRDefault="00490A86"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evidence of DF in his letter is that he had met the appellant at a gay London support group in January 2017, that they had become friends and he found he was an honest person and supported his case to stay in the UK. He attached a copy of his passport to verify his identity and confirmed he was willing to attend court. DF did attend the hearing and give oral testimony, as set out at paragraph 5 of the decision. I find that it was a factual error made by the First-tier Tribunal at paragraph 21 to find that the evidence regarding the gay support group was not supportive of the appellant’s claim because it only related to the period after he made his asylum claim.</w:t>
      </w:r>
      <w:r w:rsidR="00A66336">
        <w:rPr>
          <w:rFonts w:ascii="Book Antiqua" w:hAnsi="Book Antiqua" w:cs="Arial"/>
        </w:rPr>
        <w:t xml:space="preserve"> On this evidence DF must have met the appellant at the support group prior to his being detained and claiming asylum. </w:t>
      </w:r>
    </w:p>
    <w:p w:rsidR="00B13536" w:rsidRPr="00A51BCE" w:rsidRDefault="00B13536"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I also find that the First-tier Tribunal has erred by failing to take into account that whilst “certain behaviours” must be considered damaging to credibility ultimately they only potentially do so when considered with all of the evidenc</w:t>
      </w:r>
      <w:r w:rsidR="00F05428">
        <w:rPr>
          <w:rFonts w:ascii="Book Antiqua" w:hAnsi="Book Antiqua" w:cs="Arial"/>
        </w:rPr>
        <w:t>e, as per</w:t>
      </w:r>
      <w:r w:rsidR="00A51BCE">
        <w:rPr>
          <w:rFonts w:ascii="Book Antiqua" w:hAnsi="Book Antiqua" w:cs="Arial"/>
        </w:rPr>
        <w:t xml:space="preserve"> the decision of the Court of Appeal </w:t>
      </w:r>
      <w:proofErr w:type="gramStart"/>
      <w:r w:rsidR="00A51BCE">
        <w:rPr>
          <w:rFonts w:ascii="Book Antiqua" w:hAnsi="Book Antiqua" w:cs="Arial"/>
        </w:rPr>
        <w:t xml:space="preserve">in </w:t>
      </w:r>
      <w:r>
        <w:rPr>
          <w:rFonts w:ascii="Book Antiqua" w:hAnsi="Book Antiqua" w:cs="Arial"/>
        </w:rPr>
        <w:t xml:space="preserve"> </w:t>
      </w:r>
      <w:r>
        <w:rPr>
          <w:rFonts w:ascii="Book Antiqua" w:hAnsi="Book Antiqua" w:cs="Arial"/>
          <w:u w:val="single"/>
        </w:rPr>
        <w:t>JT</w:t>
      </w:r>
      <w:proofErr w:type="gramEnd"/>
      <w:r>
        <w:rPr>
          <w:rFonts w:ascii="Book Antiqua" w:hAnsi="Book Antiqua" w:cs="Arial"/>
          <w:u w:val="single"/>
        </w:rPr>
        <w:t xml:space="preserve"> (Cameroon)</w:t>
      </w:r>
      <w:r>
        <w:rPr>
          <w:rFonts w:ascii="Book Antiqua" w:hAnsi="Book Antiqua" w:cs="Arial"/>
        </w:rPr>
        <w:t xml:space="preserve">. </w:t>
      </w:r>
    </w:p>
    <w:p w:rsidR="00A51BCE" w:rsidRPr="00B13536" w:rsidRDefault="00A51BCE" w:rsidP="00A51BCE">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rPr>
        <w:t xml:space="preserve">The evidence of the appellant </w:t>
      </w:r>
      <w:r w:rsidR="0051691D">
        <w:rPr>
          <w:rFonts w:ascii="Book Antiqua" w:hAnsi="Book Antiqua"/>
        </w:rPr>
        <w:t>relevant</w:t>
      </w:r>
      <w:r>
        <w:rPr>
          <w:rFonts w:ascii="Book Antiqua" w:hAnsi="Book Antiqua"/>
        </w:rPr>
        <w:t xml:space="preserve"> to whether he was discrete about his sexuality </w:t>
      </w:r>
      <w:r w:rsidR="0051691D">
        <w:rPr>
          <w:rFonts w:ascii="Book Antiqua" w:hAnsi="Book Antiqua"/>
        </w:rPr>
        <w:t>for</w:t>
      </w:r>
      <w:r>
        <w:rPr>
          <w:rFonts w:ascii="Book Antiqua" w:hAnsi="Book Antiqua"/>
        </w:rPr>
        <w:t xml:space="preserve"> reasons other than a fear of persecution up to the point when he made the human rights application in December 2014 is as follows. At paragraph 8 of his statement he says that he told only a few people but didn’t want to “expose” himself and says before his 2017 asylum application he had kept his sexuality “secret”, particularly from his “community”. He says in his asylum interview</w:t>
      </w:r>
      <w:r w:rsidRPr="00425D53">
        <w:rPr>
          <w:rFonts w:ascii="Book Antiqua" w:hAnsi="Book Antiqua"/>
        </w:rPr>
        <w:t xml:space="preserve"> </w:t>
      </w:r>
      <w:r>
        <w:rPr>
          <w:rFonts w:ascii="Book Antiqua" w:hAnsi="Book Antiqua"/>
        </w:rPr>
        <w:t xml:space="preserve">in July 2017 he decided to be open with his family a couple of years ago at question 82, and that </w:t>
      </w:r>
      <w:r w:rsidR="0051691D">
        <w:rPr>
          <w:rFonts w:ascii="Book Antiqua" w:hAnsi="Book Antiqua"/>
        </w:rPr>
        <w:t>delay</w:t>
      </w:r>
      <w:r>
        <w:rPr>
          <w:rFonts w:ascii="Book Antiqua" w:hAnsi="Book Antiqua"/>
        </w:rPr>
        <w:t xml:space="preserve"> was because he was afraid of the reaction he would get. He also said that he was open with friends and family and not the community </w:t>
      </w:r>
      <w:r w:rsidR="0051691D">
        <w:rPr>
          <w:rFonts w:ascii="Book Antiqua" w:hAnsi="Book Antiqua"/>
        </w:rPr>
        <w:t>because of homophobia in answer to</w:t>
      </w:r>
      <w:r>
        <w:rPr>
          <w:rFonts w:ascii="Book Antiqua" w:hAnsi="Book Antiqua"/>
        </w:rPr>
        <w:t xml:space="preserve"> question 66. He also explains in interview that he avoided discussing his sexuality and kept it to himself prior to going to groups from the beginning of 2017, see</w:t>
      </w:r>
      <w:r w:rsidR="0051691D">
        <w:rPr>
          <w:rFonts w:ascii="Book Antiqua" w:hAnsi="Book Antiqua"/>
        </w:rPr>
        <w:t xml:space="preserve"> responses to interview</w:t>
      </w:r>
      <w:r>
        <w:rPr>
          <w:rFonts w:ascii="Book Antiqua" w:hAnsi="Book Antiqua"/>
        </w:rPr>
        <w:t xml:space="preserve"> questions 78 and 79. AU, the man with whom the appellant had a discrete relationship, sets out in his letter that he was not interested in a serious relationship and that t</w:t>
      </w:r>
      <w:r w:rsidR="0051691D">
        <w:rPr>
          <w:rFonts w:ascii="Book Antiqua" w:hAnsi="Book Antiqua"/>
        </w:rPr>
        <w:t>he relationship</w:t>
      </w:r>
      <w:r>
        <w:rPr>
          <w:rFonts w:ascii="Book Antiqua" w:hAnsi="Book Antiqua"/>
        </w:rPr>
        <w:t xml:space="preserve"> was a secret as he</w:t>
      </w:r>
      <w:r w:rsidR="0051691D">
        <w:rPr>
          <w:rFonts w:ascii="Book Antiqua" w:hAnsi="Book Antiqua"/>
        </w:rPr>
        <w:t xml:space="preserve"> was and</w:t>
      </w:r>
      <w:r>
        <w:rPr>
          <w:rFonts w:ascii="Book Antiqua" w:hAnsi="Book Antiqua"/>
        </w:rPr>
        <w:t xml:space="preserve"> is married with children and wishes to remain that way. The evidence of RP is that although the appellant was going to gay events and talked to him about</w:t>
      </w:r>
      <w:r w:rsidR="0051691D">
        <w:rPr>
          <w:rFonts w:ascii="Book Antiqua" w:hAnsi="Book Antiqua"/>
        </w:rPr>
        <w:t xml:space="preserve"> being gay</w:t>
      </w:r>
      <w:r>
        <w:rPr>
          <w:rFonts w:ascii="Book Antiqua" w:hAnsi="Book Antiqua"/>
        </w:rPr>
        <w:t xml:space="preserve"> in 2013/2014 </w:t>
      </w:r>
      <w:r w:rsidR="0051691D">
        <w:rPr>
          <w:rFonts w:ascii="Book Antiqua" w:hAnsi="Book Antiqua"/>
        </w:rPr>
        <w:t>the appellant</w:t>
      </w:r>
      <w:r>
        <w:rPr>
          <w:rFonts w:ascii="Book Antiqua" w:hAnsi="Book Antiqua"/>
        </w:rPr>
        <w:t xml:space="preserve"> did keep his sexuality “hidden” at that </w:t>
      </w:r>
      <w:r>
        <w:rPr>
          <w:rFonts w:ascii="Book Antiqua" w:hAnsi="Book Antiqua"/>
        </w:rPr>
        <w:lastRenderedPageBreak/>
        <w:t xml:space="preserve">point. This also seems to be the picture in the letter of AH who had a conversation with the appellant in 2013. I find that the </w:t>
      </w:r>
      <w:r w:rsidR="0051691D">
        <w:rPr>
          <w:rFonts w:ascii="Book Antiqua" w:hAnsi="Book Antiqua"/>
        </w:rPr>
        <w:t>conclusion</w:t>
      </w:r>
      <w:r>
        <w:rPr>
          <w:rFonts w:ascii="Book Antiqua" w:hAnsi="Book Antiqua"/>
        </w:rPr>
        <w:t xml:space="preserve"> of the First-tier Tribunal that the appellant could have raised </w:t>
      </w:r>
      <w:r w:rsidR="0051691D">
        <w:rPr>
          <w:rFonts w:ascii="Book Antiqua" w:hAnsi="Book Antiqua"/>
        </w:rPr>
        <w:t>an asylum claim based on his sexuality</w:t>
      </w:r>
      <w:r>
        <w:rPr>
          <w:rFonts w:ascii="Book Antiqua" w:hAnsi="Book Antiqua"/>
        </w:rPr>
        <w:t xml:space="preserve"> in his earlier human rights application</w:t>
      </w:r>
      <w:r w:rsidR="0051691D">
        <w:rPr>
          <w:rFonts w:ascii="Book Antiqua" w:hAnsi="Book Antiqua"/>
        </w:rPr>
        <w:t>s</w:t>
      </w:r>
      <w:r>
        <w:rPr>
          <w:rFonts w:ascii="Book Antiqua" w:hAnsi="Book Antiqua"/>
        </w:rPr>
        <w:t xml:space="preserve"> as he had a viable basis for asylum at that point is insufficiently reasoned in the light of the evidence before the First-tier Tribunal.   </w:t>
      </w:r>
    </w:p>
    <w:p w:rsidR="00490A86" w:rsidRPr="00425D53" w:rsidRDefault="00A51BCE"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rPr>
        <w:t xml:space="preserve">In relation to the remaking of this appeal I draw the attention of the parties and the First-tier Tribunal to the following which I believe to be relevant to the decision-making in this appeal. </w:t>
      </w:r>
      <w:r w:rsidR="00425D53" w:rsidRPr="00425D53">
        <w:rPr>
          <w:rFonts w:ascii="Book Antiqua" w:hAnsi="Book Antiqua"/>
        </w:rPr>
        <w:t>The respondent’s guidance “Asylum Policy Instruction: Sexual Orientation in Asylum Claims</w:t>
      </w:r>
      <w:r w:rsidR="00425D53">
        <w:rPr>
          <w:rFonts w:ascii="Book Antiqua" w:hAnsi="Book Antiqua"/>
        </w:rPr>
        <w:t>”</w:t>
      </w:r>
      <w:r w:rsidR="00425D53" w:rsidRPr="00425D53">
        <w:rPr>
          <w:rFonts w:ascii="Book Antiqua" w:hAnsi="Book Antiqua"/>
        </w:rPr>
        <w:t xml:space="preserve"> Version 6 2016 states as follows with respect to a Credibility Considering Late Disclosures at page 34 -35: “</w:t>
      </w:r>
      <w:r w:rsidR="00490A86" w:rsidRPr="00425D53">
        <w:rPr>
          <w:rFonts w:ascii="Book Antiqua" w:hAnsi="Book Antiqua"/>
        </w:rPr>
        <w:t>Consideration must be given to any possible reasons for not disclosing the issue of sexuality at the first available opportunity during screening. Feelings of shame, cultural implications, or painful memories, particularly those of a sexual nature, may have led some claimants to feel reluctant about speaking openly about such issues and may therefore not be uncommon. While adverse inference should not necessarily be drawn from someone not having immediately declared their sexual orientation at the screening stage, failure to mention it at the main asylum interview, when there is every opportunity to do so, may call into question the credibility of the claim, unless there are very good reasons for not having mentioned it at that point. Each claim must be considered on its individual merits and all factors considered in the round. Any late disclosure must be fully investigated and the overall credibility of a claim considered ‘in the round’. The A, B and C judgment prohibits the rejection of credibility when it is made only on this ground. Caseworkers must not therefore make an adverse credibility finding merely because the claimant did not rely on LGB grounds on the first occasion on which they claimed persecution there must be more weighing against the claim</w:t>
      </w:r>
      <w:r w:rsidR="00425D53" w:rsidRPr="00425D53">
        <w:rPr>
          <w:rFonts w:ascii="Book Antiqua" w:hAnsi="Book Antiqua"/>
        </w:rPr>
        <w:t>.”</w:t>
      </w:r>
    </w:p>
    <w:p w:rsidR="00933B65" w:rsidRDefault="00933B65" w:rsidP="00933B65">
      <w:pPr>
        <w:tabs>
          <w:tab w:val="left" w:pos="567"/>
        </w:tabs>
        <w:jc w:val="both"/>
        <w:rPr>
          <w:rFonts w:ascii="Book Antiqua" w:hAnsi="Book Antiqua" w:cs="Arial"/>
        </w:rPr>
      </w:pPr>
    </w:p>
    <w:p w:rsidR="00933B65" w:rsidRPr="00270D89" w:rsidRDefault="00933B65" w:rsidP="00933B65">
      <w:pPr>
        <w:tabs>
          <w:tab w:val="left" w:pos="567"/>
        </w:tabs>
        <w:jc w:val="both"/>
        <w:rPr>
          <w:rFonts w:ascii="Book Antiqua" w:hAnsi="Book Antiqua" w:cs="Arial"/>
          <w:u w:val="single"/>
        </w:rPr>
      </w:pPr>
      <w:r>
        <w:rPr>
          <w:rFonts w:ascii="Book Antiqua" w:hAnsi="Book Antiqua" w:cs="Arial"/>
        </w:rPr>
        <w:t xml:space="preserve">          </w:t>
      </w:r>
      <w:r w:rsidR="00270D89" w:rsidRPr="00270D89">
        <w:rPr>
          <w:rFonts w:ascii="Book Antiqua" w:hAnsi="Book Antiqua" w:cs="Arial"/>
          <w:u w:val="single"/>
        </w:rPr>
        <w:t>Decision</w:t>
      </w:r>
      <w:r w:rsidRPr="00270D89">
        <w:rPr>
          <w:rFonts w:ascii="Book Antiqua" w:hAnsi="Book Antiqua" w:cs="Arial"/>
          <w:u w:val="single"/>
        </w:rPr>
        <w:t>:</w:t>
      </w:r>
    </w:p>
    <w:p w:rsidR="00933B65" w:rsidRDefault="00933B65" w:rsidP="00933B65">
      <w:pPr>
        <w:tabs>
          <w:tab w:val="left" w:pos="567"/>
        </w:tabs>
        <w:jc w:val="both"/>
        <w:rPr>
          <w:rFonts w:ascii="Book Antiqua" w:hAnsi="Book Antiqua" w:cs="Arial"/>
        </w:rPr>
      </w:pPr>
    </w:p>
    <w:p w:rsidR="00933B65" w:rsidRDefault="00933B65" w:rsidP="00546523">
      <w:pPr>
        <w:numPr>
          <w:ilvl w:val="0"/>
          <w:numId w:val="3"/>
        </w:numPr>
        <w:tabs>
          <w:tab w:val="left" w:pos="567"/>
        </w:tabs>
        <w:jc w:val="both"/>
        <w:rPr>
          <w:rFonts w:ascii="Book Antiqua" w:hAnsi="Book Antiqua" w:cs="Arial"/>
        </w:rPr>
      </w:pPr>
      <w:r>
        <w:rPr>
          <w:rFonts w:ascii="Book Antiqua" w:hAnsi="Book Antiqua" w:cs="Arial"/>
        </w:rPr>
        <w:t xml:space="preserve">The making of the </w:t>
      </w:r>
      <w:r w:rsidR="00614E94">
        <w:rPr>
          <w:rFonts w:ascii="Book Antiqua" w:hAnsi="Book Antiqua" w:cs="Arial"/>
        </w:rPr>
        <w:t>decision</w:t>
      </w:r>
      <w:r>
        <w:rPr>
          <w:rFonts w:ascii="Book Antiqua" w:hAnsi="Book Antiqua" w:cs="Arial"/>
        </w:rPr>
        <w:t xml:space="preserve"> of the First-tier Tribunal involve</w:t>
      </w:r>
      <w:r w:rsidR="00A51BCE">
        <w:rPr>
          <w:rFonts w:ascii="Book Antiqua" w:hAnsi="Book Antiqua" w:cs="Arial"/>
        </w:rPr>
        <w:t>d</w:t>
      </w:r>
      <w:r>
        <w:rPr>
          <w:rFonts w:ascii="Book Antiqua" w:hAnsi="Book Antiqua" w:cs="Arial"/>
        </w:rPr>
        <w:t xml:space="preserve"> the making of an error on a point of law.</w:t>
      </w:r>
    </w:p>
    <w:p w:rsidR="00933B65" w:rsidRDefault="00933B65" w:rsidP="00933B65">
      <w:pPr>
        <w:tabs>
          <w:tab w:val="left" w:pos="567"/>
        </w:tabs>
        <w:jc w:val="both"/>
        <w:rPr>
          <w:rFonts w:ascii="Book Antiqua" w:hAnsi="Book Antiqua" w:cs="Arial"/>
        </w:rPr>
      </w:pPr>
    </w:p>
    <w:p w:rsidR="00933B65" w:rsidRDefault="00614E94" w:rsidP="00546523">
      <w:pPr>
        <w:numPr>
          <w:ilvl w:val="0"/>
          <w:numId w:val="3"/>
        </w:numPr>
        <w:tabs>
          <w:tab w:val="left" w:pos="567"/>
        </w:tabs>
        <w:jc w:val="both"/>
        <w:rPr>
          <w:rFonts w:ascii="Book Antiqua" w:hAnsi="Book Antiqua" w:cs="Arial"/>
        </w:rPr>
      </w:pPr>
      <w:r>
        <w:rPr>
          <w:rFonts w:ascii="Book Antiqua" w:hAnsi="Book Antiqua" w:cs="Arial"/>
        </w:rPr>
        <w:t>I</w:t>
      </w:r>
      <w:r w:rsidR="00933B65">
        <w:rPr>
          <w:rFonts w:ascii="Book Antiqua" w:hAnsi="Book Antiqua" w:cs="Arial"/>
        </w:rPr>
        <w:t xml:space="preserve"> set aside</w:t>
      </w:r>
      <w:r w:rsidR="00A51BCE">
        <w:rPr>
          <w:rFonts w:ascii="Book Antiqua" w:hAnsi="Book Antiqua" w:cs="Arial"/>
        </w:rPr>
        <w:t xml:space="preserve"> </w:t>
      </w:r>
      <w:r w:rsidR="00933B65">
        <w:rPr>
          <w:rFonts w:ascii="Book Antiqua" w:hAnsi="Book Antiqua" w:cs="Arial"/>
        </w:rPr>
        <w:t xml:space="preserve">the </w:t>
      </w:r>
      <w:r>
        <w:rPr>
          <w:rFonts w:ascii="Book Antiqua" w:hAnsi="Book Antiqua" w:cs="Arial"/>
        </w:rPr>
        <w:t>decision</w:t>
      </w:r>
      <w:r w:rsidR="00A51BCE">
        <w:rPr>
          <w:rFonts w:ascii="Book Antiqua" w:hAnsi="Book Antiqua" w:cs="Arial"/>
        </w:rPr>
        <w:t xml:space="preserve"> of the First-tier Tribunal.</w:t>
      </w:r>
      <w:r w:rsidR="00933B65">
        <w:rPr>
          <w:rFonts w:ascii="Book Antiqua" w:hAnsi="Book Antiqua" w:cs="Arial"/>
        </w:rPr>
        <w:t xml:space="preserve"> </w:t>
      </w:r>
    </w:p>
    <w:p w:rsidR="00933B65" w:rsidRDefault="00933B65" w:rsidP="00933B65">
      <w:pPr>
        <w:tabs>
          <w:tab w:val="left" w:pos="567"/>
        </w:tabs>
        <w:jc w:val="both"/>
        <w:rPr>
          <w:rFonts w:ascii="Book Antiqua" w:hAnsi="Book Antiqua" w:cs="Arial"/>
        </w:rPr>
      </w:pPr>
    </w:p>
    <w:p w:rsidR="00933B65" w:rsidRDefault="00614E94" w:rsidP="00546523">
      <w:pPr>
        <w:numPr>
          <w:ilvl w:val="0"/>
          <w:numId w:val="3"/>
        </w:numPr>
        <w:tabs>
          <w:tab w:val="left" w:pos="567"/>
        </w:tabs>
        <w:jc w:val="both"/>
        <w:rPr>
          <w:rFonts w:ascii="Book Antiqua" w:hAnsi="Book Antiqua" w:cs="Arial"/>
        </w:rPr>
      </w:pPr>
      <w:r>
        <w:rPr>
          <w:rFonts w:ascii="Book Antiqua" w:hAnsi="Book Antiqua" w:cs="Arial"/>
        </w:rPr>
        <w:t>I</w:t>
      </w:r>
      <w:r w:rsidR="00A51BCE">
        <w:rPr>
          <w:rFonts w:ascii="Book Antiqua" w:hAnsi="Book Antiqua" w:cs="Arial"/>
        </w:rPr>
        <w:t xml:space="preserve"> remit the appeal to the First-tier Tribunal for</w:t>
      </w:r>
      <w:r w:rsidR="00933B65">
        <w:rPr>
          <w:rFonts w:ascii="Book Antiqua" w:hAnsi="Book Antiqua" w:cs="Arial"/>
        </w:rPr>
        <w:t xml:space="preserve"> re-mak</w:t>
      </w:r>
      <w:r w:rsidR="00A51BCE">
        <w:rPr>
          <w:rFonts w:ascii="Book Antiqua" w:hAnsi="Book Antiqua" w:cs="Arial"/>
        </w:rPr>
        <w:t>ing with no findings preserved</w:t>
      </w:r>
      <w:r w:rsidR="00270D89">
        <w:rPr>
          <w:rFonts w:ascii="Book Antiqua" w:hAnsi="Book Antiqua" w:cs="Arial"/>
        </w:rPr>
        <w:t>.</w:t>
      </w:r>
    </w:p>
    <w:p w:rsidR="00546523" w:rsidRDefault="00546523" w:rsidP="00933B65">
      <w:pPr>
        <w:tabs>
          <w:tab w:val="left" w:pos="567"/>
        </w:tabs>
        <w:jc w:val="both"/>
        <w:rPr>
          <w:rFonts w:ascii="Book Antiqua" w:hAnsi="Book Antiqua" w:cs="Arial"/>
        </w:rPr>
      </w:pPr>
    </w:p>
    <w:p w:rsidR="00546523" w:rsidRPr="007B6EFD" w:rsidRDefault="00546523" w:rsidP="00546523">
      <w:pPr>
        <w:tabs>
          <w:tab w:val="left" w:pos="567"/>
        </w:tabs>
        <w:ind w:left="567"/>
        <w:jc w:val="both"/>
        <w:rPr>
          <w:rFonts w:ascii="Book Antiqua" w:hAnsi="Book Antiqua" w:cs="Arial"/>
          <w:b/>
          <w:color w:val="000000"/>
        </w:rPr>
      </w:pPr>
      <w:r w:rsidRPr="007B6EFD">
        <w:rPr>
          <w:rFonts w:ascii="Book Antiqua" w:hAnsi="Book Antiqua"/>
          <w:b/>
          <w:bCs/>
        </w:rPr>
        <w:t xml:space="preserve">Pursuant to Rule 14 of the Tribunal Procedure (Upper Tribunal) Rules 2008 (SI 2008/269) </w:t>
      </w:r>
      <w:r w:rsidR="00A51BCE" w:rsidRPr="007B6EFD">
        <w:rPr>
          <w:rFonts w:ascii="Book Antiqua" w:hAnsi="Book Antiqua"/>
          <w:b/>
          <w:bCs/>
        </w:rPr>
        <w:t>I</w:t>
      </w:r>
      <w:r w:rsidRPr="007B6EFD">
        <w:rPr>
          <w:rFonts w:ascii="Book Antiqua" w:hAnsi="Book Antiqua"/>
          <w:b/>
          <w:bCs/>
        </w:rPr>
        <w:t xml:space="preserve"> make an anonymity order. Unless the Upper Tribunal or a Court directs otherwise, no report of these proceedings or any form of publication thereof shall directly or indirectly identify the original appellant. This direction applies to, amongst others, all parties. Any failure to comply with this direction could give rise to contempt of court proceedings. </w:t>
      </w:r>
      <w:r w:rsidR="00A51BCE" w:rsidRPr="007B6EFD">
        <w:rPr>
          <w:rFonts w:ascii="Book Antiqua" w:hAnsi="Book Antiqua" w:cs="Arial"/>
          <w:b/>
        </w:rPr>
        <w:t>I</w:t>
      </w:r>
      <w:r w:rsidRPr="007B6EFD">
        <w:rPr>
          <w:rFonts w:ascii="Book Antiqua" w:hAnsi="Book Antiqua" w:cs="Arial"/>
          <w:b/>
        </w:rPr>
        <w:t xml:space="preserve"> do so </w:t>
      </w:r>
      <w:proofErr w:type="gramStart"/>
      <w:r w:rsidRPr="007B6EFD">
        <w:rPr>
          <w:rFonts w:ascii="Book Antiqua" w:hAnsi="Book Antiqua" w:cs="Arial"/>
          <w:b/>
        </w:rPr>
        <w:t>in order to</w:t>
      </w:r>
      <w:proofErr w:type="gramEnd"/>
      <w:r w:rsidRPr="007B6EFD">
        <w:rPr>
          <w:rFonts w:ascii="Book Antiqua" w:hAnsi="Book Antiqua" w:cs="Arial"/>
          <w:b/>
        </w:rPr>
        <w:t xml:space="preserve"> avoid a likelihood of serious harm arising to the appellant from the contents of his protection claim. </w:t>
      </w:r>
    </w:p>
    <w:p w:rsidR="00546523" w:rsidRDefault="00546523" w:rsidP="00933B65">
      <w:pPr>
        <w:tabs>
          <w:tab w:val="left" w:pos="567"/>
        </w:tabs>
        <w:jc w:val="both"/>
        <w:rPr>
          <w:rFonts w:ascii="Book Antiqua" w:hAnsi="Book Antiqua" w:cs="Arial"/>
        </w:rPr>
      </w:pPr>
      <w:bookmarkStart w:id="0" w:name="_GoBack"/>
      <w:bookmarkEnd w:id="0"/>
    </w:p>
    <w:p w:rsidR="00546523" w:rsidRDefault="00546523" w:rsidP="00933B65">
      <w:pPr>
        <w:tabs>
          <w:tab w:val="left" w:pos="567"/>
        </w:tabs>
        <w:jc w:val="both"/>
        <w:rPr>
          <w:rFonts w:ascii="Book Antiqua" w:hAnsi="Book Antiqua" w:cs="Arial"/>
        </w:rPr>
      </w:pPr>
    </w:p>
    <w:p w:rsidR="00270D89" w:rsidRDefault="00270D89" w:rsidP="00933B65">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sidR="00607ACC">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71702E">
        <w:rPr>
          <w:rFonts w:ascii="Book Antiqua" w:hAnsi="Book Antiqua" w:cs="Arial"/>
        </w:rPr>
        <w:t xml:space="preserve"> </w:t>
      </w:r>
      <w:r w:rsidR="00A51BCE">
        <w:rPr>
          <w:rFonts w:ascii="Book Antiqua" w:hAnsi="Book Antiqua" w:cs="Arial"/>
        </w:rPr>
        <w:t>10</w:t>
      </w:r>
      <w:r w:rsidR="00A51BCE" w:rsidRPr="00A51BCE">
        <w:rPr>
          <w:rFonts w:ascii="Book Antiqua" w:hAnsi="Book Antiqua" w:cs="Arial"/>
          <w:vertAlign w:val="superscript"/>
        </w:rPr>
        <w:t>th</w:t>
      </w:r>
      <w:r w:rsidR="00A51BCE">
        <w:rPr>
          <w:rFonts w:ascii="Book Antiqua" w:hAnsi="Book Antiqua" w:cs="Arial"/>
        </w:rPr>
        <w:t xml:space="preserve"> July</w:t>
      </w:r>
      <w:r w:rsidR="00027238">
        <w:rPr>
          <w:rFonts w:ascii="Book Antiqua" w:hAnsi="Book Antiqua" w:cs="Arial"/>
        </w:rPr>
        <w:t xml:space="preserve"> </w:t>
      </w:r>
      <w:r w:rsidR="0071702E">
        <w:rPr>
          <w:rFonts w:ascii="Book Antiqua" w:hAnsi="Book Antiqua" w:cs="Arial"/>
        </w:rPr>
        <w:t>201</w:t>
      </w:r>
      <w:r w:rsidR="00787B10">
        <w:rPr>
          <w:rFonts w:ascii="Book Antiqua" w:hAnsi="Book Antiqua" w:cs="Arial"/>
        </w:rPr>
        <w:t>8</w:t>
      </w:r>
    </w:p>
    <w:p w:rsidR="008832E8" w:rsidRDefault="00546523" w:rsidP="007B6EFD">
      <w:pPr>
        <w:tabs>
          <w:tab w:val="left" w:pos="567"/>
        </w:tabs>
        <w:jc w:val="both"/>
        <w:rPr>
          <w:rFonts w:ascii="Book Antiqua" w:hAnsi="Book Antiqua" w:cs="Arial"/>
        </w:rPr>
      </w:pPr>
      <w:r>
        <w:rPr>
          <w:rFonts w:ascii="Book Antiqua" w:hAnsi="Book Antiqua" w:cs="Arial"/>
        </w:rPr>
        <w:t>Upper Tribunal Judge Lindsley</w:t>
      </w:r>
      <w:r w:rsidR="007B6EFD">
        <w:rPr>
          <w:rFonts w:ascii="Book Antiqua" w:hAnsi="Book Antiqua" w:cs="Arial"/>
        </w:rPr>
        <w:t xml:space="preserve"> </w:t>
      </w:r>
    </w:p>
    <w:sectPr w:rsidR="008832E8" w:rsidSect="007B6EFD">
      <w:headerReference w:type="default" r:id="rId8"/>
      <w:footerReference w:type="default" r:id="rId9"/>
      <w:footerReference w:type="first" r:id="rId10"/>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E89" w:rsidRDefault="00065E89">
      <w:r>
        <w:separator/>
      </w:r>
    </w:p>
  </w:endnote>
  <w:endnote w:type="continuationSeparator" w:id="0">
    <w:p w:rsidR="00065E89" w:rsidRDefault="00065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7B6EFD" w:rsidRDefault="00614E94" w:rsidP="00614E94">
    <w:pPr>
      <w:pStyle w:val="Footer"/>
      <w:jc w:val="center"/>
      <w:rPr>
        <w:rFonts w:ascii="Book Antiqua" w:hAnsi="Book Antiqua" w:cs="Arial"/>
      </w:rPr>
    </w:pPr>
    <w:r w:rsidRPr="007B6EFD">
      <w:rPr>
        <w:rStyle w:val="PageNumber"/>
        <w:rFonts w:ascii="Book Antiqua" w:hAnsi="Book Antiqua" w:cs="Arial"/>
      </w:rPr>
      <w:fldChar w:fldCharType="begin"/>
    </w:r>
    <w:r w:rsidRPr="007B6EFD">
      <w:rPr>
        <w:rStyle w:val="PageNumber"/>
        <w:rFonts w:ascii="Book Antiqua" w:hAnsi="Book Antiqua" w:cs="Arial"/>
      </w:rPr>
      <w:instrText xml:space="preserve"> PAGE </w:instrText>
    </w:r>
    <w:r w:rsidRPr="007B6EFD">
      <w:rPr>
        <w:rStyle w:val="PageNumber"/>
        <w:rFonts w:ascii="Book Antiqua" w:hAnsi="Book Antiqua" w:cs="Arial"/>
      </w:rPr>
      <w:fldChar w:fldCharType="separate"/>
    </w:r>
    <w:r w:rsidR="001B39F1">
      <w:rPr>
        <w:rStyle w:val="PageNumber"/>
        <w:rFonts w:ascii="Book Antiqua" w:hAnsi="Book Antiqua" w:cs="Arial"/>
        <w:noProof/>
      </w:rPr>
      <w:t>4</w:t>
    </w:r>
    <w:r w:rsidRPr="007B6EF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7B6EFD" w:rsidRDefault="00614E94" w:rsidP="00614E94">
    <w:pPr>
      <w:jc w:val="center"/>
      <w:rPr>
        <w:rFonts w:ascii="Book Antiqua" w:hAnsi="Book Antiqua" w:cs="Arial"/>
        <w:b/>
      </w:rPr>
    </w:pPr>
    <w:r w:rsidRPr="007B6EFD">
      <w:rPr>
        <w:rFonts w:ascii="Book Antiqua" w:hAnsi="Book Antiqua" w:cs="Arial"/>
        <w:b/>
        <w:spacing w:val="-6"/>
      </w:rPr>
      <w:t>©</w:t>
    </w:r>
    <w:r w:rsidR="001F5280" w:rsidRPr="007B6EFD">
      <w:rPr>
        <w:rFonts w:ascii="Book Antiqua" w:hAnsi="Book Antiqua" w:cs="Arial"/>
        <w:b/>
      </w:rPr>
      <w:t xml:space="preserve"> CROWN COPYRIGHT 201</w:t>
    </w:r>
    <w:r w:rsidR="00787B10" w:rsidRPr="007B6EFD">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E89" w:rsidRDefault="00065E89">
      <w:r>
        <w:separator/>
      </w:r>
    </w:p>
  </w:footnote>
  <w:footnote w:type="continuationSeparator" w:id="0">
    <w:p w:rsidR="00065E89" w:rsidRDefault="00065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Default="00614E94" w:rsidP="00614E94">
    <w:pPr>
      <w:pStyle w:val="Header"/>
      <w:jc w:val="right"/>
      <w:rPr>
        <w:rFonts w:ascii="Book Antiqua" w:hAnsi="Book Antiqua" w:cs="Arial"/>
        <w:sz w:val="16"/>
        <w:szCs w:val="16"/>
      </w:rPr>
    </w:pPr>
    <w:r w:rsidRPr="007B6EFD">
      <w:rPr>
        <w:rFonts w:ascii="Book Antiqua" w:hAnsi="Book Antiqua" w:cs="Arial"/>
        <w:sz w:val="16"/>
        <w:szCs w:val="16"/>
      </w:rPr>
      <w:t xml:space="preserve">Appeal Number: </w:t>
    </w:r>
    <w:r w:rsidR="0072203B" w:rsidRPr="007B6EFD">
      <w:rPr>
        <w:rFonts w:ascii="Book Antiqua" w:hAnsi="Book Antiqua" w:cs="Arial"/>
        <w:sz w:val="16"/>
        <w:szCs w:val="16"/>
      </w:rPr>
      <w:t>PA/08015/2017</w:t>
    </w:r>
  </w:p>
  <w:p w:rsidR="007B6EFD" w:rsidRPr="007B6EFD" w:rsidRDefault="007B6EFD"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27238"/>
    <w:rsid w:val="00065E89"/>
    <w:rsid w:val="00073814"/>
    <w:rsid w:val="00081ABF"/>
    <w:rsid w:val="001B39F1"/>
    <w:rsid w:val="001D2991"/>
    <w:rsid w:val="001F5280"/>
    <w:rsid w:val="00266FFE"/>
    <w:rsid w:val="00270D89"/>
    <w:rsid w:val="00282753"/>
    <w:rsid w:val="00284315"/>
    <w:rsid w:val="002B220A"/>
    <w:rsid w:val="002B4AEE"/>
    <w:rsid w:val="00306EE9"/>
    <w:rsid w:val="003B5957"/>
    <w:rsid w:val="003F0441"/>
    <w:rsid w:val="004171D0"/>
    <w:rsid w:val="004229FB"/>
    <w:rsid w:val="00425D53"/>
    <w:rsid w:val="00490A86"/>
    <w:rsid w:val="004A012D"/>
    <w:rsid w:val="004E3D7D"/>
    <w:rsid w:val="0051691D"/>
    <w:rsid w:val="00546523"/>
    <w:rsid w:val="00553339"/>
    <w:rsid w:val="005673A9"/>
    <w:rsid w:val="0057020B"/>
    <w:rsid w:val="00607ACC"/>
    <w:rsid w:val="00614E94"/>
    <w:rsid w:val="00625DC4"/>
    <w:rsid w:val="00685F6F"/>
    <w:rsid w:val="006A364A"/>
    <w:rsid w:val="0071702E"/>
    <w:rsid w:val="0072203B"/>
    <w:rsid w:val="00773B62"/>
    <w:rsid w:val="00787B10"/>
    <w:rsid w:val="007B2B84"/>
    <w:rsid w:val="007B6EFD"/>
    <w:rsid w:val="007D6500"/>
    <w:rsid w:val="007E2AB6"/>
    <w:rsid w:val="0080131E"/>
    <w:rsid w:val="008832E8"/>
    <w:rsid w:val="008D27FB"/>
    <w:rsid w:val="009167E0"/>
    <w:rsid w:val="00933B65"/>
    <w:rsid w:val="009701EB"/>
    <w:rsid w:val="00A17A7A"/>
    <w:rsid w:val="00A21035"/>
    <w:rsid w:val="00A35F1C"/>
    <w:rsid w:val="00A51BCE"/>
    <w:rsid w:val="00A524D8"/>
    <w:rsid w:val="00A66336"/>
    <w:rsid w:val="00A86A8D"/>
    <w:rsid w:val="00AE1D75"/>
    <w:rsid w:val="00B13536"/>
    <w:rsid w:val="00C30DB1"/>
    <w:rsid w:val="00C76C2C"/>
    <w:rsid w:val="00CB4622"/>
    <w:rsid w:val="00CC4BE0"/>
    <w:rsid w:val="00D36F32"/>
    <w:rsid w:val="00D44C34"/>
    <w:rsid w:val="00D5277E"/>
    <w:rsid w:val="00DF43FF"/>
    <w:rsid w:val="00E1607A"/>
    <w:rsid w:val="00ED7CCA"/>
    <w:rsid w:val="00F05428"/>
    <w:rsid w:val="00F648C0"/>
    <w:rsid w:val="00F97DEC"/>
    <w:rsid w:val="00FA0A2E"/>
    <w:rsid w:val="00FB0516"/>
    <w:rsid w:val="00FE39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22611E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1844</Words>
  <Characters>8843</Characters>
  <Application>Microsoft Office Word</Application>
  <DocSecurity>0</DocSecurity>
  <Lines>73</Lines>
  <Paragraphs>21</Paragraphs>
  <ScaleCrop>false</ScaleCrop>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2018-07-27T16:01:00Z</dcterms:created>
  <dcterms:modified xsi:type="dcterms:W3CDTF">2018-07-27T16:01:00Z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