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596667" w:rsidRDefault="00FE0046" w:rsidP="00933B65">
      <w:pPr>
        <w:jc w:val="center"/>
        <w:rPr>
          <w:rFonts w:ascii="Book Antiqua" w:hAnsi="Book Antiqua" w:cs="Arial"/>
          <w:color w:val="000000"/>
          <w:sz w:val="16"/>
          <w:szCs w:val="16"/>
        </w:rPr>
      </w:pPr>
      <w:r w:rsidRPr="00596667">
        <w:rPr>
          <w:noProof/>
          <w:sz w:val="16"/>
          <w:szCs w:val="16"/>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7A1FDB" w:rsidRPr="00596667" w:rsidRDefault="007A1FDB" w:rsidP="00933B65">
      <w:pPr>
        <w:tabs>
          <w:tab w:val="right" w:pos="9720"/>
        </w:tabs>
        <w:ind w:right="-82"/>
        <w:rPr>
          <w:rFonts w:ascii="Book Antiqua" w:hAnsi="Book Antiqua" w:cs="Arial"/>
          <w:b/>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8A64A7">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6042B2">
        <w:rPr>
          <w:rFonts w:ascii="Book Antiqua" w:hAnsi="Book Antiqua" w:cs="Arial"/>
          <w:caps/>
          <w:color w:val="000000"/>
        </w:rPr>
        <w:t>PA/08122/2017</w:t>
      </w:r>
      <w:bookmarkEnd w:id="0"/>
    </w:p>
    <w:p w:rsidR="007A1FDB" w:rsidRPr="00F97703" w:rsidRDefault="007A1FDB" w:rsidP="008A64A7">
      <w:pPr>
        <w:tabs>
          <w:tab w:val="right" w:pos="9720"/>
        </w:tabs>
        <w:ind w:right="-82"/>
        <w:rPr>
          <w:rFonts w:ascii="Book Antiqua" w:hAnsi="Book Antiqua" w:cs="Arial"/>
          <w:color w:val="000000"/>
        </w:rPr>
      </w:pPr>
    </w:p>
    <w:p w:rsidR="00933B65" w:rsidRPr="00F97703" w:rsidRDefault="00933B65" w:rsidP="00933B65">
      <w:pPr>
        <w:jc w:val="center"/>
        <w:rPr>
          <w:rFonts w:ascii="Book Antiqua" w:hAnsi="Book Antiqua" w:cs="Arial"/>
          <w:color w:val="000000"/>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7A1FDB" w:rsidRPr="00F97703" w:rsidRDefault="007A1FDB"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10250" w:type="dxa"/>
        <w:tblLook w:val="01E0" w:firstRow="1" w:lastRow="1" w:firstColumn="1" w:lastColumn="1" w:noHBand="0" w:noVBand="0"/>
      </w:tblPr>
      <w:tblGrid>
        <w:gridCol w:w="6292"/>
        <w:gridCol w:w="3958"/>
      </w:tblGrid>
      <w:tr w:rsidR="00933B65" w:rsidRPr="002154EF" w:rsidTr="00AF4F5E">
        <w:trPr>
          <w:trHeight w:val="678"/>
        </w:trPr>
        <w:tc>
          <w:tcPr>
            <w:tcW w:w="6292" w:type="dxa"/>
            <w:shd w:val="clear" w:color="auto" w:fill="auto"/>
          </w:tcPr>
          <w:p w:rsidR="00933B65"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p w:rsidR="00AF4F5E" w:rsidRPr="002154EF" w:rsidRDefault="00AF4F5E" w:rsidP="002154EF">
            <w:pPr>
              <w:jc w:val="both"/>
              <w:rPr>
                <w:rFonts w:ascii="Book Antiqua" w:hAnsi="Book Antiqua" w:cs="Arial"/>
                <w:b/>
              </w:rPr>
            </w:pPr>
            <w:r>
              <w:rPr>
                <w:rFonts w:ascii="Book Antiqua" w:hAnsi="Book Antiqua" w:cs="Arial"/>
                <w:b/>
              </w:rPr>
              <w:t>On 23 August 2018</w:t>
            </w:r>
          </w:p>
        </w:tc>
        <w:tc>
          <w:tcPr>
            <w:tcW w:w="3958" w:type="dxa"/>
            <w:shd w:val="clear" w:color="auto" w:fill="auto"/>
          </w:tcPr>
          <w:p w:rsidR="00933B65" w:rsidRDefault="00AF4F5E" w:rsidP="002154EF">
            <w:pPr>
              <w:jc w:val="both"/>
              <w:rPr>
                <w:rFonts w:ascii="Book Antiqua" w:hAnsi="Book Antiqua" w:cs="Arial"/>
                <w:b/>
                <w:color w:val="000000"/>
              </w:rPr>
            </w:pPr>
            <w:r>
              <w:rPr>
                <w:rFonts w:ascii="Book Antiqua" w:hAnsi="Book Antiqua" w:cs="Arial"/>
                <w:b/>
                <w:color w:val="000000"/>
              </w:rPr>
              <w:t>Decision &amp; Reasons Promulgated</w:t>
            </w:r>
          </w:p>
          <w:p w:rsidR="00AF4F5E" w:rsidRPr="002154EF" w:rsidRDefault="00AF4F5E" w:rsidP="002154EF">
            <w:pPr>
              <w:jc w:val="both"/>
              <w:rPr>
                <w:rFonts w:ascii="Book Antiqua" w:hAnsi="Book Antiqua" w:cs="Arial"/>
                <w:b/>
                <w:color w:val="000000"/>
              </w:rPr>
            </w:pPr>
            <w:r>
              <w:rPr>
                <w:rFonts w:ascii="Book Antiqua" w:hAnsi="Book Antiqua" w:cs="Arial"/>
                <w:b/>
                <w:color w:val="000000"/>
              </w:rPr>
              <w:t>On 5 September 2018</w:t>
            </w:r>
          </w:p>
        </w:tc>
      </w:tr>
      <w:tr w:rsidR="00933B65" w:rsidRPr="002154EF" w:rsidTr="00AF4F5E">
        <w:trPr>
          <w:trHeight w:val="339"/>
        </w:trPr>
        <w:tc>
          <w:tcPr>
            <w:tcW w:w="6292" w:type="dxa"/>
            <w:shd w:val="clear" w:color="auto" w:fill="auto"/>
          </w:tcPr>
          <w:p w:rsidR="00933B65" w:rsidRPr="002154EF" w:rsidRDefault="00933B65" w:rsidP="002154EF">
            <w:pPr>
              <w:jc w:val="both"/>
              <w:rPr>
                <w:rFonts w:ascii="Book Antiqua" w:hAnsi="Book Antiqua" w:cs="Arial"/>
                <w:b/>
              </w:rPr>
            </w:pPr>
          </w:p>
        </w:tc>
        <w:tc>
          <w:tcPr>
            <w:tcW w:w="3958" w:type="dxa"/>
            <w:shd w:val="clear" w:color="auto" w:fill="auto"/>
          </w:tcPr>
          <w:p w:rsidR="00933B65" w:rsidRPr="002154EF" w:rsidRDefault="00933B65" w:rsidP="002154EF">
            <w:pPr>
              <w:jc w:val="both"/>
              <w:rPr>
                <w:rFonts w:ascii="Book Antiqua" w:hAnsi="Book Antiqua" w:cs="Arial"/>
                <w:b/>
              </w:rPr>
            </w:pPr>
          </w:p>
        </w:tc>
      </w:tr>
      <w:tr w:rsidR="00933B65" w:rsidRPr="002154EF" w:rsidTr="00AF4F5E">
        <w:trPr>
          <w:trHeight w:val="339"/>
        </w:trPr>
        <w:tc>
          <w:tcPr>
            <w:tcW w:w="6292" w:type="dxa"/>
            <w:shd w:val="clear" w:color="auto" w:fill="auto"/>
          </w:tcPr>
          <w:p w:rsidR="00933B65" w:rsidRPr="002154EF" w:rsidRDefault="00933B65" w:rsidP="002154EF">
            <w:pPr>
              <w:jc w:val="both"/>
              <w:rPr>
                <w:rFonts w:ascii="Book Antiqua" w:hAnsi="Book Antiqua" w:cs="Arial"/>
                <w:b/>
              </w:rPr>
            </w:pPr>
          </w:p>
        </w:tc>
        <w:tc>
          <w:tcPr>
            <w:tcW w:w="3958" w:type="dxa"/>
            <w:shd w:val="clear" w:color="auto" w:fill="auto"/>
          </w:tcPr>
          <w:p w:rsidR="00933B65" w:rsidRPr="002154EF" w:rsidRDefault="00933B65" w:rsidP="002154EF">
            <w:pPr>
              <w:jc w:val="both"/>
              <w:rPr>
                <w:rFonts w:ascii="Book Antiqua" w:hAnsi="Book Antiqua" w:cs="Arial"/>
                <w:b/>
              </w:rPr>
            </w:pPr>
          </w:p>
        </w:tc>
      </w:tr>
    </w:tbl>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rsidR="00933B65" w:rsidRDefault="00933B65" w:rsidP="00933B65">
      <w:pPr>
        <w:jc w:val="center"/>
        <w:rPr>
          <w:rFonts w:ascii="Book Antiqua" w:hAnsi="Book Antiqua" w:cs="Arial"/>
          <w:b/>
        </w:rPr>
      </w:pPr>
    </w:p>
    <w:p w:rsidR="00596667" w:rsidRPr="00F97703" w:rsidRDefault="00596667"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6042B2" w:rsidP="00933B65">
      <w:pPr>
        <w:jc w:val="center"/>
        <w:rPr>
          <w:rFonts w:ascii="Book Antiqua" w:hAnsi="Book Antiqua" w:cs="Arial"/>
          <w:b/>
        </w:rPr>
      </w:pPr>
      <w:r>
        <w:rPr>
          <w:rFonts w:ascii="Book Antiqua" w:hAnsi="Book Antiqua" w:cs="Arial"/>
          <w:b/>
        </w:rPr>
        <w:t xml:space="preserve">HA </w:t>
      </w:r>
      <w:r w:rsidR="00D2762A">
        <w:rPr>
          <w:rFonts w:ascii="Book Antiqua" w:hAnsi="Book Antiqua" w:cs="Arial"/>
          <w:b/>
        </w:rPr>
        <w:t>XUAN TRAN</w:t>
      </w:r>
      <w:r w:rsidR="008B5B9B">
        <w:rPr>
          <w:rFonts w:ascii="Book Antiqua" w:hAnsi="Book Antiqua" w:cs="Arial"/>
          <w:b/>
        </w:rPr>
        <w:t xml:space="preserve"> </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D44C2B"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Default="00933B65" w:rsidP="008A64A7">
      <w:pPr>
        <w:jc w:val="right"/>
        <w:rPr>
          <w:rFonts w:ascii="Book Antiqua" w:hAnsi="Book Antiqua" w:cs="Arial"/>
          <w:u w:val="single"/>
        </w:rPr>
      </w:pPr>
      <w:r w:rsidRPr="00F97703">
        <w:rPr>
          <w:rFonts w:ascii="Book Antiqua" w:hAnsi="Book Antiqua" w:cs="Arial"/>
          <w:u w:val="single"/>
        </w:rPr>
        <w:t>Respondent</w:t>
      </w:r>
    </w:p>
    <w:p w:rsidR="007A1FDB" w:rsidRPr="00F97703" w:rsidRDefault="007A1FDB" w:rsidP="008A64A7">
      <w:pPr>
        <w:jc w:val="right"/>
        <w:rPr>
          <w:rFonts w:ascii="Book Antiqua" w:hAnsi="Book Antiqua" w:cs="Arial"/>
          <w:u w:val="single"/>
        </w:rPr>
      </w:pP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320187">
        <w:rPr>
          <w:rFonts w:ascii="Book Antiqua" w:hAnsi="Book Antiqua" w:cs="Arial"/>
        </w:rPr>
        <w:t xml:space="preserve">Mr S Winter, </w:t>
      </w:r>
      <w:r w:rsidR="00D5598C">
        <w:rPr>
          <w:rFonts w:ascii="Book Antiqua" w:hAnsi="Book Antiqua" w:cs="Arial"/>
        </w:rPr>
        <w:t xml:space="preserve">Advocate, instructed by </w:t>
      </w:r>
      <w:r w:rsidR="00D2762A">
        <w:rPr>
          <w:rFonts w:ascii="Book Antiqua" w:hAnsi="Book Antiqua" w:cs="Arial"/>
        </w:rPr>
        <w:t xml:space="preserve">Thorntons, </w:t>
      </w:r>
      <w:r w:rsidR="003D7D3D">
        <w:rPr>
          <w:rFonts w:ascii="Book Antiqua" w:hAnsi="Book Antiqua" w:cs="Arial"/>
        </w:rPr>
        <w:t>Solicitors</w:t>
      </w:r>
    </w:p>
    <w:p w:rsidR="00933B65" w:rsidRDefault="00933B65" w:rsidP="008A64A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D5598C">
        <w:rPr>
          <w:rFonts w:ascii="Book Antiqua" w:hAnsi="Book Antiqua" w:cs="Arial"/>
        </w:rPr>
        <w:t xml:space="preserve">Mr A Govan, </w:t>
      </w:r>
      <w:r w:rsidR="003D7D3D">
        <w:rPr>
          <w:rFonts w:ascii="Book Antiqua" w:hAnsi="Book Antiqua" w:cs="Arial"/>
        </w:rPr>
        <w:t>Senior</w:t>
      </w:r>
      <w:r>
        <w:rPr>
          <w:rFonts w:ascii="Book Antiqua" w:hAnsi="Book Antiqua" w:cs="Arial"/>
        </w:rPr>
        <w:t xml:space="preserve"> Home Office Presenting Officer</w:t>
      </w:r>
    </w:p>
    <w:p w:rsidR="007A1FDB" w:rsidRPr="00F97703" w:rsidRDefault="007A1FDB" w:rsidP="008A64A7">
      <w:pPr>
        <w:tabs>
          <w:tab w:val="left" w:pos="2520"/>
        </w:tabs>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321C6F" w:rsidRDefault="00933B65" w:rsidP="00734D2D">
      <w:pPr>
        <w:tabs>
          <w:tab w:val="left" w:pos="2520"/>
        </w:tabs>
        <w:jc w:val="center"/>
        <w:rPr>
          <w:rFonts w:ascii="Book Antiqua" w:hAnsi="Book Antiqua" w:cs="Arial"/>
          <w:b/>
          <w:u w:val="single"/>
        </w:rPr>
      </w:pPr>
      <w:r w:rsidRPr="00F97703">
        <w:rPr>
          <w:rFonts w:ascii="Book Antiqua" w:hAnsi="Book Antiqua" w:cs="Arial"/>
          <w:b/>
          <w:u w:val="single"/>
        </w:rPr>
        <w:t>DETERMINATION AND REASONS</w:t>
      </w:r>
    </w:p>
    <w:p w:rsidR="00897DE3" w:rsidRPr="00600EF2" w:rsidRDefault="007C7EA7" w:rsidP="00596667">
      <w:pPr>
        <w:tabs>
          <w:tab w:val="left" w:pos="567"/>
        </w:tabs>
        <w:spacing w:before="240"/>
        <w:jc w:val="both"/>
        <w:rPr>
          <w:rFonts w:ascii="Book Antiqua" w:hAnsi="Book Antiqua" w:cs="Arial"/>
        </w:rPr>
      </w:pPr>
      <w:r>
        <w:rPr>
          <w:rFonts w:ascii="Book Antiqua" w:hAnsi="Book Antiqua" w:cs="Arial"/>
        </w:rPr>
        <w:t>1.</w:t>
      </w:r>
      <w:r w:rsidR="00596667">
        <w:rPr>
          <w:rFonts w:ascii="Book Antiqua" w:hAnsi="Book Antiqua" w:cs="Arial"/>
        </w:rPr>
        <w:tab/>
      </w:r>
      <w:r w:rsidR="00007BAC" w:rsidRPr="00600EF2">
        <w:rPr>
          <w:rFonts w:ascii="Book Antiqua" w:hAnsi="Book Antiqua" w:cs="Arial"/>
        </w:rPr>
        <w:t>Th</w:t>
      </w:r>
      <w:r w:rsidR="002562E1" w:rsidRPr="00600EF2">
        <w:rPr>
          <w:rFonts w:ascii="Book Antiqua" w:hAnsi="Book Antiqua" w:cs="Arial"/>
        </w:rPr>
        <w:t>e respondent refused the appellant’s claim for reasons given in a decision dated 4 August 2017.</w:t>
      </w:r>
    </w:p>
    <w:p w:rsidR="00571AE3" w:rsidRPr="00600EF2" w:rsidRDefault="007C7EA7" w:rsidP="00596667">
      <w:pPr>
        <w:tabs>
          <w:tab w:val="left" w:pos="567"/>
        </w:tabs>
        <w:spacing w:before="240"/>
        <w:jc w:val="both"/>
        <w:rPr>
          <w:rFonts w:ascii="Book Antiqua" w:hAnsi="Book Antiqua" w:cs="Arial"/>
        </w:rPr>
      </w:pPr>
      <w:r>
        <w:rPr>
          <w:rFonts w:ascii="Book Antiqua" w:hAnsi="Book Antiqua" w:cs="Arial"/>
        </w:rPr>
        <w:t>2.</w:t>
      </w:r>
      <w:r w:rsidR="00596667">
        <w:rPr>
          <w:rFonts w:ascii="Book Antiqua" w:hAnsi="Book Antiqua" w:cs="Arial"/>
        </w:rPr>
        <w:tab/>
      </w:r>
      <w:proofErr w:type="spellStart"/>
      <w:r w:rsidR="00897DE3" w:rsidRPr="00600EF2">
        <w:rPr>
          <w:rFonts w:ascii="Book Antiqua" w:hAnsi="Book Antiqua" w:cs="Arial"/>
        </w:rPr>
        <w:t>F</w:t>
      </w:r>
      <w:r w:rsidR="00571AE3" w:rsidRPr="00600EF2">
        <w:rPr>
          <w:rFonts w:ascii="Book Antiqua" w:hAnsi="Book Antiqua" w:cs="Arial"/>
        </w:rPr>
        <w:t>tT</w:t>
      </w:r>
      <w:proofErr w:type="spellEnd"/>
      <w:r w:rsidR="00571AE3" w:rsidRPr="00600EF2">
        <w:rPr>
          <w:rFonts w:ascii="Book Antiqua" w:hAnsi="Book Antiqua" w:cs="Arial"/>
        </w:rPr>
        <w:t xml:space="preserve"> Judge Agnew dismissed the appellant’s appeal for reasons given in her decision promulgated on 6 October 2017.</w:t>
      </w:r>
    </w:p>
    <w:p w:rsidR="002C1A3C" w:rsidRPr="00600EF2" w:rsidRDefault="007C7EA7" w:rsidP="00596667">
      <w:pPr>
        <w:tabs>
          <w:tab w:val="left" w:pos="567"/>
        </w:tabs>
        <w:spacing w:before="240"/>
        <w:jc w:val="both"/>
        <w:rPr>
          <w:rFonts w:ascii="Book Antiqua" w:hAnsi="Book Antiqua" w:cs="Arial"/>
        </w:rPr>
      </w:pPr>
      <w:r>
        <w:rPr>
          <w:rFonts w:ascii="Book Antiqua" w:hAnsi="Book Antiqua" w:cs="Arial"/>
        </w:rPr>
        <w:t>3.</w:t>
      </w:r>
      <w:r w:rsidR="00596667">
        <w:rPr>
          <w:rFonts w:ascii="Book Antiqua" w:hAnsi="Book Antiqua" w:cs="Arial"/>
        </w:rPr>
        <w:tab/>
      </w:r>
      <w:r w:rsidR="00C05E51" w:rsidRPr="00600EF2">
        <w:rPr>
          <w:rFonts w:ascii="Book Antiqua" w:hAnsi="Book Antiqua" w:cs="Arial"/>
        </w:rPr>
        <w:t xml:space="preserve">UT Judge Gleeson </w:t>
      </w:r>
      <w:r w:rsidR="00754838" w:rsidRPr="00600EF2">
        <w:rPr>
          <w:rFonts w:ascii="Book Antiqua" w:hAnsi="Book Antiqua" w:cs="Arial"/>
        </w:rPr>
        <w:t xml:space="preserve">granted permission </w:t>
      </w:r>
      <w:r w:rsidR="005739ED" w:rsidRPr="00600EF2">
        <w:rPr>
          <w:rFonts w:ascii="Book Antiqua" w:hAnsi="Book Antiqua" w:cs="Arial"/>
        </w:rPr>
        <w:t xml:space="preserve">to appeal to the UT </w:t>
      </w:r>
      <w:r w:rsidR="00754838" w:rsidRPr="00600EF2">
        <w:rPr>
          <w:rFonts w:ascii="Book Antiqua" w:hAnsi="Book Antiqua" w:cs="Arial"/>
        </w:rPr>
        <w:t>on 17 April 2018.</w:t>
      </w:r>
    </w:p>
    <w:p w:rsidR="00754838" w:rsidRPr="00A01961" w:rsidRDefault="007C7EA7" w:rsidP="00596667">
      <w:pPr>
        <w:tabs>
          <w:tab w:val="left" w:pos="567"/>
        </w:tabs>
        <w:spacing w:before="240"/>
        <w:jc w:val="both"/>
        <w:rPr>
          <w:rFonts w:ascii="Book Antiqua" w:hAnsi="Book Antiqua" w:cs="Arial"/>
        </w:rPr>
      </w:pPr>
      <w:r>
        <w:rPr>
          <w:rFonts w:ascii="Book Antiqua" w:hAnsi="Book Antiqua" w:cs="Arial"/>
        </w:rPr>
        <w:lastRenderedPageBreak/>
        <w:t>4.</w:t>
      </w:r>
      <w:r w:rsidR="00596667">
        <w:rPr>
          <w:rFonts w:ascii="Book Antiqua" w:hAnsi="Book Antiqua" w:cs="Arial"/>
        </w:rPr>
        <w:tab/>
      </w:r>
      <w:r w:rsidR="005739ED" w:rsidRPr="00A01961">
        <w:rPr>
          <w:rFonts w:ascii="Book Antiqua" w:hAnsi="Book Antiqua" w:cs="Arial"/>
        </w:rPr>
        <w:t xml:space="preserve">Excising </w:t>
      </w:r>
      <w:r w:rsidR="002E3E36">
        <w:rPr>
          <w:rFonts w:ascii="Book Antiqua" w:hAnsi="Book Antiqua" w:cs="Arial"/>
        </w:rPr>
        <w:t>sub-paragraph</w:t>
      </w:r>
      <w:r w:rsidR="00B8209E" w:rsidRPr="00A01961">
        <w:rPr>
          <w:rFonts w:ascii="Book Antiqua" w:hAnsi="Book Antiqua" w:cs="Arial"/>
        </w:rPr>
        <w:t xml:space="preserve"> (</w:t>
      </w:r>
      <w:proofErr w:type="spellStart"/>
      <w:r w:rsidR="00B8209E" w:rsidRPr="00A01961">
        <w:rPr>
          <w:rFonts w:ascii="Book Antiqua" w:hAnsi="Book Antiqua" w:cs="Arial"/>
        </w:rPr>
        <w:t>i</w:t>
      </w:r>
      <w:proofErr w:type="spellEnd"/>
      <w:r w:rsidR="00B8209E" w:rsidRPr="00A01961">
        <w:rPr>
          <w:rFonts w:ascii="Book Antiqua" w:hAnsi="Book Antiqua" w:cs="Arial"/>
        </w:rPr>
        <w:t xml:space="preserve">), on which </w:t>
      </w:r>
      <w:r w:rsidR="0018135B" w:rsidRPr="00A01961">
        <w:rPr>
          <w:rFonts w:ascii="Book Antiqua" w:hAnsi="Book Antiqua" w:cs="Arial"/>
        </w:rPr>
        <w:t>Mr Winter did not rely</w:t>
      </w:r>
      <w:r w:rsidR="00B8209E" w:rsidRPr="00A01961">
        <w:rPr>
          <w:rFonts w:ascii="Book Antiqua" w:hAnsi="Book Antiqua" w:cs="Arial"/>
        </w:rPr>
        <w:t>, these are the grounds:</w:t>
      </w:r>
      <w:r w:rsidR="0018135B" w:rsidRPr="00A01961">
        <w:rPr>
          <w:rFonts w:ascii="Book Antiqua" w:hAnsi="Book Antiqua" w:cs="Arial"/>
        </w:rPr>
        <w:t xml:space="preserve"> </w:t>
      </w:r>
    </w:p>
    <w:p w:rsidR="00596667" w:rsidRDefault="00596667" w:rsidP="00596667">
      <w:pPr>
        <w:spacing w:before="120"/>
        <w:ind w:left="1134"/>
        <w:jc w:val="both"/>
        <w:rPr>
          <w:rFonts w:ascii="Book Antiqua" w:hAnsi="Book Antiqua" w:cs="Arial"/>
          <w:szCs w:val="20"/>
        </w:rPr>
      </w:pPr>
      <w:r>
        <w:rPr>
          <w:rFonts w:ascii="Book Antiqua" w:hAnsi="Book Antiqua" w:cs="Arial"/>
          <w:szCs w:val="20"/>
        </w:rPr>
        <w:t>“</w:t>
      </w:r>
      <w:r w:rsidR="0059386A" w:rsidRPr="00596667">
        <w:rPr>
          <w:rFonts w:ascii="Book Antiqua" w:hAnsi="Book Antiqua" w:cs="Arial"/>
          <w:szCs w:val="20"/>
        </w:rPr>
        <w:t xml:space="preserve">The </w:t>
      </w:r>
      <w:proofErr w:type="spellStart"/>
      <w:r w:rsidR="0059386A" w:rsidRPr="00596667">
        <w:rPr>
          <w:rFonts w:ascii="Book Antiqua" w:hAnsi="Book Antiqua" w:cs="Arial"/>
          <w:szCs w:val="20"/>
        </w:rPr>
        <w:t>FtT</w:t>
      </w:r>
      <w:proofErr w:type="spellEnd"/>
      <w:r w:rsidR="0059386A" w:rsidRPr="00596667">
        <w:rPr>
          <w:rFonts w:ascii="Book Antiqua" w:hAnsi="Book Antiqua" w:cs="Arial"/>
          <w:szCs w:val="20"/>
        </w:rPr>
        <w:t xml:space="preserve"> notes at </w:t>
      </w:r>
      <w:r w:rsidR="003A1083" w:rsidRPr="00596667">
        <w:rPr>
          <w:rFonts w:ascii="Book Antiqua" w:hAnsi="Book Antiqua" w:cs="Arial"/>
          <w:szCs w:val="20"/>
        </w:rPr>
        <w:t>paragraphs</w:t>
      </w:r>
      <w:r w:rsidR="0059386A" w:rsidRPr="00596667">
        <w:rPr>
          <w:rFonts w:ascii="Book Antiqua" w:hAnsi="Book Antiqua" w:cs="Arial"/>
          <w:szCs w:val="20"/>
        </w:rPr>
        <w:t xml:space="preserve"> 81 – 84 various reports indicating that the appellant is a vu</w:t>
      </w:r>
      <w:r w:rsidR="00D772E0" w:rsidRPr="00596667">
        <w:rPr>
          <w:rFonts w:ascii="Book Antiqua" w:hAnsi="Book Antiqua" w:cs="Arial"/>
          <w:szCs w:val="20"/>
        </w:rPr>
        <w:t>lnerable witness</w:t>
      </w:r>
      <w:r w:rsidR="00F63074" w:rsidRPr="00596667">
        <w:rPr>
          <w:rFonts w:ascii="Book Antiqua" w:hAnsi="Book Antiqua" w:cs="Arial"/>
          <w:szCs w:val="20"/>
        </w:rPr>
        <w:t>. The F</w:t>
      </w:r>
      <w:r w:rsidR="00C35BA3" w:rsidRPr="00596667">
        <w:rPr>
          <w:rFonts w:ascii="Book Antiqua" w:hAnsi="Book Antiqua" w:cs="Arial"/>
          <w:szCs w:val="20"/>
        </w:rPr>
        <w:t>t</w:t>
      </w:r>
      <w:r w:rsidR="00F63074" w:rsidRPr="00596667">
        <w:rPr>
          <w:rFonts w:ascii="Book Antiqua" w:hAnsi="Book Antiqua" w:cs="Arial"/>
          <w:szCs w:val="20"/>
        </w:rPr>
        <w:t>T recognises that the appellant is a vulnerable witness at paragraphs 48 and 66. Notwithstanding this the F</w:t>
      </w:r>
      <w:r w:rsidR="00C35BA3" w:rsidRPr="00596667">
        <w:rPr>
          <w:rFonts w:ascii="Book Antiqua" w:hAnsi="Book Antiqua" w:cs="Arial"/>
          <w:szCs w:val="20"/>
        </w:rPr>
        <w:t>t</w:t>
      </w:r>
      <w:r w:rsidR="00F63074" w:rsidRPr="00596667">
        <w:rPr>
          <w:rFonts w:ascii="Book Antiqua" w:hAnsi="Book Antiqua" w:cs="Arial"/>
          <w:szCs w:val="20"/>
        </w:rPr>
        <w:t>T has erred in law in terms of</w:t>
      </w:r>
      <w:r w:rsidR="0093182F" w:rsidRPr="00596667">
        <w:rPr>
          <w:rFonts w:ascii="Book Antiqua" w:hAnsi="Book Antiqua" w:cs="Arial"/>
          <w:szCs w:val="20"/>
        </w:rPr>
        <w:t xml:space="preserve"> </w:t>
      </w:r>
      <w:r w:rsidR="00DA6002" w:rsidRPr="00596667">
        <w:rPr>
          <w:rFonts w:ascii="Book Antiqua" w:hAnsi="Book Antiqua" w:cs="Arial"/>
          <w:i/>
          <w:szCs w:val="20"/>
        </w:rPr>
        <w:t>AM(Afghanistan) v SSD</w:t>
      </w:r>
      <w:r w:rsidR="00DA6002" w:rsidRPr="00596667">
        <w:rPr>
          <w:rFonts w:ascii="Book Antiqua" w:hAnsi="Book Antiqua" w:cs="Arial"/>
          <w:szCs w:val="20"/>
        </w:rPr>
        <w:t xml:space="preserve"> [2017] EWCA Civ 1123</w:t>
      </w:r>
      <w:r w:rsidR="0093182F" w:rsidRPr="00596667">
        <w:rPr>
          <w:rFonts w:ascii="Book Antiqua" w:hAnsi="Book Antiqua" w:cs="Arial"/>
          <w:szCs w:val="20"/>
        </w:rPr>
        <w:t xml:space="preserve"> (per</w:t>
      </w:r>
      <w:r w:rsidR="00F63074" w:rsidRPr="00596667">
        <w:rPr>
          <w:rFonts w:ascii="Book Antiqua" w:hAnsi="Book Antiqua" w:cs="Arial"/>
          <w:szCs w:val="20"/>
        </w:rPr>
        <w:t xml:space="preserve"> paragraphs 21 </w:t>
      </w:r>
      <w:r w:rsidR="0093182F" w:rsidRPr="00596667">
        <w:rPr>
          <w:rFonts w:ascii="Book Antiqua" w:hAnsi="Book Antiqua" w:cs="Arial"/>
          <w:szCs w:val="20"/>
        </w:rPr>
        <w:t>-</w:t>
      </w:r>
      <w:r w:rsidR="00F63074" w:rsidRPr="00596667">
        <w:rPr>
          <w:rFonts w:ascii="Book Antiqua" w:hAnsi="Book Antiqua" w:cs="Arial"/>
          <w:szCs w:val="20"/>
        </w:rPr>
        <w:t xml:space="preserve"> 22, 30 </w:t>
      </w:r>
      <w:r w:rsidR="0093182F" w:rsidRPr="00596667">
        <w:rPr>
          <w:rFonts w:ascii="Book Antiqua" w:hAnsi="Book Antiqua" w:cs="Arial"/>
          <w:szCs w:val="20"/>
        </w:rPr>
        <w:t>-</w:t>
      </w:r>
      <w:r w:rsidR="00F63074" w:rsidRPr="00596667">
        <w:rPr>
          <w:rFonts w:ascii="Book Antiqua" w:hAnsi="Book Antiqua" w:cs="Arial"/>
          <w:szCs w:val="20"/>
        </w:rPr>
        <w:t xml:space="preserve"> 32 and 35</w:t>
      </w:r>
      <w:r w:rsidR="004109D2" w:rsidRPr="00596667">
        <w:rPr>
          <w:rFonts w:ascii="Book Antiqua" w:hAnsi="Book Antiqua" w:cs="Arial"/>
          <w:szCs w:val="20"/>
        </w:rPr>
        <w:t>)</w:t>
      </w:r>
      <w:r w:rsidR="00B002FD" w:rsidRPr="00596667">
        <w:rPr>
          <w:rFonts w:ascii="Book Antiqua" w:hAnsi="Book Antiqua" w:cs="Arial"/>
          <w:szCs w:val="20"/>
        </w:rPr>
        <w:t xml:space="preserve"> for the following reasons:</w:t>
      </w:r>
      <w:r w:rsidR="00FC1421" w:rsidRPr="00596667">
        <w:rPr>
          <w:rFonts w:ascii="Book Antiqua" w:hAnsi="Book Antiqua" w:cs="Arial"/>
          <w:szCs w:val="20"/>
        </w:rPr>
        <w:t xml:space="preserve"> </w:t>
      </w:r>
    </w:p>
    <w:p w:rsidR="00B002FD" w:rsidRPr="00596667" w:rsidRDefault="00FC1421" w:rsidP="00596667">
      <w:pPr>
        <w:spacing w:before="120"/>
        <w:ind w:left="1701"/>
        <w:jc w:val="both"/>
        <w:rPr>
          <w:rFonts w:ascii="Book Antiqua" w:hAnsi="Book Antiqua" w:cs="Arial"/>
          <w:szCs w:val="20"/>
        </w:rPr>
      </w:pPr>
      <w:r w:rsidRPr="00596667">
        <w:rPr>
          <w:rFonts w:ascii="Book Antiqua" w:hAnsi="Book Antiqua" w:cs="Arial"/>
          <w:szCs w:val="20"/>
        </w:rPr>
        <w:t>…</w:t>
      </w:r>
    </w:p>
    <w:p w:rsidR="000C0DB7" w:rsidRPr="00596667" w:rsidRDefault="002E3E36" w:rsidP="00596667">
      <w:pPr>
        <w:tabs>
          <w:tab w:val="left" w:pos="2268"/>
        </w:tabs>
        <w:spacing w:before="120"/>
        <w:ind w:left="1701"/>
        <w:jc w:val="both"/>
        <w:rPr>
          <w:rFonts w:ascii="Book Antiqua" w:hAnsi="Book Antiqua"/>
          <w:szCs w:val="20"/>
        </w:rPr>
      </w:pPr>
      <w:r w:rsidRPr="00596667">
        <w:rPr>
          <w:rFonts w:ascii="Book Antiqua" w:hAnsi="Book Antiqua"/>
          <w:szCs w:val="20"/>
        </w:rPr>
        <w:t>(ii)</w:t>
      </w:r>
      <w:r w:rsidR="00596667">
        <w:rPr>
          <w:rFonts w:ascii="Book Antiqua" w:hAnsi="Book Antiqua"/>
          <w:szCs w:val="20"/>
        </w:rPr>
        <w:tab/>
      </w:r>
      <w:r w:rsidR="004109D2" w:rsidRPr="00596667">
        <w:rPr>
          <w:rFonts w:ascii="Book Antiqua" w:hAnsi="Book Antiqua"/>
          <w:szCs w:val="20"/>
        </w:rPr>
        <w:t>B</w:t>
      </w:r>
      <w:r w:rsidR="00B002FD" w:rsidRPr="00596667">
        <w:rPr>
          <w:rFonts w:ascii="Book Antiqua" w:hAnsi="Book Antiqua"/>
          <w:szCs w:val="20"/>
        </w:rPr>
        <w:t>y failing to holistically assess the medical information. Although the F</w:t>
      </w:r>
      <w:r w:rsidR="00C35BA3" w:rsidRPr="00596667">
        <w:rPr>
          <w:rFonts w:ascii="Book Antiqua" w:hAnsi="Book Antiqua"/>
          <w:szCs w:val="20"/>
        </w:rPr>
        <w:t>t</w:t>
      </w:r>
      <w:r w:rsidR="00B002FD" w:rsidRPr="00596667">
        <w:rPr>
          <w:rFonts w:ascii="Book Antiqua" w:hAnsi="Book Antiqua"/>
          <w:szCs w:val="20"/>
        </w:rPr>
        <w:t xml:space="preserve">T refers to the appellant being </w:t>
      </w:r>
      <w:r w:rsidR="004109D2" w:rsidRPr="00596667">
        <w:rPr>
          <w:rFonts w:ascii="Book Antiqua" w:hAnsi="Book Antiqua"/>
          <w:szCs w:val="20"/>
        </w:rPr>
        <w:t xml:space="preserve">a </w:t>
      </w:r>
      <w:r w:rsidR="00B002FD" w:rsidRPr="00596667">
        <w:rPr>
          <w:rFonts w:ascii="Book Antiqua" w:hAnsi="Book Antiqua"/>
          <w:szCs w:val="20"/>
        </w:rPr>
        <w:t xml:space="preserve">vulnerable witness at paragraphs 48 and 66, it is not until paragraphs 81 </w:t>
      </w:r>
      <w:r w:rsidR="004109D2" w:rsidRPr="00596667">
        <w:rPr>
          <w:rFonts w:ascii="Book Antiqua" w:hAnsi="Book Antiqua"/>
          <w:szCs w:val="20"/>
        </w:rPr>
        <w:t>-</w:t>
      </w:r>
      <w:r w:rsidR="00B002FD" w:rsidRPr="00596667">
        <w:rPr>
          <w:rFonts w:ascii="Book Antiqua" w:hAnsi="Book Antiqua"/>
          <w:szCs w:val="20"/>
        </w:rPr>
        <w:t xml:space="preserve"> 84 that the information the appellant’s vulnerability is looked at in detail</w:t>
      </w:r>
      <w:r w:rsidR="000C0DB7" w:rsidRPr="00596667">
        <w:rPr>
          <w:rFonts w:ascii="Book Antiqua" w:hAnsi="Book Antiqua"/>
          <w:szCs w:val="20"/>
        </w:rPr>
        <w:t xml:space="preserve"> and which is effectively treated as an add</w:t>
      </w:r>
      <w:r w:rsidR="00FF52E5" w:rsidRPr="00596667">
        <w:rPr>
          <w:rFonts w:ascii="Book Antiqua" w:hAnsi="Book Antiqua"/>
          <w:szCs w:val="20"/>
        </w:rPr>
        <w:t>-</w:t>
      </w:r>
      <w:r w:rsidR="000C0DB7" w:rsidRPr="00596667">
        <w:rPr>
          <w:rFonts w:ascii="Book Antiqua" w:hAnsi="Book Antiqua"/>
          <w:szCs w:val="20"/>
        </w:rPr>
        <w:t>on</w:t>
      </w:r>
      <w:r w:rsidR="00FF52E5" w:rsidRPr="00596667">
        <w:rPr>
          <w:rFonts w:ascii="Book Antiqua" w:hAnsi="Book Antiqua"/>
          <w:szCs w:val="20"/>
        </w:rPr>
        <w:t>;</w:t>
      </w:r>
    </w:p>
    <w:p w:rsidR="00834A20" w:rsidRPr="00596667" w:rsidRDefault="002E3E36" w:rsidP="00596667">
      <w:pPr>
        <w:tabs>
          <w:tab w:val="left" w:pos="2268"/>
        </w:tabs>
        <w:spacing w:before="120"/>
        <w:ind w:left="1701"/>
        <w:jc w:val="both"/>
        <w:rPr>
          <w:rFonts w:ascii="Book Antiqua" w:hAnsi="Book Antiqua"/>
          <w:szCs w:val="20"/>
        </w:rPr>
      </w:pPr>
      <w:r w:rsidRPr="00596667">
        <w:rPr>
          <w:rFonts w:ascii="Book Antiqua" w:hAnsi="Book Antiqua"/>
          <w:szCs w:val="20"/>
        </w:rPr>
        <w:t>(iii)</w:t>
      </w:r>
      <w:r w:rsidR="00596667">
        <w:rPr>
          <w:rFonts w:ascii="Book Antiqua" w:hAnsi="Book Antiqua"/>
          <w:szCs w:val="20"/>
        </w:rPr>
        <w:tab/>
      </w:r>
      <w:r w:rsidR="00E7272C" w:rsidRPr="00596667">
        <w:rPr>
          <w:rFonts w:ascii="Book Antiqua" w:hAnsi="Book Antiqua"/>
          <w:szCs w:val="20"/>
        </w:rPr>
        <w:t>A</w:t>
      </w:r>
      <w:r w:rsidR="000C0DB7" w:rsidRPr="00596667">
        <w:rPr>
          <w:rFonts w:ascii="Book Antiqua" w:hAnsi="Book Antiqua"/>
          <w:szCs w:val="20"/>
        </w:rPr>
        <w:t>lthough recognising at paragraphs 48 and 66 that the appellant’s vulnerability may impact on his evidence, the F</w:t>
      </w:r>
      <w:r w:rsidR="00C35BA3" w:rsidRPr="00596667">
        <w:rPr>
          <w:rFonts w:ascii="Book Antiqua" w:hAnsi="Book Antiqua"/>
          <w:szCs w:val="20"/>
        </w:rPr>
        <w:t>t</w:t>
      </w:r>
      <w:r w:rsidR="000C0DB7" w:rsidRPr="00596667">
        <w:rPr>
          <w:rFonts w:ascii="Book Antiqua" w:hAnsi="Book Antiqua"/>
          <w:szCs w:val="20"/>
        </w:rPr>
        <w:t xml:space="preserve">T has erred in law as it is not given adequate reasons for finding that his vulnerability does not provide a reasonable explanation for such discrepancies, inconsistencies </w:t>
      </w:r>
      <w:r w:rsidR="00E44604" w:rsidRPr="00596667">
        <w:rPr>
          <w:rFonts w:ascii="Book Antiqua" w:hAnsi="Book Antiqua"/>
          <w:szCs w:val="20"/>
        </w:rPr>
        <w:t>or</w:t>
      </w:r>
      <w:r w:rsidR="000C0DB7" w:rsidRPr="00596667">
        <w:rPr>
          <w:rFonts w:ascii="Book Antiqua" w:hAnsi="Book Antiqua"/>
          <w:szCs w:val="20"/>
        </w:rPr>
        <w:t xml:space="preserve"> the appellant’s behaviour</w:t>
      </w:r>
      <w:r w:rsidR="00834A20" w:rsidRPr="00596667">
        <w:rPr>
          <w:rFonts w:ascii="Book Antiqua" w:hAnsi="Book Antiqua"/>
          <w:szCs w:val="20"/>
        </w:rPr>
        <w:t xml:space="preserve"> </w:t>
      </w:r>
      <w:r w:rsidR="00E44604" w:rsidRPr="00596667">
        <w:rPr>
          <w:rFonts w:ascii="Book Antiqua" w:hAnsi="Book Antiqua"/>
          <w:szCs w:val="20"/>
        </w:rPr>
        <w:t>or where</w:t>
      </w:r>
      <w:r w:rsidR="00834A20" w:rsidRPr="00596667">
        <w:rPr>
          <w:rFonts w:ascii="Book Antiqua" w:hAnsi="Book Antiqua"/>
          <w:szCs w:val="20"/>
        </w:rPr>
        <w:t xml:space="preserve"> such findings are not supported, adequately supported by, the evidence;</w:t>
      </w:r>
    </w:p>
    <w:p w:rsidR="00E32B5A" w:rsidRPr="00596667" w:rsidRDefault="002E3E36" w:rsidP="00596667">
      <w:pPr>
        <w:tabs>
          <w:tab w:val="left" w:pos="2268"/>
        </w:tabs>
        <w:spacing w:before="120"/>
        <w:ind w:left="1701"/>
        <w:jc w:val="both"/>
        <w:rPr>
          <w:rFonts w:ascii="Book Antiqua" w:hAnsi="Book Antiqua"/>
          <w:szCs w:val="20"/>
        </w:rPr>
      </w:pPr>
      <w:r w:rsidRPr="00596667">
        <w:rPr>
          <w:rFonts w:ascii="Book Antiqua" w:hAnsi="Book Antiqua"/>
          <w:szCs w:val="20"/>
        </w:rPr>
        <w:t>(iv)</w:t>
      </w:r>
      <w:r w:rsidR="00596667">
        <w:rPr>
          <w:rFonts w:ascii="Book Antiqua" w:hAnsi="Book Antiqua"/>
          <w:szCs w:val="20"/>
        </w:rPr>
        <w:tab/>
      </w:r>
      <w:r w:rsidR="00E44604" w:rsidRPr="00596667">
        <w:rPr>
          <w:rFonts w:ascii="Book Antiqua" w:hAnsi="Book Antiqua"/>
          <w:szCs w:val="20"/>
        </w:rPr>
        <w:t>F</w:t>
      </w:r>
      <w:r w:rsidR="00834A20" w:rsidRPr="00596667">
        <w:rPr>
          <w:rFonts w:ascii="Book Antiqua" w:hAnsi="Book Antiqua"/>
          <w:szCs w:val="20"/>
        </w:rPr>
        <w:t xml:space="preserve">ailing to follow the </w:t>
      </w:r>
      <w:r w:rsidR="00E44604" w:rsidRPr="00596667">
        <w:rPr>
          <w:rFonts w:ascii="Book Antiqua" w:hAnsi="Book Antiqua"/>
          <w:szCs w:val="20"/>
        </w:rPr>
        <w:t>F</w:t>
      </w:r>
      <w:r w:rsidR="00834A20" w:rsidRPr="00596667">
        <w:rPr>
          <w:rFonts w:ascii="Book Antiqua" w:hAnsi="Book Antiqua"/>
          <w:szCs w:val="20"/>
        </w:rPr>
        <w:t xml:space="preserve">irst-tier </w:t>
      </w:r>
      <w:r w:rsidR="00B167AE" w:rsidRPr="00596667">
        <w:rPr>
          <w:rFonts w:ascii="Book Antiqua" w:hAnsi="Book Antiqua"/>
          <w:szCs w:val="20"/>
        </w:rPr>
        <w:t>and U</w:t>
      </w:r>
      <w:r w:rsidR="00834A20" w:rsidRPr="00596667">
        <w:rPr>
          <w:rFonts w:ascii="Book Antiqua" w:hAnsi="Book Antiqua"/>
          <w:szCs w:val="20"/>
        </w:rPr>
        <w:t xml:space="preserve">pper </w:t>
      </w:r>
      <w:r w:rsidR="00B167AE" w:rsidRPr="00596667">
        <w:rPr>
          <w:rFonts w:ascii="Book Antiqua" w:hAnsi="Book Antiqua"/>
          <w:szCs w:val="20"/>
        </w:rPr>
        <w:t>T</w:t>
      </w:r>
      <w:r w:rsidR="00834A20" w:rsidRPr="00596667">
        <w:rPr>
          <w:rFonts w:ascii="Book Antiqua" w:hAnsi="Book Antiqua"/>
          <w:szCs w:val="20"/>
        </w:rPr>
        <w:t xml:space="preserve">ribunal </w:t>
      </w:r>
      <w:r w:rsidR="00B167AE" w:rsidRPr="00596667">
        <w:rPr>
          <w:rFonts w:ascii="Book Antiqua" w:hAnsi="Book Antiqua"/>
          <w:szCs w:val="20"/>
        </w:rPr>
        <w:t>C</w:t>
      </w:r>
      <w:r w:rsidR="00834A20" w:rsidRPr="00596667">
        <w:rPr>
          <w:rFonts w:ascii="Book Antiqua" w:hAnsi="Book Antiqua"/>
          <w:szCs w:val="20"/>
        </w:rPr>
        <w:t xml:space="preserve">hild, </w:t>
      </w:r>
      <w:r w:rsidR="00B167AE" w:rsidRPr="00596667">
        <w:rPr>
          <w:rFonts w:ascii="Book Antiqua" w:hAnsi="Book Antiqua"/>
          <w:szCs w:val="20"/>
        </w:rPr>
        <w:t>V</w:t>
      </w:r>
      <w:r w:rsidR="00834A20" w:rsidRPr="00596667">
        <w:rPr>
          <w:rFonts w:ascii="Book Antiqua" w:hAnsi="Book Antiqua"/>
          <w:szCs w:val="20"/>
        </w:rPr>
        <w:t xml:space="preserve">ulnerable </w:t>
      </w:r>
      <w:r w:rsidR="00B167AE" w:rsidRPr="00596667">
        <w:rPr>
          <w:rFonts w:ascii="Book Antiqua" w:hAnsi="Book Antiqua"/>
          <w:szCs w:val="20"/>
        </w:rPr>
        <w:t>A</w:t>
      </w:r>
      <w:r w:rsidR="00834A20" w:rsidRPr="00596667">
        <w:rPr>
          <w:rFonts w:ascii="Book Antiqua" w:hAnsi="Book Antiqua"/>
          <w:szCs w:val="20"/>
        </w:rPr>
        <w:t xml:space="preserve">dult and </w:t>
      </w:r>
      <w:r w:rsidR="00B167AE" w:rsidRPr="00596667">
        <w:rPr>
          <w:rFonts w:ascii="Book Antiqua" w:hAnsi="Book Antiqua"/>
          <w:szCs w:val="20"/>
        </w:rPr>
        <w:t>S</w:t>
      </w:r>
      <w:r w:rsidR="00834A20" w:rsidRPr="00596667">
        <w:rPr>
          <w:rFonts w:ascii="Book Antiqua" w:hAnsi="Book Antiqua"/>
          <w:szCs w:val="20"/>
        </w:rPr>
        <w:t xml:space="preserve">ensitive </w:t>
      </w:r>
      <w:r w:rsidR="00B167AE" w:rsidRPr="00596667">
        <w:rPr>
          <w:rFonts w:ascii="Book Antiqua" w:hAnsi="Book Antiqua"/>
          <w:szCs w:val="20"/>
        </w:rPr>
        <w:t>W</w:t>
      </w:r>
      <w:r w:rsidR="00834A20" w:rsidRPr="00596667">
        <w:rPr>
          <w:rFonts w:ascii="Book Antiqua" w:hAnsi="Book Antiqua"/>
          <w:szCs w:val="20"/>
        </w:rPr>
        <w:t xml:space="preserve">itnesses </w:t>
      </w:r>
      <w:r w:rsidR="00B167AE" w:rsidRPr="00596667">
        <w:rPr>
          <w:rFonts w:ascii="Book Antiqua" w:hAnsi="Book Antiqua"/>
          <w:szCs w:val="20"/>
        </w:rPr>
        <w:t>P</w:t>
      </w:r>
      <w:r w:rsidR="00834A20" w:rsidRPr="00596667">
        <w:rPr>
          <w:rFonts w:ascii="Book Antiqua" w:hAnsi="Book Antiqua"/>
          <w:szCs w:val="20"/>
        </w:rPr>
        <w:t xml:space="preserve">ractice </w:t>
      </w:r>
      <w:r w:rsidR="00B167AE" w:rsidRPr="00596667">
        <w:rPr>
          <w:rFonts w:ascii="Book Antiqua" w:hAnsi="Book Antiqua"/>
          <w:szCs w:val="20"/>
        </w:rPr>
        <w:t>D</w:t>
      </w:r>
      <w:r w:rsidR="00834A20" w:rsidRPr="00596667">
        <w:rPr>
          <w:rFonts w:ascii="Book Antiqua" w:hAnsi="Book Antiqua"/>
          <w:szCs w:val="20"/>
        </w:rPr>
        <w:t xml:space="preserve">irection and the </w:t>
      </w:r>
      <w:r w:rsidR="00B167AE" w:rsidRPr="00596667">
        <w:rPr>
          <w:rFonts w:ascii="Book Antiqua" w:hAnsi="Book Antiqua"/>
          <w:szCs w:val="20"/>
        </w:rPr>
        <w:t>P</w:t>
      </w:r>
      <w:r w:rsidR="00834A20" w:rsidRPr="00596667">
        <w:rPr>
          <w:rFonts w:ascii="Book Antiqua" w:hAnsi="Book Antiqua"/>
          <w:szCs w:val="20"/>
        </w:rPr>
        <w:t xml:space="preserve">residential </w:t>
      </w:r>
      <w:r w:rsidR="00B167AE" w:rsidRPr="00596667">
        <w:rPr>
          <w:rFonts w:ascii="Book Antiqua" w:hAnsi="Book Antiqua"/>
          <w:szCs w:val="20"/>
        </w:rPr>
        <w:t>G</w:t>
      </w:r>
      <w:r w:rsidR="00834A20" w:rsidRPr="00596667">
        <w:rPr>
          <w:rFonts w:ascii="Book Antiqua" w:hAnsi="Book Antiqua"/>
          <w:szCs w:val="20"/>
        </w:rPr>
        <w:t xml:space="preserve">uidance </w:t>
      </w:r>
      <w:r w:rsidR="00FA1F26" w:rsidRPr="00596667">
        <w:rPr>
          <w:rFonts w:ascii="Book Antiqua" w:hAnsi="Book Antiqua"/>
          <w:szCs w:val="20"/>
        </w:rPr>
        <w:t>N</w:t>
      </w:r>
      <w:r w:rsidR="00834A20" w:rsidRPr="00596667">
        <w:rPr>
          <w:rFonts w:ascii="Book Antiqua" w:hAnsi="Book Antiqua"/>
          <w:szCs w:val="20"/>
        </w:rPr>
        <w:t xml:space="preserve">ote </w:t>
      </w:r>
      <w:r w:rsidR="00FA1F26" w:rsidRPr="00596667">
        <w:rPr>
          <w:rFonts w:ascii="Book Antiqua" w:hAnsi="Book Antiqua"/>
          <w:szCs w:val="20"/>
        </w:rPr>
        <w:t>No</w:t>
      </w:r>
      <w:r w:rsidR="00834A20" w:rsidRPr="00596667">
        <w:rPr>
          <w:rFonts w:ascii="Book Antiqua" w:hAnsi="Book Antiqua"/>
          <w:szCs w:val="20"/>
        </w:rPr>
        <w:t xml:space="preserve"> 2 of 2010 and w</w:t>
      </w:r>
      <w:r w:rsidR="00FA1F26" w:rsidRPr="00596667">
        <w:rPr>
          <w:rFonts w:ascii="Book Antiqua" w:hAnsi="Book Antiqua"/>
          <w:szCs w:val="20"/>
        </w:rPr>
        <w:t>h</w:t>
      </w:r>
      <w:r w:rsidR="00834A20" w:rsidRPr="00596667">
        <w:rPr>
          <w:rFonts w:ascii="Book Antiqua" w:hAnsi="Book Antiqua"/>
          <w:szCs w:val="20"/>
        </w:rPr>
        <w:t>ere such f</w:t>
      </w:r>
      <w:r w:rsidR="00FA1F26" w:rsidRPr="00596667">
        <w:rPr>
          <w:rFonts w:ascii="Book Antiqua" w:hAnsi="Book Antiqua"/>
          <w:szCs w:val="20"/>
        </w:rPr>
        <w:t>ai</w:t>
      </w:r>
      <w:r w:rsidR="00834A20" w:rsidRPr="00596667">
        <w:rPr>
          <w:rFonts w:ascii="Book Antiqua" w:hAnsi="Book Antiqua"/>
          <w:szCs w:val="20"/>
        </w:rPr>
        <w:t>ling is a material error of law</w:t>
      </w:r>
      <w:r w:rsidR="006E7C64" w:rsidRPr="00596667">
        <w:rPr>
          <w:rFonts w:ascii="Book Antiqua" w:hAnsi="Book Antiqua"/>
          <w:szCs w:val="20"/>
        </w:rPr>
        <w:t>;</w:t>
      </w:r>
    </w:p>
    <w:p w:rsidR="00C049F5" w:rsidRPr="00596667" w:rsidRDefault="002E3E36" w:rsidP="00596667">
      <w:pPr>
        <w:tabs>
          <w:tab w:val="left" w:pos="2268"/>
        </w:tabs>
        <w:spacing w:before="120"/>
        <w:ind w:left="1701"/>
        <w:jc w:val="both"/>
        <w:rPr>
          <w:rFonts w:ascii="Book Antiqua" w:hAnsi="Book Antiqua"/>
          <w:sz w:val="32"/>
        </w:rPr>
      </w:pPr>
      <w:r w:rsidRPr="00596667">
        <w:rPr>
          <w:rFonts w:ascii="Book Antiqua" w:hAnsi="Book Antiqua"/>
          <w:szCs w:val="20"/>
        </w:rPr>
        <w:t>(v)</w:t>
      </w:r>
      <w:r w:rsidR="00596667">
        <w:rPr>
          <w:rFonts w:ascii="Book Antiqua" w:hAnsi="Book Antiqua"/>
          <w:szCs w:val="20"/>
        </w:rPr>
        <w:tab/>
      </w:r>
      <w:r w:rsidR="006E7C64" w:rsidRPr="00596667">
        <w:rPr>
          <w:rFonts w:ascii="Book Antiqua" w:hAnsi="Book Antiqua"/>
          <w:szCs w:val="20"/>
        </w:rPr>
        <w:t>I</w:t>
      </w:r>
      <w:r w:rsidR="00E32B5A" w:rsidRPr="00596667">
        <w:rPr>
          <w:rFonts w:ascii="Book Antiqua" w:hAnsi="Book Antiqua"/>
          <w:szCs w:val="20"/>
        </w:rPr>
        <w:t>n light of the foregoing it is not inevitable [the same decision] would be made in light of the foregoing errors</w:t>
      </w:r>
      <w:r w:rsidR="0001793D" w:rsidRPr="00596667">
        <w:rPr>
          <w:rFonts w:ascii="Book Antiqua" w:hAnsi="Book Antiqua"/>
          <w:szCs w:val="20"/>
        </w:rPr>
        <w:t>.</w:t>
      </w:r>
      <w:r w:rsidR="00596667">
        <w:rPr>
          <w:rFonts w:ascii="Book Antiqua" w:hAnsi="Book Antiqua"/>
          <w:szCs w:val="20"/>
        </w:rPr>
        <w:t>”</w:t>
      </w:r>
    </w:p>
    <w:p w:rsidR="00203D83" w:rsidRDefault="00622182" w:rsidP="00596667">
      <w:pPr>
        <w:tabs>
          <w:tab w:val="left" w:pos="567"/>
        </w:tabs>
        <w:spacing w:before="240"/>
        <w:jc w:val="both"/>
        <w:rPr>
          <w:rFonts w:ascii="Book Antiqua" w:hAnsi="Book Antiqua" w:cs="Arial"/>
        </w:rPr>
      </w:pPr>
      <w:r>
        <w:rPr>
          <w:rFonts w:ascii="Book Antiqua" w:hAnsi="Book Antiqua" w:cs="Arial"/>
        </w:rPr>
        <w:t>5.</w:t>
      </w:r>
      <w:r w:rsidR="00596667">
        <w:rPr>
          <w:rFonts w:ascii="Book Antiqua" w:hAnsi="Book Antiqua" w:cs="Arial"/>
        </w:rPr>
        <w:tab/>
      </w:r>
      <w:r w:rsidR="007B43FD">
        <w:rPr>
          <w:rFonts w:ascii="Book Antiqua" w:hAnsi="Book Antiqua" w:cs="Arial"/>
        </w:rPr>
        <w:t xml:space="preserve">Mr Winter’s submissions </w:t>
      </w:r>
      <w:r w:rsidR="00203D83">
        <w:rPr>
          <w:rFonts w:ascii="Book Antiqua" w:hAnsi="Book Antiqua" w:cs="Arial"/>
        </w:rPr>
        <w:t>were along the lines of</w:t>
      </w:r>
      <w:r w:rsidR="007B43FD">
        <w:rPr>
          <w:rFonts w:ascii="Book Antiqua" w:hAnsi="Book Antiqua" w:cs="Arial"/>
        </w:rPr>
        <w:t xml:space="preserve"> the grounds</w:t>
      </w:r>
      <w:r w:rsidR="00203D83">
        <w:rPr>
          <w:rFonts w:ascii="Book Antiqua" w:hAnsi="Book Antiqua" w:cs="Arial"/>
        </w:rPr>
        <w:t>:</w:t>
      </w:r>
    </w:p>
    <w:p w:rsidR="00A61F71" w:rsidRDefault="00BD02C4" w:rsidP="00596667">
      <w:pPr>
        <w:tabs>
          <w:tab w:val="left" w:pos="1701"/>
        </w:tabs>
        <w:spacing w:before="120"/>
        <w:ind w:left="1134"/>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sidR="00596667">
        <w:rPr>
          <w:rFonts w:ascii="Book Antiqua" w:hAnsi="Book Antiqua" w:cs="Arial"/>
        </w:rPr>
        <w:tab/>
      </w:r>
      <w:r w:rsidR="00203D83">
        <w:rPr>
          <w:rFonts w:ascii="Book Antiqua" w:hAnsi="Book Antiqua" w:cs="Arial"/>
        </w:rPr>
        <w:t>T</w:t>
      </w:r>
      <w:r w:rsidR="00DC783C">
        <w:rPr>
          <w:rFonts w:ascii="Book Antiqua" w:hAnsi="Book Antiqua" w:cs="Arial"/>
        </w:rPr>
        <w:t>here were errors</w:t>
      </w:r>
      <w:r w:rsidR="00AD64D6">
        <w:rPr>
          <w:rFonts w:ascii="Book Antiqua" w:hAnsi="Book Antiqua" w:cs="Arial"/>
        </w:rPr>
        <w:t xml:space="preserve"> similar to those which </w:t>
      </w:r>
      <w:r w:rsidR="00E22BD9">
        <w:rPr>
          <w:rFonts w:ascii="Book Antiqua" w:hAnsi="Book Antiqua" w:cs="Arial"/>
        </w:rPr>
        <w:t>had</w:t>
      </w:r>
      <w:r w:rsidR="00AD64D6">
        <w:rPr>
          <w:rFonts w:ascii="Book Antiqua" w:hAnsi="Book Antiqua" w:cs="Arial"/>
        </w:rPr>
        <w:t xml:space="preserve"> been acknowledged in </w:t>
      </w:r>
      <w:r w:rsidR="00AD64D6" w:rsidRPr="00AE7218">
        <w:rPr>
          <w:rFonts w:ascii="Book Antiqua" w:hAnsi="Book Antiqua" w:cs="Arial"/>
          <w:i/>
        </w:rPr>
        <w:t>AM</w:t>
      </w:r>
      <w:r w:rsidR="00203D83">
        <w:rPr>
          <w:rFonts w:ascii="Book Antiqua" w:hAnsi="Book Antiqua" w:cs="Arial"/>
        </w:rPr>
        <w:t>, under refer</w:t>
      </w:r>
      <w:r w:rsidR="00A61F71">
        <w:rPr>
          <w:rFonts w:ascii="Book Antiqua" w:hAnsi="Book Antiqua" w:cs="Arial"/>
        </w:rPr>
        <w:t>ence</w:t>
      </w:r>
      <w:r w:rsidR="00203D83">
        <w:rPr>
          <w:rFonts w:ascii="Book Antiqua" w:hAnsi="Book Antiqua" w:cs="Arial"/>
        </w:rPr>
        <w:t xml:space="preserve"> </w:t>
      </w:r>
      <w:r w:rsidR="00A61F71">
        <w:rPr>
          <w:rFonts w:ascii="Book Antiqua" w:hAnsi="Book Antiqua" w:cs="Arial"/>
        </w:rPr>
        <w:t>to</w:t>
      </w:r>
      <w:r w:rsidR="00E22BD9">
        <w:rPr>
          <w:rFonts w:ascii="Book Antiqua" w:hAnsi="Book Antiqua" w:cs="Arial"/>
        </w:rPr>
        <w:t xml:space="preserve"> the </w:t>
      </w:r>
      <w:r w:rsidR="001865B2">
        <w:rPr>
          <w:rFonts w:ascii="Book Antiqua" w:hAnsi="Book Antiqua" w:cs="Arial"/>
        </w:rPr>
        <w:t xml:space="preserve">medical and social work evidence which </w:t>
      </w:r>
      <w:r w:rsidR="006F1C98">
        <w:rPr>
          <w:rFonts w:ascii="Book Antiqua" w:hAnsi="Book Antiqua" w:cs="Arial"/>
        </w:rPr>
        <w:t>had</w:t>
      </w:r>
      <w:r w:rsidR="001865B2">
        <w:rPr>
          <w:rFonts w:ascii="Book Antiqua" w:hAnsi="Book Antiqua" w:cs="Arial"/>
        </w:rPr>
        <w:t xml:space="preserve"> been before the judge</w:t>
      </w:r>
      <w:r w:rsidR="009417EA">
        <w:rPr>
          <w:rFonts w:ascii="Book Antiqua" w:hAnsi="Book Antiqua" w:cs="Arial"/>
        </w:rPr>
        <w:t xml:space="preserve">, particularly items 6, </w:t>
      </w:r>
      <w:r w:rsidR="008A5253">
        <w:rPr>
          <w:rFonts w:ascii="Book Antiqua" w:hAnsi="Book Antiqua" w:cs="Arial"/>
        </w:rPr>
        <w:t>16 and 17 of the FtT inventories</w:t>
      </w:r>
      <w:r w:rsidR="005F4697">
        <w:rPr>
          <w:rFonts w:ascii="Book Antiqua" w:hAnsi="Book Antiqua" w:cs="Arial"/>
        </w:rPr>
        <w:t>.</w:t>
      </w:r>
    </w:p>
    <w:p w:rsidR="00A61F71" w:rsidRDefault="00BD02C4" w:rsidP="00596667">
      <w:pPr>
        <w:tabs>
          <w:tab w:val="left" w:pos="1701"/>
        </w:tabs>
        <w:spacing w:before="120"/>
        <w:ind w:left="1134"/>
        <w:jc w:val="both"/>
        <w:rPr>
          <w:rFonts w:ascii="Book Antiqua" w:hAnsi="Book Antiqua" w:cs="Arial"/>
        </w:rPr>
      </w:pPr>
      <w:r>
        <w:rPr>
          <w:rFonts w:ascii="Book Antiqua" w:hAnsi="Book Antiqua" w:cs="Arial"/>
        </w:rPr>
        <w:t>(ii)</w:t>
      </w:r>
      <w:r w:rsidR="00596667">
        <w:rPr>
          <w:rFonts w:ascii="Book Antiqua" w:hAnsi="Book Antiqua" w:cs="Arial"/>
        </w:rPr>
        <w:tab/>
      </w:r>
      <w:r w:rsidR="00A61F71">
        <w:rPr>
          <w:rFonts w:ascii="Book Antiqua" w:hAnsi="Book Antiqua" w:cs="Arial"/>
        </w:rPr>
        <w:t>A</w:t>
      </w:r>
      <w:r w:rsidR="00DA7E8D">
        <w:rPr>
          <w:rFonts w:ascii="Book Antiqua" w:hAnsi="Book Antiqua" w:cs="Arial"/>
        </w:rPr>
        <w:t xml:space="preserve">lthough the judge had not taken </w:t>
      </w:r>
      <w:r w:rsidR="00DB4881">
        <w:rPr>
          <w:rFonts w:ascii="Book Antiqua" w:hAnsi="Book Antiqua" w:cs="Arial"/>
        </w:rPr>
        <w:t>inconsistency</w:t>
      </w:r>
      <w:r w:rsidR="00DA7E8D">
        <w:rPr>
          <w:rFonts w:ascii="Book Antiqua" w:hAnsi="Book Antiqua" w:cs="Arial"/>
        </w:rPr>
        <w:t xml:space="preserve"> with background evidence as </w:t>
      </w:r>
      <w:r w:rsidR="00DB4881">
        <w:rPr>
          <w:rFonts w:ascii="Book Antiqua" w:hAnsi="Book Antiqua" w:cs="Arial"/>
        </w:rPr>
        <w:t>decisive</w:t>
      </w:r>
      <w:r w:rsidR="00DA7E8D">
        <w:rPr>
          <w:rFonts w:ascii="Book Antiqua" w:hAnsi="Book Antiqua" w:cs="Arial"/>
        </w:rPr>
        <w:t xml:space="preserve">, she </w:t>
      </w:r>
      <w:r w:rsidR="00DB4881">
        <w:rPr>
          <w:rFonts w:ascii="Book Antiqua" w:hAnsi="Book Antiqua" w:cs="Arial"/>
        </w:rPr>
        <w:t>had</w:t>
      </w:r>
      <w:r w:rsidR="00DA7E8D">
        <w:rPr>
          <w:rFonts w:ascii="Book Antiqua" w:hAnsi="Book Antiqua" w:cs="Arial"/>
        </w:rPr>
        <w:t xml:space="preserve"> failed to assess it in terms of the age and </w:t>
      </w:r>
      <w:r w:rsidR="00DB4881">
        <w:rPr>
          <w:rFonts w:ascii="Book Antiqua" w:hAnsi="Book Antiqua" w:cs="Arial"/>
        </w:rPr>
        <w:t>vulnerability</w:t>
      </w:r>
      <w:r w:rsidR="00DA7E8D">
        <w:rPr>
          <w:rFonts w:ascii="Book Antiqua" w:hAnsi="Book Antiqua" w:cs="Arial"/>
        </w:rPr>
        <w:t xml:space="preserve"> of the appellant</w:t>
      </w:r>
      <w:r w:rsidR="00581ABE">
        <w:rPr>
          <w:rFonts w:ascii="Book Antiqua" w:hAnsi="Book Antiqua" w:cs="Arial"/>
        </w:rPr>
        <w:t>, which had to be factored in even at th</w:t>
      </w:r>
      <w:r w:rsidR="00A61F71">
        <w:rPr>
          <w:rFonts w:ascii="Book Antiqua" w:hAnsi="Book Antiqua" w:cs="Arial"/>
        </w:rPr>
        <w:t>e</w:t>
      </w:r>
      <w:r w:rsidR="00581ABE">
        <w:rPr>
          <w:rFonts w:ascii="Book Antiqua" w:hAnsi="Book Antiqua" w:cs="Arial"/>
        </w:rPr>
        <w:t xml:space="preserve"> stage of </w:t>
      </w:r>
      <w:r w:rsidR="00DB4881">
        <w:rPr>
          <w:rFonts w:ascii="Book Antiqua" w:hAnsi="Book Antiqua" w:cs="Arial"/>
        </w:rPr>
        <w:t xml:space="preserve">objective </w:t>
      </w:r>
      <w:r w:rsidR="00581ABE">
        <w:rPr>
          <w:rFonts w:ascii="Book Antiqua" w:hAnsi="Book Antiqua" w:cs="Arial"/>
        </w:rPr>
        <w:t>plausibility</w:t>
      </w:r>
      <w:r w:rsidR="00654181">
        <w:rPr>
          <w:rFonts w:ascii="Book Antiqua" w:hAnsi="Book Antiqua" w:cs="Arial"/>
        </w:rPr>
        <w:t xml:space="preserve">. </w:t>
      </w:r>
    </w:p>
    <w:p w:rsidR="00F3017A" w:rsidRDefault="00BD02C4" w:rsidP="00596667">
      <w:pPr>
        <w:tabs>
          <w:tab w:val="left" w:pos="1701"/>
        </w:tabs>
        <w:spacing w:before="120"/>
        <w:ind w:left="1134"/>
        <w:jc w:val="both"/>
        <w:rPr>
          <w:rFonts w:ascii="Book Antiqua" w:hAnsi="Book Antiqua" w:cs="Arial"/>
        </w:rPr>
      </w:pPr>
      <w:r>
        <w:rPr>
          <w:rFonts w:ascii="Book Antiqua" w:hAnsi="Book Antiqua" w:cs="Arial"/>
        </w:rPr>
        <w:t>(iii)</w:t>
      </w:r>
      <w:r w:rsidR="00596667">
        <w:rPr>
          <w:rFonts w:ascii="Book Antiqua" w:hAnsi="Book Antiqua" w:cs="Arial"/>
        </w:rPr>
        <w:tab/>
      </w:r>
      <w:r w:rsidR="00654181">
        <w:rPr>
          <w:rFonts w:ascii="Book Antiqua" w:hAnsi="Book Antiqua" w:cs="Arial"/>
        </w:rPr>
        <w:t xml:space="preserve">Although the judge </w:t>
      </w:r>
      <w:r w:rsidR="00DB4881">
        <w:rPr>
          <w:rFonts w:ascii="Book Antiqua" w:hAnsi="Book Antiqua" w:cs="Arial"/>
        </w:rPr>
        <w:t>r</w:t>
      </w:r>
      <w:r w:rsidR="002C01B0">
        <w:rPr>
          <w:rFonts w:ascii="Book Antiqua" w:hAnsi="Book Antiqua" w:cs="Arial"/>
        </w:rPr>
        <w:t>eminded herse</w:t>
      </w:r>
      <w:r w:rsidR="00DB4881">
        <w:rPr>
          <w:rFonts w:ascii="Book Antiqua" w:hAnsi="Book Antiqua" w:cs="Arial"/>
        </w:rPr>
        <w:t>lf</w:t>
      </w:r>
      <w:r w:rsidR="002C01B0">
        <w:rPr>
          <w:rFonts w:ascii="Book Antiqua" w:hAnsi="Book Antiqua" w:cs="Arial"/>
        </w:rPr>
        <w:t xml:space="preserve"> at </w:t>
      </w:r>
      <w:r w:rsidR="00DB4881">
        <w:rPr>
          <w:rFonts w:ascii="Book Antiqua" w:hAnsi="Book Antiqua" w:cs="Arial"/>
        </w:rPr>
        <w:t>paragraph</w:t>
      </w:r>
      <w:r w:rsidR="002C01B0">
        <w:rPr>
          <w:rFonts w:ascii="Book Antiqua" w:hAnsi="Book Antiqua" w:cs="Arial"/>
        </w:rPr>
        <w:t xml:space="preserve"> 48 </w:t>
      </w:r>
      <w:r w:rsidR="00DB4881">
        <w:rPr>
          <w:rFonts w:ascii="Book Antiqua" w:hAnsi="Book Antiqua" w:cs="Arial"/>
        </w:rPr>
        <w:t>o</w:t>
      </w:r>
      <w:r w:rsidR="002C01B0">
        <w:rPr>
          <w:rFonts w:ascii="Book Antiqua" w:hAnsi="Book Antiqua" w:cs="Arial"/>
        </w:rPr>
        <w:t>f the possible impact of trauma</w:t>
      </w:r>
      <w:r w:rsidR="00034562">
        <w:rPr>
          <w:rFonts w:ascii="Book Antiqua" w:hAnsi="Book Antiqua" w:cs="Arial"/>
        </w:rPr>
        <w:t xml:space="preserve">, and of vulnerability at 66, she turned to letters and reports on mental health issues </w:t>
      </w:r>
      <w:r w:rsidR="00BD62B1">
        <w:rPr>
          <w:rFonts w:ascii="Book Antiqua" w:hAnsi="Book Antiqua" w:cs="Arial"/>
        </w:rPr>
        <w:t>only at 80 – 81</w:t>
      </w:r>
      <w:r w:rsidR="00127629">
        <w:rPr>
          <w:rFonts w:ascii="Book Antiqua" w:hAnsi="Book Antiqua" w:cs="Arial"/>
        </w:rPr>
        <w:t>,</w:t>
      </w:r>
      <w:r w:rsidR="00BD62B1">
        <w:rPr>
          <w:rFonts w:ascii="Book Antiqua" w:hAnsi="Book Antiqua" w:cs="Arial"/>
        </w:rPr>
        <w:t xml:space="preserve"> </w:t>
      </w:r>
      <w:r w:rsidR="002C3D82">
        <w:rPr>
          <w:rFonts w:ascii="Book Antiqua" w:hAnsi="Book Antiqua" w:cs="Arial"/>
        </w:rPr>
        <w:t>after having given the main part of the case no credence</w:t>
      </w:r>
      <w:r w:rsidR="00127629">
        <w:rPr>
          <w:rFonts w:ascii="Book Antiqua" w:hAnsi="Book Antiqua" w:cs="Arial"/>
        </w:rPr>
        <w:t>.  Th</w:t>
      </w:r>
      <w:r w:rsidR="009A20B9">
        <w:rPr>
          <w:rFonts w:ascii="Book Antiqua" w:hAnsi="Book Antiqua" w:cs="Arial"/>
        </w:rPr>
        <w:t>u</w:t>
      </w:r>
      <w:r w:rsidR="00127629">
        <w:rPr>
          <w:rFonts w:ascii="Book Antiqua" w:hAnsi="Book Antiqua" w:cs="Arial"/>
        </w:rPr>
        <w:t>s, she</w:t>
      </w:r>
      <w:r w:rsidR="0021547E">
        <w:rPr>
          <w:rFonts w:ascii="Book Antiqua" w:hAnsi="Book Antiqua" w:cs="Arial"/>
        </w:rPr>
        <w:t xml:space="preserve"> looked at th</w:t>
      </w:r>
      <w:r w:rsidR="00195818">
        <w:rPr>
          <w:rFonts w:ascii="Book Antiqua" w:hAnsi="Book Antiqua" w:cs="Arial"/>
        </w:rPr>
        <w:t>at evidence</w:t>
      </w:r>
      <w:r w:rsidR="0021547E">
        <w:rPr>
          <w:rFonts w:ascii="Book Antiqua" w:hAnsi="Book Antiqua" w:cs="Arial"/>
        </w:rPr>
        <w:t xml:space="preserve"> in th</w:t>
      </w:r>
      <w:r w:rsidR="00127629">
        <w:rPr>
          <w:rFonts w:ascii="Book Antiqua" w:hAnsi="Book Antiqua" w:cs="Arial"/>
        </w:rPr>
        <w:t>e</w:t>
      </w:r>
      <w:r w:rsidR="0021547E">
        <w:rPr>
          <w:rFonts w:ascii="Book Antiqua" w:hAnsi="Book Antiqua" w:cs="Arial"/>
        </w:rPr>
        <w:t xml:space="preserve"> wrong context</w:t>
      </w:r>
      <w:r w:rsidR="00195818">
        <w:rPr>
          <w:rFonts w:ascii="Book Antiqua" w:hAnsi="Book Antiqua" w:cs="Arial"/>
        </w:rPr>
        <w:t>,</w:t>
      </w:r>
      <w:r w:rsidR="00983F1F">
        <w:rPr>
          <w:rFonts w:ascii="Book Antiqua" w:hAnsi="Book Antiqua" w:cs="Arial"/>
        </w:rPr>
        <w:t xml:space="preserve"> and either did not take </w:t>
      </w:r>
      <w:r w:rsidR="00195818">
        <w:rPr>
          <w:rFonts w:ascii="Book Antiqua" w:hAnsi="Book Antiqua" w:cs="Arial"/>
        </w:rPr>
        <w:t>it</w:t>
      </w:r>
      <w:r w:rsidR="00983F1F">
        <w:rPr>
          <w:rFonts w:ascii="Book Antiqua" w:hAnsi="Book Antiqua" w:cs="Arial"/>
        </w:rPr>
        <w:t xml:space="preserve"> into account </w:t>
      </w:r>
      <w:r w:rsidR="00B36888">
        <w:rPr>
          <w:rFonts w:ascii="Book Antiqua" w:hAnsi="Book Antiqua" w:cs="Arial"/>
        </w:rPr>
        <w:t>when making adverse findings</w:t>
      </w:r>
      <w:r w:rsidR="00195818">
        <w:rPr>
          <w:rFonts w:ascii="Book Antiqua" w:hAnsi="Book Antiqua" w:cs="Arial"/>
        </w:rPr>
        <w:t>,</w:t>
      </w:r>
      <w:r w:rsidR="00B36888">
        <w:rPr>
          <w:rFonts w:ascii="Book Antiqua" w:hAnsi="Book Antiqua" w:cs="Arial"/>
        </w:rPr>
        <w:t xml:space="preserve"> or gave no explanation of how they had been weighed in that </w:t>
      </w:r>
      <w:r w:rsidR="00195818">
        <w:rPr>
          <w:rFonts w:ascii="Book Antiqua" w:hAnsi="Book Antiqua" w:cs="Arial"/>
        </w:rPr>
        <w:t>respect.</w:t>
      </w:r>
    </w:p>
    <w:p w:rsidR="001402EE" w:rsidRDefault="00BD02C4" w:rsidP="00596667">
      <w:pPr>
        <w:tabs>
          <w:tab w:val="left" w:pos="1701"/>
        </w:tabs>
        <w:spacing w:before="120"/>
        <w:ind w:left="1134"/>
        <w:jc w:val="both"/>
        <w:rPr>
          <w:rFonts w:ascii="Book Antiqua" w:hAnsi="Book Antiqua" w:cs="Arial"/>
        </w:rPr>
      </w:pPr>
      <w:r>
        <w:rPr>
          <w:rFonts w:ascii="Book Antiqua" w:hAnsi="Book Antiqua" w:cs="Arial"/>
        </w:rPr>
        <w:t>(iv)</w:t>
      </w:r>
      <w:r w:rsidR="00596667">
        <w:rPr>
          <w:rFonts w:ascii="Book Antiqua" w:hAnsi="Book Antiqua" w:cs="Arial"/>
        </w:rPr>
        <w:tab/>
      </w:r>
      <w:r w:rsidR="00666998">
        <w:rPr>
          <w:rFonts w:ascii="Book Antiqua" w:hAnsi="Book Antiqua" w:cs="Arial"/>
        </w:rPr>
        <w:t>Having</w:t>
      </w:r>
      <w:r w:rsidR="00F3017A">
        <w:rPr>
          <w:rFonts w:ascii="Book Antiqua" w:hAnsi="Book Antiqua" w:cs="Arial"/>
        </w:rPr>
        <w:t xml:space="preserve"> decided the case on credibility, the judge</w:t>
      </w:r>
      <w:r w:rsidR="00CF6CAC">
        <w:rPr>
          <w:rFonts w:ascii="Book Antiqua" w:hAnsi="Book Antiqua" w:cs="Arial"/>
        </w:rPr>
        <w:t xml:space="preserve"> </w:t>
      </w:r>
      <w:r w:rsidR="00A01EE2">
        <w:rPr>
          <w:rFonts w:ascii="Book Antiqua" w:hAnsi="Book Antiqua" w:cs="Arial"/>
        </w:rPr>
        <w:t>made no f</w:t>
      </w:r>
      <w:r w:rsidR="00CF6CAC">
        <w:rPr>
          <w:rFonts w:ascii="Book Antiqua" w:hAnsi="Book Antiqua" w:cs="Arial"/>
        </w:rPr>
        <w:t>in</w:t>
      </w:r>
      <w:r w:rsidR="00A01EE2">
        <w:rPr>
          <w:rFonts w:ascii="Book Antiqua" w:hAnsi="Book Antiqua" w:cs="Arial"/>
        </w:rPr>
        <w:t>dings on s</w:t>
      </w:r>
      <w:r w:rsidR="00CF6CAC">
        <w:rPr>
          <w:rFonts w:ascii="Book Antiqua" w:hAnsi="Book Antiqua" w:cs="Arial"/>
        </w:rPr>
        <w:t>ufficiency of protection or on internal relocation</w:t>
      </w:r>
      <w:r w:rsidR="004D340E">
        <w:rPr>
          <w:rFonts w:ascii="Book Antiqua" w:hAnsi="Book Antiqua" w:cs="Arial"/>
        </w:rPr>
        <w:t xml:space="preserve">. </w:t>
      </w:r>
      <w:r w:rsidR="007538CE">
        <w:rPr>
          <w:rFonts w:ascii="Book Antiqua" w:hAnsi="Book Antiqua" w:cs="Arial"/>
        </w:rPr>
        <w:t xml:space="preserve"> </w:t>
      </w:r>
      <w:r w:rsidR="001402EE">
        <w:rPr>
          <w:rFonts w:ascii="Book Antiqua" w:hAnsi="Book Antiqua" w:cs="Arial"/>
        </w:rPr>
        <w:t>T</w:t>
      </w:r>
      <w:r w:rsidR="004D340E">
        <w:rPr>
          <w:rFonts w:ascii="Book Antiqua" w:hAnsi="Book Antiqua" w:cs="Arial"/>
        </w:rPr>
        <w:t>hose ma</w:t>
      </w:r>
      <w:r w:rsidR="00164AFA">
        <w:rPr>
          <w:rFonts w:ascii="Book Antiqua" w:hAnsi="Book Antiqua" w:cs="Arial"/>
        </w:rPr>
        <w:t>t</w:t>
      </w:r>
      <w:r w:rsidR="004D340E">
        <w:rPr>
          <w:rFonts w:ascii="Book Antiqua" w:hAnsi="Book Antiqua" w:cs="Arial"/>
        </w:rPr>
        <w:t>ters were irrelevant to the alleged risk from the authorities, but were relevant</w:t>
      </w:r>
      <w:r w:rsidR="00164AFA">
        <w:rPr>
          <w:rFonts w:ascii="Book Antiqua" w:hAnsi="Book Antiqua" w:cs="Arial"/>
        </w:rPr>
        <w:t xml:space="preserve">, </w:t>
      </w:r>
      <w:r w:rsidR="007538CE">
        <w:rPr>
          <w:rFonts w:ascii="Book Antiqua" w:hAnsi="Book Antiqua" w:cs="Arial"/>
        </w:rPr>
        <w:t>had the appellant been found credible</w:t>
      </w:r>
      <w:r w:rsidR="00164AFA">
        <w:rPr>
          <w:rFonts w:ascii="Book Antiqua" w:hAnsi="Book Antiqua" w:cs="Arial"/>
        </w:rPr>
        <w:t xml:space="preserve">, to the case based </w:t>
      </w:r>
      <w:r w:rsidR="00A01EE2">
        <w:rPr>
          <w:rFonts w:ascii="Book Antiqua" w:hAnsi="Book Antiqua" w:cs="Arial"/>
        </w:rPr>
        <w:t>on risk from traffickers</w:t>
      </w:r>
      <w:r w:rsidR="00164AFA">
        <w:rPr>
          <w:rFonts w:ascii="Book Antiqua" w:hAnsi="Book Antiqua" w:cs="Arial"/>
        </w:rPr>
        <w:t>.</w:t>
      </w:r>
    </w:p>
    <w:p w:rsidR="00C758EA" w:rsidRDefault="00666998" w:rsidP="00596667">
      <w:pPr>
        <w:tabs>
          <w:tab w:val="left" w:pos="1701"/>
        </w:tabs>
        <w:spacing w:before="120"/>
        <w:ind w:left="1134"/>
        <w:jc w:val="both"/>
        <w:rPr>
          <w:rFonts w:ascii="Book Antiqua" w:hAnsi="Book Antiqua" w:cs="Arial"/>
        </w:rPr>
      </w:pPr>
      <w:r>
        <w:rPr>
          <w:rFonts w:ascii="Book Antiqua" w:hAnsi="Book Antiqua" w:cs="Arial"/>
        </w:rPr>
        <w:lastRenderedPageBreak/>
        <w:t>(v)</w:t>
      </w:r>
      <w:r w:rsidR="00596667">
        <w:rPr>
          <w:rFonts w:ascii="Book Antiqua" w:hAnsi="Book Antiqua" w:cs="Arial"/>
        </w:rPr>
        <w:tab/>
      </w:r>
      <w:r w:rsidR="001402EE">
        <w:rPr>
          <w:rFonts w:ascii="Book Antiqua" w:hAnsi="Book Antiqua" w:cs="Arial"/>
        </w:rPr>
        <w:t xml:space="preserve">The case should be remitted to be heard </w:t>
      </w:r>
      <w:r w:rsidR="00BD02C4">
        <w:rPr>
          <w:rFonts w:ascii="Book Antiqua" w:hAnsi="Book Antiqua" w:cs="Arial"/>
        </w:rPr>
        <w:t>again by another judge.</w:t>
      </w:r>
    </w:p>
    <w:p w:rsidR="00B775C8" w:rsidRDefault="003839FC" w:rsidP="00596667">
      <w:pPr>
        <w:tabs>
          <w:tab w:val="left" w:pos="567"/>
        </w:tabs>
        <w:spacing w:before="240"/>
        <w:jc w:val="both"/>
        <w:rPr>
          <w:rFonts w:ascii="Book Antiqua" w:hAnsi="Book Antiqua" w:cs="Arial"/>
        </w:rPr>
      </w:pPr>
      <w:r>
        <w:rPr>
          <w:rFonts w:ascii="Book Antiqua" w:hAnsi="Book Antiqua" w:cs="Arial"/>
        </w:rPr>
        <w:t>6</w:t>
      </w:r>
      <w:r w:rsidR="00DC31C9">
        <w:rPr>
          <w:rFonts w:ascii="Book Antiqua" w:hAnsi="Book Antiqua" w:cs="Arial"/>
        </w:rPr>
        <w:t>.</w:t>
      </w:r>
      <w:r w:rsidR="00596667">
        <w:rPr>
          <w:rFonts w:ascii="Book Antiqua" w:hAnsi="Book Antiqua" w:cs="Arial"/>
        </w:rPr>
        <w:tab/>
      </w:r>
      <w:r w:rsidR="00CE316B">
        <w:rPr>
          <w:rFonts w:ascii="Book Antiqua" w:hAnsi="Book Antiqua" w:cs="Arial"/>
        </w:rPr>
        <w:t>Mr Govan submitted</w:t>
      </w:r>
      <w:r w:rsidR="00B775C8">
        <w:rPr>
          <w:rFonts w:ascii="Book Antiqua" w:hAnsi="Book Antiqua" w:cs="Arial"/>
        </w:rPr>
        <w:t xml:space="preserve"> as follows</w:t>
      </w:r>
      <w:r w:rsidR="00AF5CFB">
        <w:rPr>
          <w:rFonts w:ascii="Book Antiqua" w:hAnsi="Book Antiqua" w:cs="Arial"/>
        </w:rPr>
        <w:t>:</w:t>
      </w:r>
    </w:p>
    <w:p w:rsidR="00596667" w:rsidRDefault="00596667" w:rsidP="00596667">
      <w:pPr>
        <w:tabs>
          <w:tab w:val="left" w:pos="1701"/>
        </w:tabs>
        <w:spacing w:before="120"/>
        <w:ind w:left="1134"/>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The decision was a particularly detailed one, which reflected the care taken by the judge in light of guidance and the sensitivity of the case.  She took that approach not only from the Presidential Note, but from similar guidance on trafficking cases, and made apt reference in at least 3 passages:</w:t>
      </w:r>
    </w:p>
    <w:p w:rsidR="00596667" w:rsidRDefault="00596667" w:rsidP="00596667">
      <w:pPr>
        <w:tabs>
          <w:tab w:val="left" w:pos="1701"/>
        </w:tabs>
        <w:spacing w:before="120"/>
        <w:ind w:left="1134"/>
        <w:jc w:val="both"/>
        <w:rPr>
          <w:rFonts w:ascii="Book Antiqua" w:hAnsi="Book Antiqua" w:cs="Arial"/>
        </w:rPr>
      </w:pPr>
      <w:r>
        <w:rPr>
          <w:rFonts w:ascii="Book Antiqua" w:hAnsi="Book Antiqua" w:cs="Arial"/>
        </w:rPr>
        <w:t>(ii)</w:t>
      </w:r>
      <w:r>
        <w:rPr>
          <w:rFonts w:ascii="Book Antiqua" w:hAnsi="Book Antiqua" w:cs="Arial"/>
        </w:rPr>
        <w:tab/>
        <w:t>The conclusions of the judge were justified by clear analysis of the evidence, about which no complaint was made.  It was accepted that the medical and social work reports were mentioned only later on, but that did not mean they were left out of account, being relevant to the vulnerabilities noted earlier.  The reason they were dealt with from paragraph 80 onwards reflected the presentation of the case to the FtT, where the reports were prayed in aid of a submission about care required in the UK.</w:t>
      </w:r>
    </w:p>
    <w:p w:rsidR="00596667" w:rsidRDefault="00596667" w:rsidP="00596667">
      <w:pPr>
        <w:tabs>
          <w:tab w:val="left" w:pos="1701"/>
        </w:tabs>
        <w:spacing w:before="120"/>
        <w:ind w:left="1134"/>
        <w:jc w:val="both"/>
        <w:rPr>
          <w:rFonts w:ascii="Book Antiqua" w:hAnsi="Book Antiqua" w:cs="Arial"/>
        </w:rPr>
      </w:pPr>
      <w:r>
        <w:rPr>
          <w:rFonts w:ascii="Book Antiqua" w:hAnsi="Book Antiqua" w:cs="Arial"/>
        </w:rPr>
        <w:t>(iii)</w:t>
      </w:r>
      <w:r>
        <w:rPr>
          <w:rFonts w:ascii="Book Antiqua" w:hAnsi="Book Antiqua" w:cs="Arial"/>
        </w:rPr>
        <w:tab/>
        <w:t>The decision was clear, logical, took account of relevant guidance and disclosed no error of law.</w:t>
      </w:r>
    </w:p>
    <w:p w:rsidR="00451E11" w:rsidRPr="00596667" w:rsidRDefault="00572F5A" w:rsidP="00596667">
      <w:pPr>
        <w:spacing w:before="120"/>
        <w:ind w:left="1701" w:right="566"/>
        <w:jc w:val="both"/>
        <w:rPr>
          <w:rFonts w:ascii="Book Antiqua" w:hAnsi="Book Antiqua" w:cs="Arial"/>
          <w:sz w:val="22"/>
          <w:szCs w:val="20"/>
        </w:rPr>
      </w:pPr>
      <w:r w:rsidRPr="00596667">
        <w:rPr>
          <w:rFonts w:ascii="Book Antiqua" w:hAnsi="Book Antiqua" w:cs="Arial"/>
          <w:sz w:val="22"/>
          <w:szCs w:val="20"/>
        </w:rPr>
        <w:t>Paragraph 30</w:t>
      </w:r>
      <w:r w:rsidR="003F07D5" w:rsidRPr="00596667">
        <w:rPr>
          <w:rFonts w:ascii="Book Antiqua" w:hAnsi="Book Antiqua" w:cs="Arial"/>
          <w:sz w:val="22"/>
          <w:szCs w:val="20"/>
        </w:rPr>
        <w:t xml:space="preserve">, </w:t>
      </w:r>
      <w:r w:rsidR="003F07D5" w:rsidRPr="00596667">
        <w:rPr>
          <w:rFonts w:ascii="Book Antiqua" w:hAnsi="Book Antiqua" w:cs="Arial"/>
          <w:i/>
          <w:sz w:val="22"/>
          <w:szCs w:val="20"/>
        </w:rPr>
        <w:t xml:space="preserve">“I bear in mind the guidance regarding vulnerable young people </w:t>
      </w:r>
      <w:r w:rsidR="00EB127B" w:rsidRPr="00596667">
        <w:rPr>
          <w:rFonts w:ascii="Book Antiqua" w:hAnsi="Book Antiqua" w:cs="Arial"/>
          <w:i/>
          <w:sz w:val="22"/>
          <w:szCs w:val="20"/>
        </w:rPr>
        <w:t xml:space="preserve">trafficked to the UK and the problems they can have in </w:t>
      </w:r>
      <w:r w:rsidR="00451E11" w:rsidRPr="00596667">
        <w:rPr>
          <w:rFonts w:ascii="Book Antiqua" w:hAnsi="Book Antiqua" w:cs="Arial"/>
          <w:i/>
          <w:sz w:val="22"/>
          <w:szCs w:val="20"/>
        </w:rPr>
        <w:t>remembering</w:t>
      </w:r>
      <w:r w:rsidR="00EB127B" w:rsidRPr="00596667">
        <w:rPr>
          <w:rFonts w:ascii="Book Antiqua" w:hAnsi="Book Antiqua" w:cs="Arial"/>
          <w:i/>
          <w:sz w:val="22"/>
          <w:szCs w:val="20"/>
        </w:rPr>
        <w:t xml:space="preserve"> and answering questions”</w:t>
      </w:r>
      <w:r w:rsidR="00451E11" w:rsidRPr="00596667">
        <w:rPr>
          <w:rFonts w:ascii="Book Antiqua" w:hAnsi="Book Antiqua" w:cs="Arial"/>
          <w:sz w:val="22"/>
          <w:szCs w:val="20"/>
        </w:rPr>
        <w:t>.</w:t>
      </w:r>
    </w:p>
    <w:p w:rsidR="00745F1A" w:rsidRPr="00596667" w:rsidRDefault="009F0F5B" w:rsidP="00596667">
      <w:pPr>
        <w:spacing w:before="120"/>
        <w:ind w:left="1701" w:right="566"/>
        <w:jc w:val="both"/>
        <w:rPr>
          <w:rFonts w:ascii="Book Antiqua" w:hAnsi="Book Antiqua" w:cs="Arial"/>
          <w:sz w:val="22"/>
          <w:szCs w:val="20"/>
        </w:rPr>
      </w:pPr>
      <w:r w:rsidRPr="00596667">
        <w:rPr>
          <w:rFonts w:ascii="Book Antiqua" w:hAnsi="Book Antiqua" w:cs="Arial"/>
          <w:sz w:val="22"/>
          <w:szCs w:val="20"/>
        </w:rPr>
        <w:t xml:space="preserve">Paragraph 48, </w:t>
      </w:r>
      <w:r w:rsidRPr="00596667">
        <w:rPr>
          <w:rFonts w:ascii="Book Antiqua" w:hAnsi="Book Antiqua" w:cs="Arial"/>
          <w:i/>
          <w:sz w:val="22"/>
          <w:szCs w:val="20"/>
        </w:rPr>
        <w:t xml:space="preserve">“It is of course important to bear in mind that the </w:t>
      </w:r>
      <w:r w:rsidR="001A43A5" w:rsidRPr="00596667">
        <w:rPr>
          <w:rFonts w:ascii="Book Antiqua" w:hAnsi="Book Antiqua" w:cs="Arial"/>
          <w:i/>
          <w:sz w:val="22"/>
          <w:szCs w:val="20"/>
        </w:rPr>
        <w:t>competent</w:t>
      </w:r>
      <w:r w:rsidRPr="00596667">
        <w:rPr>
          <w:rFonts w:ascii="Book Antiqua" w:hAnsi="Book Antiqua" w:cs="Arial"/>
          <w:i/>
          <w:sz w:val="22"/>
          <w:szCs w:val="20"/>
        </w:rPr>
        <w:t xml:space="preserve"> authority guidance on victims of modern slavery</w:t>
      </w:r>
      <w:r w:rsidR="004A43A3" w:rsidRPr="00596667">
        <w:rPr>
          <w:rFonts w:ascii="Book Antiqua" w:hAnsi="Book Antiqua" w:cs="Arial"/>
          <w:i/>
          <w:sz w:val="22"/>
          <w:szCs w:val="20"/>
        </w:rPr>
        <w:t xml:space="preserve"> sets out that victims’ early accounts may </w:t>
      </w:r>
      <w:r w:rsidR="001A43A5" w:rsidRPr="00596667">
        <w:rPr>
          <w:rFonts w:ascii="Book Antiqua" w:hAnsi="Book Antiqua" w:cs="Arial"/>
          <w:i/>
          <w:sz w:val="22"/>
          <w:szCs w:val="20"/>
        </w:rPr>
        <w:t>be affected by the impact of trauma”.</w:t>
      </w:r>
    </w:p>
    <w:p w:rsidR="004010AD" w:rsidRPr="00596667" w:rsidRDefault="00745F1A" w:rsidP="00596667">
      <w:pPr>
        <w:spacing w:before="120"/>
        <w:ind w:left="1701" w:right="566"/>
        <w:jc w:val="both"/>
        <w:rPr>
          <w:rFonts w:ascii="Book Antiqua" w:hAnsi="Book Antiqua" w:cs="Arial"/>
          <w:sz w:val="28"/>
        </w:rPr>
      </w:pPr>
      <w:r w:rsidRPr="00596667">
        <w:rPr>
          <w:rFonts w:ascii="Book Antiqua" w:hAnsi="Book Antiqua" w:cs="Arial"/>
          <w:sz w:val="22"/>
          <w:szCs w:val="20"/>
        </w:rPr>
        <w:t xml:space="preserve">Paragraph 66, </w:t>
      </w:r>
      <w:r w:rsidRPr="00596667">
        <w:rPr>
          <w:rFonts w:ascii="Book Antiqua" w:hAnsi="Book Antiqua" w:cs="Arial"/>
          <w:i/>
          <w:sz w:val="22"/>
          <w:szCs w:val="20"/>
        </w:rPr>
        <w:t>“Whilst bearing in mind that the appellant is a young vulnerable person who has been found by a competent authority to have been the victim of trafficking</w:t>
      </w:r>
      <w:r w:rsidR="008F36C4" w:rsidRPr="00596667">
        <w:rPr>
          <w:rFonts w:ascii="Book Antiqua" w:hAnsi="Book Antiqua" w:cs="Arial"/>
          <w:i/>
          <w:sz w:val="22"/>
          <w:szCs w:val="20"/>
        </w:rPr>
        <w:t xml:space="preserve"> … and the potential impact this could have on his evidence …”</w:t>
      </w:r>
      <w:r w:rsidR="004010AD" w:rsidRPr="00596667">
        <w:rPr>
          <w:rFonts w:ascii="Book Antiqua" w:hAnsi="Book Antiqua" w:cs="Arial"/>
          <w:i/>
          <w:sz w:val="22"/>
          <w:szCs w:val="20"/>
        </w:rPr>
        <w:t>.</w:t>
      </w:r>
    </w:p>
    <w:p w:rsidR="006313A1" w:rsidRDefault="003839FC" w:rsidP="00596667">
      <w:pPr>
        <w:tabs>
          <w:tab w:val="left" w:pos="567"/>
        </w:tabs>
        <w:spacing w:before="240"/>
        <w:jc w:val="both"/>
        <w:rPr>
          <w:rFonts w:ascii="Book Antiqua" w:hAnsi="Book Antiqua" w:cs="Arial"/>
        </w:rPr>
      </w:pPr>
      <w:r>
        <w:rPr>
          <w:rFonts w:ascii="Book Antiqua" w:hAnsi="Book Antiqua" w:cs="Arial"/>
        </w:rPr>
        <w:t>7</w:t>
      </w:r>
      <w:r w:rsidR="006313A1">
        <w:rPr>
          <w:rFonts w:ascii="Book Antiqua" w:hAnsi="Book Antiqua" w:cs="Arial"/>
        </w:rPr>
        <w:t>.</w:t>
      </w:r>
      <w:r w:rsidR="00596667">
        <w:rPr>
          <w:rFonts w:ascii="Book Antiqua" w:hAnsi="Book Antiqua" w:cs="Arial"/>
        </w:rPr>
        <w:tab/>
      </w:r>
      <w:r w:rsidR="003C46A8">
        <w:rPr>
          <w:rFonts w:ascii="Book Antiqua" w:hAnsi="Book Antiqua" w:cs="Arial"/>
        </w:rPr>
        <w:t>I reserved my decision.</w:t>
      </w:r>
    </w:p>
    <w:p w:rsidR="005F7F9C" w:rsidRDefault="003839FC" w:rsidP="00596667">
      <w:pPr>
        <w:tabs>
          <w:tab w:val="left" w:pos="567"/>
        </w:tabs>
        <w:spacing w:before="240"/>
        <w:jc w:val="both"/>
        <w:rPr>
          <w:rFonts w:ascii="Book Antiqua" w:hAnsi="Book Antiqua" w:cs="Arial"/>
        </w:rPr>
      </w:pPr>
      <w:r>
        <w:rPr>
          <w:rFonts w:ascii="Book Antiqua" w:hAnsi="Book Antiqua" w:cs="Arial"/>
        </w:rPr>
        <w:t>8</w:t>
      </w:r>
      <w:r w:rsidR="006313A1">
        <w:rPr>
          <w:rFonts w:ascii="Book Antiqua" w:hAnsi="Book Antiqua" w:cs="Arial"/>
        </w:rPr>
        <w:t>.</w:t>
      </w:r>
      <w:r w:rsidR="00596667">
        <w:rPr>
          <w:rFonts w:ascii="Book Antiqua" w:hAnsi="Book Antiqua" w:cs="Arial"/>
        </w:rPr>
        <w:tab/>
      </w:r>
      <w:r w:rsidR="006313A1">
        <w:rPr>
          <w:rFonts w:ascii="Book Antiqua" w:hAnsi="Book Antiqua" w:cs="Arial"/>
        </w:rPr>
        <w:t xml:space="preserve">It may be best practice to cite </w:t>
      </w:r>
      <w:r w:rsidR="00751FD1">
        <w:rPr>
          <w:rFonts w:ascii="Book Antiqua" w:hAnsi="Book Antiqua" w:cs="Arial"/>
        </w:rPr>
        <w:t xml:space="preserve">guidance on assessing evidence from </w:t>
      </w:r>
      <w:r w:rsidR="00C379FE">
        <w:rPr>
          <w:rFonts w:ascii="Book Antiqua" w:hAnsi="Book Antiqua" w:cs="Arial"/>
        </w:rPr>
        <w:t>persons who have been trafficked, are young, or are otherwise vulnerable</w:t>
      </w:r>
      <w:r w:rsidR="00D43729">
        <w:rPr>
          <w:rFonts w:ascii="Book Antiqua" w:hAnsi="Book Antiqua" w:cs="Arial"/>
        </w:rPr>
        <w:t>.  I do not think it would be an error of law not to do so, so long as an appropriate approach has been followed in pra</w:t>
      </w:r>
      <w:r w:rsidR="00BF7A02">
        <w:rPr>
          <w:rFonts w:ascii="Book Antiqua" w:hAnsi="Book Antiqua" w:cs="Arial"/>
        </w:rPr>
        <w:t>c</w:t>
      </w:r>
      <w:r w:rsidR="00D43729">
        <w:rPr>
          <w:rFonts w:ascii="Book Antiqua" w:hAnsi="Book Antiqua" w:cs="Arial"/>
        </w:rPr>
        <w:t>tice.</w:t>
      </w:r>
    </w:p>
    <w:p w:rsidR="00BF7A02" w:rsidRDefault="003839FC" w:rsidP="00596667">
      <w:pPr>
        <w:tabs>
          <w:tab w:val="left" w:pos="567"/>
        </w:tabs>
        <w:spacing w:before="240"/>
        <w:jc w:val="both"/>
        <w:rPr>
          <w:rFonts w:ascii="Book Antiqua" w:hAnsi="Book Antiqua" w:cs="Arial"/>
        </w:rPr>
      </w:pPr>
      <w:r>
        <w:rPr>
          <w:rFonts w:ascii="Book Antiqua" w:hAnsi="Book Antiqua" w:cs="Arial"/>
        </w:rPr>
        <w:t>9</w:t>
      </w:r>
      <w:r w:rsidR="005F7F9C">
        <w:rPr>
          <w:rFonts w:ascii="Book Antiqua" w:hAnsi="Book Antiqua" w:cs="Arial"/>
        </w:rPr>
        <w:t>.</w:t>
      </w:r>
      <w:r w:rsidR="00596667">
        <w:rPr>
          <w:rFonts w:ascii="Book Antiqua" w:hAnsi="Book Antiqua" w:cs="Arial"/>
        </w:rPr>
        <w:tab/>
      </w:r>
      <w:r w:rsidR="00BF7A02">
        <w:rPr>
          <w:rFonts w:ascii="Book Antiqua" w:hAnsi="Book Antiqua" w:cs="Arial"/>
        </w:rPr>
        <w:t>In this case relevant guidance is cited at least three times.</w:t>
      </w:r>
    </w:p>
    <w:p w:rsidR="00C023A3" w:rsidRDefault="00BF7A02" w:rsidP="00596667">
      <w:pPr>
        <w:tabs>
          <w:tab w:val="left" w:pos="567"/>
        </w:tabs>
        <w:spacing w:before="240"/>
        <w:jc w:val="both"/>
        <w:rPr>
          <w:rFonts w:ascii="Book Antiqua" w:hAnsi="Book Antiqua" w:cs="Arial"/>
        </w:rPr>
      </w:pPr>
      <w:r>
        <w:rPr>
          <w:rFonts w:ascii="Book Antiqua" w:hAnsi="Book Antiqua" w:cs="Arial"/>
        </w:rPr>
        <w:t>1</w:t>
      </w:r>
      <w:r w:rsidR="00B456D1">
        <w:rPr>
          <w:rFonts w:ascii="Book Antiqua" w:hAnsi="Book Antiqua" w:cs="Arial"/>
        </w:rPr>
        <w:t>0.</w:t>
      </w:r>
      <w:r w:rsidR="00596667">
        <w:rPr>
          <w:rFonts w:ascii="Book Antiqua" w:hAnsi="Book Antiqua" w:cs="Arial"/>
        </w:rPr>
        <w:tab/>
      </w:r>
      <w:r w:rsidR="00193279">
        <w:rPr>
          <w:rFonts w:ascii="Book Antiqua" w:hAnsi="Book Antiqua" w:cs="Arial"/>
        </w:rPr>
        <w:t>The</w:t>
      </w:r>
      <w:r w:rsidR="003F1108">
        <w:rPr>
          <w:rFonts w:ascii="Book Antiqua" w:hAnsi="Book Antiqua" w:cs="Arial"/>
        </w:rPr>
        <w:t xml:space="preserve"> objection that medical and social work evidence was “compartmentalised” was well met by the submission that the order of treatment </w:t>
      </w:r>
      <w:r w:rsidR="00756B5D">
        <w:rPr>
          <w:rFonts w:ascii="Book Antiqua" w:hAnsi="Book Antiqua" w:cs="Arial"/>
        </w:rPr>
        <w:t xml:space="preserve">followed the approach </w:t>
      </w:r>
      <w:r w:rsidR="005C185B">
        <w:rPr>
          <w:rFonts w:ascii="Book Antiqua" w:hAnsi="Book Antiqua" w:cs="Arial"/>
        </w:rPr>
        <w:t xml:space="preserve">taken </w:t>
      </w:r>
      <w:r w:rsidR="00756B5D">
        <w:rPr>
          <w:rFonts w:ascii="Book Antiqua" w:hAnsi="Book Antiqua" w:cs="Arial"/>
        </w:rPr>
        <w:t>for the appellant.</w:t>
      </w:r>
    </w:p>
    <w:p w:rsidR="00C758EA" w:rsidRDefault="00C023A3" w:rsidP="00596667">
      <w:pPr>
        <w:tabs>
          <w:tab w:val="left" w:pos="567"/>
        </w:tabs>
        <w:spacing w:before="240"/>
        <w:jc w:val="both"/>
        <w:rPr>
          <w:rFonts w:ascii="Book Antiqua" w:hAnsi="Book Antiqua" w:cs="Arial"/>
        </w:rPr>
      </w:pPr>
      <w:r>
        <w:rPr>
          <w:rFonts w:ascii="Book Antiqua" w:hAnsi="Book Antiqua" w:cs="Arial"/>
        </w:rPr>
        <w:t>1</w:t>
      </w:r>
      <w:r w:rsidR="00B456D1">
        <w:rPr>
          <w:rFonts w:ascii="Book Antiqua" w:hAnsi="Book Antiqua" w:cs="Arial"/>
        </w:rPr>
        <w:t>1</w:t>
      </w:r>
      <w:r>
        <w:rPr>
          <w:rFonts w:ascii="Book Antiqua" w:hAnsi="Book Antiqua" w:cs="Arial"/>
        </w:rPr>
        <w:t>.</w:t>
      </w:r>
      <w:r w:rsidR="00596667">
        <w:rPr>
          <w:rFonts w:ascii="Book Antiqua" w:hAnsi="Book Antiqua" w:cs="Arial"/>
        </w:rPr>
        <w:tab/>
      </w:r>
      <w:r>
        <w:rPr>
          <w:rFonts w:ascii="Book Antiqua" w:hAnsi="Book Antiqua" w:cs="Arial"/>
        </w:rPr>
        <w:t>D</w:t>
      </w:r>
      <w:r w:rsidR="00756B5D">
        <w:rPr>
          <w:rFonts w:ascii="Book Antiqua" w:hAnsi="Book Antiqua" w:cs="Arial"/>
        </w:rPr>
        <w:t xml:space="preserve">ecisions are to be read fairly and as a whole.  </w:t>
      </w:r>
      <w:r w:rsidR="00BD5E44">
        <w:rPr>
          <w:rFonts w:ascii="Book Antiqua" w:hAnsi="Book Antiqua" w:cs="Arial"/>
        </w:rPr>
        <w:t xml:space="preserve">The judge directed herself at paragraph </w:t>
      </w:r>
      <w:r w:rsidR="003D373A">
        <w:rPr>
          <w:rFonts w:ascii="Book Antiqua" w:hAnsi="Book Antiqua" w:cs="Arial"/>
        </w:rPr>
        <w:t>17 that</w:t>
      </w:r>
      <w:r w:rsidR="00C20680">
        <w:rPr>
          <w:rFonts w:ascii="Book Antiqua" w:hAnsi="Book Antiqua" w:cs="Arial"/>
        </w:rPr>
        <w:t xml:space="preserve"> </w:t>
      </w:r>
      <w:r w:rsidR="00A6196F" w:rsidRPr="007E369A">
        <w:rPr>
          <w:rFonts w:ascii="Book Antiqua" w:hAnsi="Book Antiqua" w:cs="Arial"/>
          <w:i/>
        </w:rPr>
        <w:t>“The whole evidence must be looked at in the round bearing in mind the low standard of proof”</w:t>
      </w:r>
      <w:r w:rsidR="00A6196F">
        <w:rPr>
          <w:rFonts w:ascii="Book Antiqua" w:hAnsi="Book Antiqua" w:cs="Arial"/>
        </w:rPr>
        <w:t xml:space="preserve">.  </w:t>
      </w:r>
      <w:r w:rsidR="00722B59">
        <w:rPr>
          <w:rFonts w:ascii="Book Antiqua" w:hAnsi="Book Antiqua" w:cs="Arial"/>
        </w:rPr>
        <w:t xml:space="preserve">When </w:t>
      </w:r>
      <w:r w:rsidR="00A6196F">
        <w:rPr>
          <w:rFonts w:ascii="Book Antiqua" w:hAnsi="Book Antiqua" w:cs="Arial"/>
        </w:rPr>
        <w:t>she</w:t>
      </w:r>
      <w:r w:rsidR="00722B59">
        <w:rPr>
          <w:rFonts w:ascii="Book Antiqua" w:hAnsi="Book Antiqua" w:cs="Arial"/>
        </w:rPr>
        <w:t xml:space="preserve"> reminded </w:t>
      </w:r>
      <w:r w:rsidR="00756B5D">
        <w:rPr>
          <w:rFonts w:ascii="Book Antiqua" w:hAnsi="Book Antiqua" w:cs="Arial"/>
        </w:rPr>
        <w:t xml:space="preserve">herself several times of the </w:t>
      </w:r>
      <w:r w:rsidR="00722B59">
        <w:rPr>
          <w:rFonts w:ascii="Book Antiqua" w:hAnsi="Book Antiqua" w:cs="Arial"/>
        </w:rPr>
        <w:t xml:space="preserve">reasons for approaching the appellant’s evidence with </w:t>
      </w:r>
      <w:r w:rsidR="00E14905">
        <w:rPr>
          <w:rFonts w:ascii="Book Antiqua" w:hAnsi="Book Antiqua" w:cs="Arial"/>
        </w:rPr>
        <w:t>care</w:t>
      </w:r>
      <w:r w:rsidR="00722B59">
        <w:rPr>
          <w:rFonts w:ascii="Book Antiqua" w:hAnsi="Book Antiqua" w:cs="Arial"/>
        </w:rPr>
        <w:t>, it is hardly likely that she did not have in mind reports which showed the need for that approach.</w:t>
      </w:r>
    </w:p>
    <w:p w:rsidR="00193279" w:rsidRDefault="00193279" w:rsidP="00596667">
      <w:pPr>
        <w:tabs>
          <w:tab w:val="left" w:pos="567"/>
        </w:tabs>
        <w:spacing w:before="240"/>
        <w:jc w:val="both"/>
        <w:rPr>
          <w:rFonts w:ascii="Book Antiqua" w:hAnsi="Book Antiqua" w:cs="Arial"/>
        </w:rPr>
      </w:pPr>
      <w:r>
        <w:rPr>
          <w:rFonts w:ascii="Book Antiqua" w:hAnsi="Book Antiqua" w:cs="Arial"/>
        </w:rPr>
        <w:t>1</w:t>
      </w:r>
      <w:r w:rsidR="00B456D1">
        <w:rPr>
          <w:rFonts w:ascii="Book Antiqua" w:hAnsi="Book Antiqua" w:cs="Arial"/>
        </w:rPr>
        <w:t>2</w:t>
      </w:r>
      <w:r>
        <w:rPr>
          <w:rFonts w:ascii="Book Antiqua" w:hAnsi="Book Antiqua" w:cs="Arial"/>
        </w:rPr>
        <w:t>.</w:t>
      </w:r>
      <w:r w:rsidR="00596667">
        <w:rPr>
          <w:rFonts w:ascii="Book Antiqua" w:hAnsi="Book Antiqua" w:cs="Arial"/>
        </w:rPr>
        <w:tab/>
      </w:r>
      <w:r>
        <w:rPr>
          <w:rFonts w:ascii="Book Antiqua" w:hAnsi="Book Antiqua" w:cs="Arial"/>
        </w:rPr>
        <w:t xml:space="preserve">The real question will always be not whether guidance is cited, but whether it is applied.  The grounds and submissions for the appellant do not show that the FtT here fell </w:t>
      </w:r>
      <w:r>
        <w:rPr>
          <w:rFonts w:ascii="Book Antiqua" w:hAnsi="Book Antiqua" w:cs="Arial"/>
        </w:rPr>
        <w:lastRenderedPageBreak/>
        <w:t xml:space="preserve">into any errors of the nature which were agreed to have taken place in </w:t>
      </w:r>
      <w:r w:rsidRPr="000602AF">
        <w:rPr>
          <w:rFonts w:ascii="Book Antiqua" w:hAnsi="Book Antiqua" w:cs="Arial"/>
          <w:i/>
        </w:rPr>
        <w:t>AM</w:t>
      </w:r>
      <w:r>
        <w:rPr>
          <w:rFonts w:ascii="Book Antiqua" w:hAnsi="Book Antiqua" w:cs="Arial"/>
        </w:rPr>
        <w:t>, or failed to apply any of the core principles there set out.</w:t>
      </w:r>
    </w:p>
    <w:p w:rsidR="00321C6F" w:rsidRPr="00A01961" w:rsidRDefault="007E369A" w:rsidP="00596667">
      <w:pPr>
        <w:tabs>
          <w:tab w:val="left" w:pos="567"/>
        </w:tabs>
        <w:spacing w:before="240"/>
        <w:jc w:val="both"/>
        <w:rPr>
          <w:rFonts w:ascii="Book Antiqua" w:hAnsi="Book Antiqua"/>
        </w:rPr>
      </w:pPr>
      <w:r>
        <w:rPr>
          <w:rFonts w:ascii="Book Antiqua" w:hAnsi="Book Antiqua" w:cs="Arial"/>
        </w:rPr>
        <w:t>1</w:t>
      </w:r>
      <w:r w:rsidR="00B456D1">
        <w:rPr>
          <w:rFonts w:ascii="Book Antiqua" w:hAnsi="Book Antiqua" w:cs="Arial"/>
        </w:rPr>
        <w:t>3</w:t>
      </w:r>
      <w:r>
        <w:rPr>
          <w:rFonts w:ascii="Book Antiqua" w:hAnsi="Book Antiqua" w:cs="Arial"/>
        </w:rPr>
        <w:t>.</w:t>
      </w:r>
      <w:r w:rsidR="00596667">
        <w:rPr>
          <w:rFonts w:ascii="Book Antiqua" w:hAnsi="Book Antiqua" w:cs="Arial"/>
        </w:rPr>
        <w:tab/>
      </w:r>
      <w:r w:rsidR="00321C6F" w:rsidRPr="00A01961">
        <w:rPr>
          <w:rFonts w:ascii="Book Antiqua" w:hAnsi="Book Antiqua" w:cs="Arial"/>
        </w:rPr>
        <w:t xml:space="preserve">The </w:t>
      </w:r>
      <w:r w:rsidR="008A64A7" w:rsidRPr="00A01961">
        <w:rPr>
          <w:rFonts w:ascii="Book Antiqua" w:hAnsi="Book Antiqua" w:cs="Arial"/>
        </w:rPr>
        <w:t>de</w:t>
      </w:r>
      <w:r w:rsidR="00DA3D04" w:rsidRPr="00A01961">
        <w:rPr>
          <w:rFonts w:ascii="Book Antiqua" w:hAnsi="Book Antiqua" w:cs="Arial"/>
        </w:rPr>
        <w:t>cision</w:t>
      </w:r>
      <w:r w:rsidR="008A64A7" w:rsidRPr="00A01961">
        <w:rPr>
          <w:rFonts w:ascii="Book Antiqua" w:hAnsi="Book Antiqua" w:cs="Arial"/>
        </w:rPr>
        <w:t xml:space="preserve"> </w:t>
      </w:r>
      <w:r w:rsidR="00321C6F" w:rsidRPr="00A01961">
        <w:rPr>
          <w:rFonts w:ascii="Book Antiqua" w:hAnsi="Book Antiqua" w:cs="Arial"/>
        </w:rPr>
        <w:t xml:space="preserve">of the First-tier Tribunal </w:t>
      </w:r>
      <w:r w:rsidR="008A64A7" w:rsidRPr="00A01961">
        <w:rPr>
          <w:rFonts w:ascii="Book Antiqua" w:hAnsi="Book Antiqua" w:cs="Arial"/>
        </w:rPr>
        <w:t>shall stand</w:t>
      </w:r>
      <w:r w:rsidR="00321C6F" w:rsidRPr="00A01961">
        <w:rPr>
          <w:rFonts w:ascii="Book Antiqua" w:hAnsi="Book Antiqua" w:cs="Arial"/>
        </w:rPr>
        <w:t>.</w:t>
      </w:r>
    </w:p>
    <w:p w:rsidR="00202B8A" w:rsidRDefault="007E369A" w:rsidP="00596667">
      <w:pPr>
        <w:tabs>
          <w:tab w:val="left" w:pos="567"/>
        </w:tabs>
        <w:spacing w:before="240"/>
        <w:jc w:val="both"/>
        <w:rPr>
          <w:rFonts w:ascii="Book Antiqua" w:hAnsi="Book Antiqua"/>
        </w:rPr>
      </w:pPr>
      <w:r>
        <w:rPr>
          <w:rFonts w:ascii="Book Antiqua" w:hAnsi="Book Antiqua" w:cs="Arial"/>
        </w:rPr>
        <w:t>1</w:t>
      </w:r>
      <w:r w:rsidR="00B456D1">
        <w:rPr>
          <w:rFonts w:ascii="Book Antiqua" w:hAnsi="Book Antiqua" w:cs="Arial"/>
        </w:rPr>
        <w:t>4</w:t>
      </w:r>
      <w:r>
        <w:rPr>
          <w:rFonts w:ascii="Book Antiqua" w:hAnsi="Book Antiqua" w:cs="Arial"/>
        </w:rPr>
        <w:t>.</w:t>
      </w:r>
      <w:r w:rsidR="00596667">
        <w:rPr>
          <w:rFonts w:ascii="Book Antiqua" w:hAnsi="Book Antiqua" w:cs="Arial"/>
        </w:rPr>
        <w:tab/>
      </w:r>
      <w:r w:rsidR="00321C6F" w:rsidRPr="00A01961">
        <w:rPr>
          <w:rFonts w:ascii="Book Antiqua" w:hAnsi="Book Antiqua" w:cs="Arial"/>
        </w:rPr>
        <w:t>No</w:t>
      </w:r>
      <w:r w:rsidR="00321C6F" w:rsidRPr="00A01961">
        <w:rPr>
          <w:rFonts w:ascii="Book Antiqua" w:hAnsi="Book Antiqua"/>
        </w:rPr>
        <w:t xml:space="preserve"> anonymity direction has been requested or made. </w:t>
      </w:r>
    </w:p>
    <w:p w:rsidR="00321C6F" w:rsidRDefault="00321C6F" w:rsidP="00596667">
      <w:pPr>
        <w:rPr>
          <w:rFonts w:ascii="Book Antiqua" w:hAnsi="Book Antiqua" w:cs="Arial"/>
        </w:rPr>
      </w:pPr>
    </w:p>
    <w:p w:rsidR="00596667" w:rsidRPr="00A56832" w:rsidRDefault="00596667" w:rsidP="00596667">
      <w:pPr>
        <w:rPr>
          <w:rFonts w:ascii="Book Antiqua" w:hAnsi="Book Antiqua" w:cs="Arial"/>
        </w:rPr>
      </w:pPr>
    </w:p>
    <w:p w:rsidR="00321C6F" w:rsidRPr="00A56832" w:rsidRDefault="00596667" w:rsidP="00596667">
      <w:pPr>
        <w:tabs>
          <w:tab w:val="left" w:pos="1701"/>
        </w:tabs>
        <w:rPr>
          <w:rFonts w:ascii="Book Antiqua" w:hAnsi="Book Antiqua" w:cs="Arial"/>
        </w:rPr>
      </w:pPr>
      <w:r>
        <w:rPr>
          <w:rFonts w:ascii="Book Antiqua" w:hAnsi="Book Antiqua" w:cs="Arial"/>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596667">
      <w:pPr>
        <w:rPr>
          <w:rFonts w:ascii="Book Antiqua" w:hAnsi="Book Antiqua" w:cs="Arial"/>
        </w:rPr>
      </w:pPr>
    </w:p>
    <w:p w:rsidR="00321C6F" w:rsidRPr="00A56832" w:rsidRDefault="00596667" w:rsidP="00596667">
      <w:pPr>
        <w:tabs>
          <w:tab w:val="left" w:pos="1701"/>
        </w:tabs>
        <w:rPr>
          <w:rFonts w:ascii="Book Antiqua" w:hAnsi="Book Antiqua" w:cs="Arial"/>
        </w:rPr>
      </w:pPr>
      <w:r>
        <w:rPr>
          <w:rFonts w:ascii="Book Antiqua" w:hAnsi="Book Antiqua" w:cs="Arial"/>
        </w:rPr>
        <w:tab/>
      </w:r>
      <w:r w:rsidR="0001793D">
        <w:rPr>
          <w:rFonts w:ascii="Book Antiqua" w:hAnsi="Book Antiqua" w:cs="Arial"/>
        </w:rPr>
        <w:t>2</w:t>
      </w:r>
      <w:r w:rsidR="007E369A">
        <w:rPr>
          <w:rFonts w:ascii="Book Antiqua" w:hAnsi="Book Antiqua" w:cs="Arial"/>
        </w:rPr>
        <w:t>4</w:t>
      </w:r>
      <w:r w:rsidR="0001793D">
        <w:rPr>
          <w:rFonts w:ascii="Book Antiqua" w:hAnsi="Book Antiqua" w:cs="Arial"/>
        </w:rPr>
        <w:t xml:space="preserve"> August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sidR="00321C6F">
        <w:rPr>
          <w:rFonts w:ascii="Book Antiqua" w:hAnsi="Book Antiqua" w:cs="Arial"/>
        </w:rPr>
        <w:t xml:space="preserve"> </w:t>
      </w:r>
    </w:p>
    <w:p w:rsidR="00321C6F" w:rsidRDefault="00596667" w:rsidP="00596667">
      <w:pPr>
        <w:tabs>
          <w:tab w:val="left" w:pos="1701"/>
        </w:tabs>
        <w:rPr>
          <w:rFonts w:ascii="Book Antiqua" w:hAnsi="Book Antiqua" w:cs="Arial"/>
        </w:rPr>
      </w:pPr>
      <w:r>
        <w:rPr>
          <w:rFonts w:ascii="Book Antiqua" w:hAnsi="Book Antiqua" w:cs="Arial"/>
        </w:rPr>
        <w:tab/>
      </w:r>
      <w:r w:rsidR="00321C6F">
        <w:rPr>
          <w:rFonts w:ascii="Book Antiqua" w:hAnsi="Book Antiqua" w:cs="Arial"/>
        </w:rPr>
        <w:t xml:space="preserve">Upper Tribunal Judge </w:t>
      </w:r>
      <w:proofErr w:type="spellStart"/>
      <w:r w:rsidR="00321C6F">
        <w:rPr>
          <w:rFonts w:ascii="Book Antiqua" w:hAnsi="Book Antiqua" w:cs="Arial"/>
        </w:rPr>
        <w:t>Macleman</w:t>
      </w:r>
      <w:proofErr w:type="spellEnd"/>
    </w:p>
    <w:p w:rsidR="00933B65" w:rsidRPr="00F97703" w:rsidRDefault="00933B65" w:rsidP="00596667">
      <w:pPr>
        <w:rPr>
          <w:rFonts w:ascii="Book Antiqua" w:hAnsi="Book Antiqua" w:cs="Arial"/>
          <w:color w:val="000000"/>
        </w:rPr>
      </w:pPr>
    </w:p>
    <w:sectPr w:rsidR="00933B65" w:rsidRPr="00F97703"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C5B" w:rsidRDefault="00A91C5B">
      <w:r>
        <w:separator/>
      </w:r>
    </w:p>
  </w:endnote>
  <w:endnote w:type="continuationSeparator" w:id="0">
    <w:p w:rsidR="00A91C5B" w:rsidRDefault="00A9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251D4">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C80405">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C5B" w:rsidRDefault="00A91C5B">
      <w:r>
        <w:separator/>
      </w:r>
    </w:p>
  </w:footnote>
  <w:footnote w:type="continuationSeparator" w:id="0">
    <w:p w:rsidR="00A91C5B" w:rsidRDefault="00A9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3C5CE5" w:rsidRDefault="008D4782" w:rsidP="00614E94">
    <w:pPr>
      <w:pStyle w:val="Header"/>
      <w:jc w:val="right"/>
      <w:rPr>
        <w:rFonts w:ascii="Arial" w:hAnsi="Arial" w:cs="Arial"/>
        <w:sz w:val="16"/>
        <w:szCs w:val="16"/>
      </w:rPr>
    </w:pPr>
    <w:r>
      <w:rPr>
        <w:rFonts w:ascii="Arial" w:hAnsi="Arial" w:cs="Arial"/>
        <w:sz w:val="16"/>
        <w:szCs w:val="16"/>
      </w:rPr>
      <w:t>Appeal Number:</w:t>
    </w:r>
    <w:r w:rsidR="00C80405" w:rsidRPr="00C80405">
      <w:t xml:space="preserve"> </w:t>
    </w:r>
    <w:r w:rsidR="00C80405" w:rsidRPr="00C80405">
      <w:rPr>
        <w:rFonts w:ascii="Arial" w:hAnsi="Arial" w:cs="Arial"/>
        <w:sz w:val="16"/>
        <w:szCs w:val="16"/>
      </w:rPr>
      <w:t>PA/08122/2017</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315"/>
    <w:multiLevelType w:val="hybridMultilevel"/>
    <w:tmpl w:val="89B683D6"/>
    <w:lvl w:ilvl="0" w:tplc="A4166344">
      <w:start w:val="2"/>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32B7D55"/>
    <w:multiLevelType w:val="hybridMultilevel"/>
    <w:tmpl w:val="E43C5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EFD158C"/>
    <w:multiLevelType w:val="hybridMultilevel"/>
    <w:tmpl w:val="8A428C68"/>
    <w:lvl w:ilvl="0" w:tplc="A4166344">
      <w:start w:val="2"/>
      <w:numFmt w:val="lowerRoman"/>
      <w:lvlText w:val="(%1)"/>
      <w:lvlJc w:val="left"/>
      <w:pPr>
        <w:ind w:left="1287"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1D6F0C"/>
    <w:multiLevelType w:val="hybridMultilevel"/>
    <w:tmpl w:val="DC847384"/>
    <w:lvl w:ilvl="0" w:tplc="A4166344">
      <w:start w:val="2"/>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17A59E8"/>
    <w:multiLevelType w:val="hybridMultilevel"/>
    <w:tmpl w:val="BF68A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7" w15:restartNumberingAfterBreak="0">
    <w:nsid w:val="71256C48"/>
    <w:multiLevelType w:val="hybridMultilevel"/>
    <w:tmpl w:val="B90A5806"/>
    <w:lvl w:ilvl="0" w:tplc="A4166344">
      <w:start w:val="2"/>
      <w:numFmt w:val="lowerRoman"/>
      <w:lvlText w:val="(%1)"/>
      <w:lvlJc w:val="left"/>
      <w:pPr>
        <w:ind w:left="1287"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0E2C8A"/>
    <w:multiLevelType w:val="hybridMultilevel"/>
    <w:tmpl w:val="DF823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7"/>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92757EA-361B-4C76-BB47-30440DCB6A66}"/>
    <w:docVar w:name="dgnword-eventsink" w:val="674734752"/>
  </w:docVars>
  <w:rsids>
    <w:rsidRoot w:val="00933B65"/>
    <w:rsid w:val="00005159"/>
    <w:rsid w:val="00007BAC"/>
    <w:rsid w:val="00016ED1"/>
    <w:rsid w:val="0001793D"/>
    <w:rsid w:val="000232E9"/>
    <w:rsid w:val="00034562"/>
    <w:rsid w:val="00050F40"/>
    <w:rsid w:val="000602AF"/>
    <w:rsid w:val="00062472"/>
    <w:rsid w:val="000709D3"/>
    <w:rsid w:val="000777B7"/>
    <w:rsid w:val="00087C41"/>
    <w:rsid w:val="000B442A"/>
    <w:rsid w:val="000C0DB7"/>
    <w:rsid w:val="001103E2"/>
    <w:rsid w:val="001116C8"/>
    <w:rsid w:val="00117089"/>
    <w:rsid w:val="00127629"/>
    <w:rsid w:val="001402EE"/>
    <w:rsid w:val="00164AFA"/>
    <w:rsid w:val="00172233"/>
    <w:rsid w:val="0017427E"/>
    <w:rsid w:val="0018135B"/>
    <w:rsid w:val="00184269"/>
    <w:rsid w:val="001865B2"/>
    <w:rsid w:val="00193279"/>
    <w:rsid w:val="00195818"/>
    <w:rsid w:val="001A43A5"/>
    <w:rsid w:val="001A766E"/>
    <w:rsid w:val="001B3A61"/>
    <w:rsid w:val="001C5E5C"/>
    <w:rsid w:val="001D6343"/>
    <w:rsid w:val="001E0145"/>
    <w:rsid w:val="001F3A81"/>
    <w:rsid w:val="00202B8A"/>
    <w:rsid w:val="00203D83"/>
    <w:rsid w:val="002065B8"/>
    <w:rsid w:val="002069A9"/>
    <w:rsid w:val="002135A6"/>
    <w:rsid w:val="0021547E"/>
    <w:rsid w:val="002154EF"/>
    <w:rsid w:val="00224440"/>
    <w:rsid w:val="00245C80"/>
    <w:rsid w:val="002562E1"/>
    <w:rsid w:val="00266FFE"/>
    <w:rsid w:val="00267893"/>
    <w:rsid w:val="00274F92"/>
    <w:rsid w:val="002C01B0"/>
    <w:rsid w:val="002C1A3C"/>
    <w:rsid w:val="002C3D82"/>
    <w:rsid w:val="002C683E"/>
    <w:rsid w:val="002E3E36"/>
    <w:rsid w:val="002F4A67"/>
    <w:rsid w:val="00320187"/>
    <w:rsid w:val="00321C6F"/>
    <w:rsid w:val="00341CC8"/>
    <w:rsid w:val="003812EE"/>
    <w:rsid w:val="003839FC"/>
    <w:rsid w:val="00386F7A"/>
    <w:rsid w:val="003A1083"/>
    <w:rsid w:val="003A1A52"/>
    <w:rsid w:val="003C1934"/>
    <w:rsid w:val="003C46A8"/>
    <w:rsid w:val="003D373A"/>
    <w:rsid w:val="003D7D3D"/>
    <w:rsid w:val="003D7F34"/>
    <w:rsid w:val="003E0FF9"/>
    <w:rsid w:val="003E6445"/>
    <w:rsid w:val="003F07D5"/>
    <w:rsid w:val="003F1108"/>
    <w:rsid w:val="004010AD"/>
    <w:rsid w:val="004109D2"/>
    <w:rsid w:val="004171D0"/>
    <w:rsid w:val="004251D4"/>
    <w:rsid w:val="00441640"/>
    <w:rsid w:val="00451E11"/>
    <w:rsid w:val="004541E5"/>
    <w:rsid w:val="0046122D"/>
    <w:rsid w:val="00470675"/>
    <w:rsid w:val="004A012D"/>
    <w:rsid w:val="004A43A3"/>
    <w:rsid w:val="004B25E9"/>
    <w:rsid w:val="004D340E"/>
    <w:rsid w:val="004D65B0"/>
    <w:rsid w:val="00513527"/>
    <w:rsid w:val="00514F52"/>
    <w:rsid w:val="0057020B"/>
    <w:rsid w:val="00571AE3"/>
    <w:rsid w:val="00572F5A"/>
    <w:rsid w:val="005739ED"/>
    <w:rsid w:val="00581ABE"/>
    <w:rsid w:val="00590CEE"/>
    <w:rsid w:val="0059386A"/>
    <w:rsid w:val="00594CA2"/>
    <w:rsid w:val="00595C55"/>
    <w:rsid w:val="00596667"/>
    <w:rsid w:val="005A1712"/>
    <w:rsid w:val="005B54CB"/>
    <w:rsid w:val="005C185B"/>
    <w:rsid w:val="005F4697"/>
    <w:rsid w:val="005F6D40"/>
    <w:rsid w:val="005F7F9C"/>
    <w:rsid w:val="00600EF2"/>
    <w:rsid w:val="006042B2"/>
    <w:rsid w:val="00605966"/>
    <w:rsid w:val="00614020"/>
    <w:rsid w:val="00614E94"/>
    <w:rsid w:val="00622182"/>
    <w:rsid w:val="0063091E"/>
    <w:rsid w:val="006313A1"/>
    <w:rsid w:val="0064107F"/>
    <w:rsid w:val="0065091A"/>
    <w:rsid w:val="00654181"/>
    <w:rsid w:val="00657E4A"/>
    <w:rsid w:val="00666998"/>
    <w:rsid w:val="006D1DEA"/>
    <w:rsid w:val="006D2D9A"/>
    <w:rsid w:val="006D52F7"/>
    <w:rsid w:val="006D7C16"/>
    <w:rsid w:val="006E3DE1"/>
    <w:rsid w:val="006E7C64"/>
    <w:rsid w:val="006F1C98"/>
    <w:rsid w:val="00722B59"/>
    <w:rsid w:val="00734D2D"/>
    <w:rsid w:val="007412E0"/>
    <w:rsid w:val="00745F1A"/>
    <w:rsid w:val="007478EC"/>
    <w:rsid w:val="00750B6E"/>
    <w:rsid w:val="00751FD1"/>
    <w:rsid w:val="007538CE"/>
    <w:rsid w:val="00754838"/>
    <w:rsid w:val="00756B5D"/>
    <w:rsid w:val="00774C7C"/>
    <w:rsid w:val="007A1FDB"/>
    <w:rsid w:val="007B43FD"/>
    <w:rsid w:val="007B69A8"/>
    <w:rsid w:val="007C7EA7"/>
    <w:rsid w:val="007D383B"/>
    <w:rsid w:val="007D3E0C"/>
    <w:rsid w:val="007E369A"/>
    <w:rsid w:val="007F7538"/>
    <w:rsid w:val="0080239D"/>
    <w:rsid w:val="00810338"/>
    <w:rsid w:val="00834A20"/>
    <w:rsid w:val="0084433E"/>
    <w:rsid w:val="00861DE2"/>
    <w:rsid w:val="008652B5"/>
    <w:rsid w:val="008832E8"/>
    <w:rsid w:val="00897DE3"/>
    <w:rsid w:val="008A5253"/>
    <w:rsid w:val="008A64A7"/>
    <w:rsid w:val="008B5B9B"/>
    <w:rsid w:val="008C2761"/>
    <w:rsid w:val="008D4374"/>
    <w:rsid w:val="008D4782"/>
    <w:rsid w:val="008E0D80"/>
    <w:rsid w:val="008E21A3"/>
    <w:rsid w:val="008F2CE1"/>
    <w:rsid w:val="008F36C4"/>
    <w:rsid w:val="00923BA9"/>
    <w:rsid w:val="00926DE2"/>
    <w:rsid w:val="0093182F"/>
    <w:rsid w:val="00933B65"/>
    <w:rsid w:val="009417EA"/>
    <w:rsid w:val="009478D4"/>
    <w:rsid w:val="009516B6"/>
    <w:rsid w:val="009701EB"/>
    <w:rsid w:val="00983F1F"/>
    <w:rsid w:val="009A20B9"/>
    <w:rsid w:val="009E3D21"/>
    <w:rsid w:val="009E4310"/>
    <w:rsid w:val="009F0F5B"/>
    <w:rsid w:val="009F361B"/>
    <w:rsid w:val="00A01961"/>
    <w:rsid w:val="00A01EE2"/>
    <w:rsid w:val="00A050A9"/>
    <w:rsid w:val="00A6196F"/>
    <w:rsid w:val="00A61F71"/>
    <w:rsid w:val="00A810D2"/>
    <w:rsid w:val="00A845B8"/>
    <w:rsid w:val="00A86A8D"/>
    <w:rsid w:val="00A91C5B"/>
    <w:rsid w:val="00AA199C"/>
    <w:rsid w:val="00AA25A1"/>
    <w:rsid w:val="00AA5502"/>
    <w:rsid w:val="00AD64D6"/>
    <w:rsid w:val="00AE7218"/>
    <w:rsid w:val="00AF4F5E"/>
    <w:rsid w:val="00AF5CFB"/>
    <w:rsid w:val="00B002FD"/>
    <w:rsid w:val="00B02EBE"/>
    <w:rsid w:val="00B167AE"/>
    <w:rsid w:val="00B170ED"/>
    <w:rsid w:val="00B36888"/>
    <w:rsid w:val="00B456D1"/>
    <w:rsid w:val="00B52844"/>
    <w:rsid w:val="00B775C8"/>
    <w:rsid w:val="00B8209E"/>
    <w:rsid w:val="00BB2B34"/>
    <w:rsid w:val="00BB470C"/>
    <w:rsid w:val="00BB69F4"/>
    <w:rsid w:val="00BC0611"/>
    <w:rsid w:val="00BC220A"/>
    <w:rsid w:val="00BD02C4"/>
    <w:rsid w:val="00BD5E44"/>
    <w:rsid w:val="00BD62B1"/>
    <w:rsid w:val="00BE34CF"/>
    <w:rsid w:val="00BF7A02"/>
    <w:rsid w:val="00C01F6A"/>
    <w:rsid w:val="00C023A3"/>
    <w:rsid w:val="00C049F5"/>
    <w:rsid w:val="00C05A00"/>
    <w:rsid w:val="00C05E51"/>
    <w:rsid w:val="00C15A7E"/>
    <w:rsid w:val="00C20680"/>
    <w:rsid w:val="00C35BA3"/>
    <w:rsid w:val="00C379FE"/>
    <w:rsid w:val="00C51B29"/>
    <w:rsid w:val="00C5362E"/>
    <w:rsid w:val="00C6098F"/>
    <w:rsid w:val="00C628F1"/>
    <w:rsid w:val="00C758EA"/>
    <w:rsid w:val="00C80405"/>
    <w:rsid w:val="00CD5AEE"/>
    <w:rsid w:val="00CE316B"/>
    <w:rsid w:val="00CE7A5E"/>
    <w:rsid w:val="00CF0FE6"/>
    <w:rsid w:val="00CF6CAC"/>
    <w:rsid w:val="00D01A65"/>
    <w:rsid w:val="00D11E22"/>
    <w:rsid w:val="00D25C23"/>
    <w:rsid w:val="00D2762A"/>
    <w:rsid w:val="00D31D54"/>
    <w:rsid w:val="00D43729"/>
    <w:rsid w:val="00D44C2B"/>
    <w:rsid w:val="00D5598C"/>
    <w:rsid w:val="00D772E0"/>
    <w:rsid w:val="00D9536A"/>
    <w:rsid w:val="00DA3D04"/>
    <w:rsid w:val="00DA6002"/>
    <w:rsid w:val="00DA7E8D"/>
    <w:rsid w:val="00DB40F7"/>
    <w:rsid w:val="00DB4881"/>
    <w:rsid w:val="00DC31C9"/>
    <w:rsid w:val="00DC699D"/>
    <w:rsid w:val="00DC783C"/>
    <w:rsid w:val="00E00250"/>
    <w:rsid w:val="00E14905"/>
    <w:rsid w:val="00E22BD9"/>
    <w:rsid w:val="00E32B5A"/>
    <w:rsid w:val="00E44604"/>
    <w:rsid w:val="00E54850"/>
    <w:rsid w:val="00E54E91"/>
    <w:rsid w:val="00E7272C"/>
    <w:rsid w:val="00E850D9"/>
    <w:rsid w:val="00EA3D98"/>
    <w:rsid w:val="00EB127B"/>
    <w:rsid w:val="00EB38FD"/>
    <w:rsid w:val="00EE5B2C"/>
    <w:rsid w:val="00EE6CE7"/>
    <w:rsid w:val="00F125AD"/>
    <w:rsid w:val="00F3017A"/>
    <w:rsid w:val="00F40619"/>
    <w:rsid w:val="00F47052"/>
    <w:rsid w:val="00F63074"/>
    <w:rsid w:val="00F648C0"/>
    <w:rsid w:val="00F85C8A"/>
    <w:rsid w:val="00FA0A2E"/>
    <w:rsid w:val="00FA1F26"/>
    <w:rsid w:val="00FA2A43"/>
    <w:rsid w:val="00FA7FC0"/>
    <w:rsid w:val="00FB0516"/>
    <w:rsid w:val="00FC1421"/>
    <w:rsid w:val="00FD2335"/>
    <w:rsid w:val="00FE0046"/>
    <w:rsid w:val="00FF48BE"/>
    <w:rsid w:val="00FF52E5"/>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9D2"/>
    <w:pPr>
      <w:ind w:left="720"/>
      <w:contextualSpacing/>
    </w:pPr>
  </w:style>
  <w:style w:type="paragraph" w:styleId="BalloonText">
    <w:name w:val="Balloon Text"/>
    <w:basedOn w:val="Normal"/>
    <w:link w:val="BalloonTextChar"/>
    <w:semiHidden/>
    <w:unhideWhenUsed/>
    <w:rsid w:val="00202B8A"/>
    <w:rPr>
      <w:rFonts w:ascii="Segoe UI" w:hAnsi="Segoe UI" w:cs="Segoe UI"/>
      <w:sz w:val="18"/>
      <w:szCs w:val="18"/>
    </w:rPr>
  </w:style>
  <w:style w:type="character" w:customStyle="1" w:styleId="BalloonTextChar">
    <w:name w:val="Balloon Text Char"/>
    <w:basedOn w:val="DefaultParagraphFont"/>
    <w:link w:val="BalloonText"/>
    <w:semiHidden/>
    <w:rsid w:val="00202B8A"/>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0D16-072A-43F0-9F0A-DF5954D3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5549</Characters>
  <Application>Microsoft Office Word</Application>
  <DocSecurity>0</DocSecurity>
  <Lines>46</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2018-09-21T11:48:00Z</dcterms:created>
  <dcterms:modified xsi:type="dcterms:W3CDTF">2018-09-21T11:48:00Z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