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Default="00A7158A" w:rsidP="00933B65">
      <w:pPr>
        <w:jc w:val="center"/>
        <w:rPr>
          <w:rFonts w:ascii="Book Antiqua" w:hAnsi="Book Antiqua" w:cs="Arial"/>
          <w:color w:val="000000"/>
        </w:rPr>
      </w:pPr>
      <w:r>
        <w:rPr>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9D2199" w:rsidRPr="00F97703" w:rsidRDefault="009D2199" w:rsidP="009D2199">
      <w:pPr>
        <w:rPr>
          <w:rFonts w:ascii="Book Antiqua" w:hAnsi="Book Antiqua" w:cs="Arial"/>
          <w:color w:val="000000"/>
          <w:sz w:val="16"/>
          <w:szCs w:val="16"/>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762BAC">
        <w:rPr>
          <w:rFonts w:ascii="Book Antiqua" w:hAnsi="Book Antiqua" w:cs="Arial"/>
          <w:color w:val="000000"/>
        </w:rPr>
        <w:t>PA/08192/2017</w:t>
      </w:r>
      <w:bookmarkEnd w:id="0"/>
    </w:p>
    <w:p w:rsidR="00933B65" w:rsidRPr="00F97703" w:rsidRDefault="00933B65" w:rsidP="00933B65">
      <w:pPr>
        <w:jc w:val="center"/>
        <w:rPr>
          <w:rFonts w:ascii="Book Antiqua" w:hAnsi="Book Antiqua" w:cs="Arial"/>
          <w:color w:val="000000"/>
        </w:rPr>
      </w:pPr>
    </w:p>
    <w:p w:rsidR="009D2199" w:rsidRDefault="009D2199" w:rsidP="00933B65">
      <w:pPr>
        <w:jc w:val="center"/>
        <w:rPr>
          <w:rFonts w:ascii="Book Antiqua" w:hAnsi="Book Antiqua" w:cs="Arial"/>
          <w:b/>
          <w:color w:val="000000"/>
          <w:u w:val="single"/>
        </w:rPr>
      </w:pPr>
    </w:p>
    <w:p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D2199" w:rsidRPr="00F97703" w:rsidRDefault="009D2199" w:rsidP="00933B65">
      <w:pPr>
        <w:jc w:val="center"/>
        <w:rPr>
          <w:rFonts w:ascii="Book Antiqua" w:hAnsi="Book Antiqua" w:cs="Arial"/>
          <w:b/>
          <w:color w:val="000000"/>
          <w:u w:val="single"/>
        </w:rPr>
      </w:pPr>
    </w:p>
    <w:p w:rsidR="00405694" w:rsidRPr="00F97703" w:rsidRDefault="00405694" w:rsidP="00405694">
      <w:pPr>
        <w:jc w:val="center"/>
        <w:rPr>
          <w:rFonts w:ascii="Book Antiqua" w:hAnsi="Book Antiqua" w:cs="Arial"/>
          <w:b/>
          <w:u w:val="single"/>
        </w:rPr>
      </w:pPr>
    </w:p>
    <w:tbl>
      <w:tblPr>
        <w:tblW w:w="0" w:type="auto"/>
        <w:tblLook w:val="01E0" w:firstRow="1" w:lastRow="1" w:firstColumn="1" w:lastColumn="1" w:noHBand="0" w:noVBand="0"/>
      </w:tblPr>
      <w:tblGrid>
        <w:gridCol w:w="4965"/>
        <w:gridCol w:w="964"/>
        <w:gridCol w:w="3709"/>
      </w:tblGrid>
      <w:tr w:rsidR="00405694" w:rsidRPr="00AB1DC6" w:rsidTr="00A7158A">
        <w:tc>
          <w:tcPr>
            <w:tcW w:w="5070"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Heard at Field House</w:t>
            </w:r>
          </w:p>
        </w:tc>
        <w:tc>
          <w:tcPr>
            <w:tcW w:w="4758" w:type="dxa"/>
            <w:gridSpan w:val="2"/>
            <w:shd w:val="clear" w:color="auto" w:fill="auto"/>
          </w:tcPr>
          <w:p w:rsidR="00405694" w:rsidRPr="00AB1DC6" w:rsidRDefault="00405694" w:rsidP="00AB1DC6">
            <w:pPr>
              <w:jc w:val="both"/>
              <w:rPr>
                <w:rFonts w:ascii="Book Antiqua" w:hAnsi="Book Antiqua" w:cs="Arial"/>
                <w:b/>
                <w:color w:val="000000"/>
              </w:rPr>
            </w:pPr>
            <w:r w:rsidRPr="00AB1DC6">
              <w:rPr>
                <w:rFonts w:ascii="Book Antiqua" w:hAnsi="Book Antiqua" w:cs="Arial"/>
                <w:b/>
                <w:color w:val="000000"/>
              </w:rPr>
              <w:t>Decision</w:t>
            </w:r>
            <w:r w:rsidR="00A7158A">
              <w:rPr>
                <w:rFonts w:ascii="Book Antiqua" w:hAnsi="Book Antiqua" w:cs="Arial"/>
                <w:b/>
                <w:color w:val="000000"/>
              </w:rPr>
              <w:t xml:space="preserve"> and Reasons</w:t>
            </w:r>
            <w:r w:rsidRPr="00AB1DC6">
              <w:rPr>
                <w:rFonts w:ascii="Book Antiqua" w:hAnsi="Book Antiqua" w:cs="Arial"/>
                <w:b/>
                <w:color w:val="000000"/>
              </w:rPr>
              <w:t xml:space="preserve"> Promulgated</w:t>
            </w:r>
          </w:p>
        </w:tc>
      </w:tr>
      <w:tr w:rsidR="00405694" w:rsidRPr="00AB1DC6" w:rsidTr="00A7158A">
        <w:tc>
          <w:tcPr>
            <w:tcW w:w="5070"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 xml:space="preserve">On </w:t>
            </w:r>
            <w:r w:rsidR="00762BAC">
              <w:rPr>
                <w:rFonts w:ascii="Book Antiqua" w:hAnsi="Book Antiqua" w:cs="Arial"/>
                <w:b/>
              </w:rPr>
              <w:t>28 February 2018</w:t>
            </w:r>
          </w:p>
        </w:tc>
        <w:tc>
          <w:tcPr>
            <w:tcW w:w="4758" w:type="dxa"/>
            <w:gridSpan w:val="2"/>
            <w:shd w:val="clear" w:color="auto" w:fill="auto"/>
          </w:tcPr>
          <w:p w:rsidR="00405694" w:rsidRPr="00AB1DC6" w:rsidRDefault="00A7158A" w:rsidP="00AB1DC6">
            <w:pPr>
              <w:jc w:val="both"/>
              <w:rPr>
                <w:rFonts w:ascii="Book Antiqua" w:hAnsi="Book Antiqua" w:cs="Arial"/>
                <w:b/>
              </w:rPr>
            </w:pPr>
            <w:r>
              <w:rPr>
                <w:rFonts w:ascii="Book Antiqua" w:hAnsi="Book Antiqua" w:cs="Arial"/>
                <w:b/>
              </w:rPr>
              <w:t xml:space="preserve">On 15 May 2018 </w:t>
            </w:r>
          </w:p>
        </w:tc>
      </w:tr>
      <w:tr w:rsidR="00A7158A" w:rsidRPr="00AB1DC6" w:rsidTr="00AB1DC6">
        <w:trPr>
          <w:gridAfter w:val="1"/>
          <w:wAfter w:w="3780" w:type="dxa"/>
        </w:trPr>
        <w:tc>
          <w:tcPr>
            <w:tcW w:w="6048" w:type="dxa"/>
            <w:gridSpan w:val="2"/>
            <w:shd w:val="clear" w:color="auto" w:fill="auto"/>
          </w:tcPr>
          <w:p w:rsidR="00A7158A" w:rsidRPr="00AB1DC6" w:rsidRDefault="00A7158A" w:rsidP="00AB1DC6">
            <w:pPr>
              <w:jc w:val="both"/>
              <w:rPr>
                <w:rFonts w:ascii="Book Antiqua" w:hAnsi="Book Antiqua" w:cs="Arial"/>
                <w:b/>
              </w:rPr>
            </w:pPr>
          </w:p>
        </w:tc>
      </w:tr>
    </w:tbl>
    <w:p w:rsidR="00933B65" w:rsidRPr="00F97703" w:rsidRDefault="00933B65"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rsidR="00E468D9" w:rsidRDefault="00E468D9" w:rsidP="00933B65">
      <w:pPr>
        <w:jc w:val="center"/>
        <w:rPr>
          <w:rFonts w:ascii="Book Antiqua" w:hAnsi="Book Antiqua" w:cs="Arial"/>
          <w:b/>
        </w:rPr>
      </w:pPr>
    </w:p>
    <w:p w:rsidR="00294F41" w:rsidRPr="00F97703" w:rsidRDefault="00294F41"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294F41" w:rsidRDefault="00294F41" w:rsidP="00933B65">
      <w:pPr>
        <w:jc w:val="center"/>
        <w:rPr>
          <w:rFonts w:ascii="Book Antiqua" w:hAnsi="Book Antiqua" w:cs="Arial"/>
          <w:b/>
        </w:rPr>
      </w:pPr>
    </w:p>
    <w:p w:rsidR="00933B65" w:rsidRDefault="00314A41" w:rsidP="00933B65">
      <w:pPr>
        <w:jc w:val="center"/>
        <w:rPr>
          <w:rFonts w:ascii="Book Antiqua" w:hAnsi="Book Antiqua" w:cs="Arial"/>
          <w:b/>
        </w:rPr>
      </w:pPr>
      <w:r>
        <w:rPr>
          <w:rFonts w:ascii="Book Antiqua" w:hAnsi="Book Antiqua" w:cs="Arial"/>
          <w:b/>
        </w:rPr>
        <w:t>I O</w:t>
      </w:r>
    </w:p>
    <w:p w:rsidR="009D2199" w:rsidRPr="00F97703" w:rsidRDefault="009D2199" w:rsidP="009D2199">
      <w:pPr>
        <w:jc w:val="center"/>
        <w:rPr>
          <w:rFonts w:ascii="Book Antiqua" w:hAnsi="Book Antiqua" w:cs="Arial"/>
          <w:b/>
        </w:rPr>
      </w:pPr>
      <w:r>
        <w:rPr>
          <w:rFonts w:ascii="Book Antiqua" w:hAnsi="Book Antiqua" w:cs="Arial"/>
          <w:b/>
        </w:rPr>
        <w:t>(ANONYMITY DIRECTION MADE)</w:t>
      </w:r>
    </w:p>
    <w:p w:rsidR="00933B65"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294F41" w:rsidRPr="00F97703" w:rsidRDefault="00294F41"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Pr="00F97703" w:rsidRDefault="00933B65" w:rsidP="00933B65">
      <w:pPr>
        <w:rPr>
          <w:rFonts w:ascii="Book Antiqua" w:hAnsi="Book Antiqua" w:cs="Arial"/>
          <w:u w:val="single"/>
        </w:rPr>
      </w:pPr>
    </w:p>
    <w:p w:rsidR="00405694" w:rsidRDefault="00405694" w:rsidP="003B36AE">
      <w:pPr>
        <w:tabs>
          <w:tab w:val="left" w:pos="2520"/>
        </w:tabs>
        <w:rPr>
          <w:rFonts w:ascii="Book Antiqua" w:hAnsi="Book Antiqua" w:cs="Arial"/>
          <w:b/>
          <w:sz w:val="20"/>
          <w:szCs w:val="20"/>
          <w:u w:val="single"/>
        </w:rPr>
      </w:pPr>
    </w:p>
    <w:p w:rsidR="003B36AE" w:rsidRPr="00010B88" w:rsidRDefault="003B36AE" w:rsidP="003B36AE">
      <w:pPr>
        <w:tabs>
          <w:tab w:val="left" w:pos="2520"/>
        </w:tabs>
        <w:rPr>
          <w:rFonts w:ascii="Book Antiqua" w:hAnsi="Book Antiqua" w:cs="Arial"/>
          <w:b/>
          <w:u w:val="single"/>
        </w:rPr>
      </w:pPr>
      <w:r w:rsidRPr="00010B88">
        <w:rPr>
          <w:rFonts w:ascii="Book Antiqua" w:hAnsi="Book Antiqua" w:cs="Arial"/>
          <w:b/>
          <w:u w:val="single"/>
        </w:rPr>
        <w:t>Anonymity</w:t>
      </w:r>
    </w:p>
    <w:p w:rsidR="003B36AE" w:rsidRPr="00010B88" w:rsidRDefault="003B36AE" w:rsidP="003B36AE">
      <w:pPr>
        <w:tabs>
          <w:tab w:val="left" w:pos="2520"/>
        </w:tabs>
        <w:rPr>
          <w:rFonts w:ascii="Book Antiqua" w:hAnsi="Book Antiqua" w:cs="Arial"/>
          <w:i/>
        </w:rPr>
      </w:pPr>
      <w:r w:rsidRPr="00010B88">
        <w:rPr>
          <w:rFonts w:ascii="Book Antiqua" w:hAnsi="Book Antiqua" w:cs="Arial"/>
          <w:i/>
        </w:rPr>
        <w:t xml:space="preserve">Rule 14: The Tribunal Procedure (Upper Tribunal) Rules 2008 </w:t>
      </w:r>
    </w:p>
    <w:p w:rsidR="003B36AE" w:rsidRPr="00010B88" w:rsidRDefault="003B36AE" w:rsidP="003B36AE">
      <w:pPr>
        <w:widowControl w:val="0"/>
        <w:tabs>
          <w:tab w:val="left" w:pos="0"/>
        </w:tabs>
        <w:jc w:val="both"/>
        <w:rPr>
          <w:rFonts w:ascii="Book Antiqua" w:hAnsi="Book Antiqua" w:cs="Arial"/>
        </w:rPr>
      </w:pPr>
      <w:r w:rsidRPr="00010B88">
        <w:rPr>
          <w:rFonts w:ascii="Book Antiqua" w:hAnsi="Book Antiqua" w:cs="Arial"/>
        </w:rPr>
        <w:t xml:space="preserve">Anonymity was granted at an earlier stage of the proceedings because the case involves </w:t>
      </w:r>
      <w:r w:rsidR="00405694" w:rsidRPr="00010B88">
        <w:rPr>
          <w:rFonts w:ascii="Book Antiqua" w:hAnsi="Book Antiqua" w:cs="Arial"/>
        </w:rPr>
        <w:t xml:space="preserve">protection </w:t>
      </w:r>
      <w:r w:rsidR="00010B88" w:rsidRPr="00010B88">
        <w:rPr>
          <w:rFonts w:ascii="Book Antiqua" w:hAnsi="Book Antiqua" w:cs="Arial"/>
        </w:rPr>
        <w:t>issues. I</w:t>
      </w:r>
      <w:r w:rsidRPr="00010B88">
        <w:rPr>
          <w:rFonts w:ascii="Book Antiqua" w:hAnsi="Book Antiqua" w:cs="Arial"/>
        </w:rPr>
        <w:t xml:space="preserve"> find that it is appropriate to continue the order. Unless and until a tribunal or court directs otherwise, the appellant is granted anonymity. No report of these proceedings shall directly or indirectly identify him or any member of his family. This direction applies both to the appellant and to the respondent. </w:t>
      </w:r>
    </w:p>
    <w:p w:rsidR="003B36AE" w:rsidRDefault="003B36AE" w:rsidP="00933B65">
      <w:pPr>
        <w:rPr>
          <w:rFonts w:ascii="Book Antiqua" w:hAnsi="Book Antiqua" w:cs="Arial"/>
          <w:u w:val="single"/>
        </w:rPr>
      </w:pPr>
    </w:p>
    <w:p w:rsidR="009D2199" w:rsidRDefault="009D2199" w:rsidP="00933B65">
      <w:pPr>
        <w:rPr>
          <w:rFonts w:ascii="Book Antiqua" w:hAnsi="Book Antiqua" w:cs="Arial"/>
          <w:u w:val="single"/>
        </w:rPr>
      </w:pPr>
    </w:p>
    <w:p w:rsidR="00405694" w:rsidRDefault="00405694" w:rsidP="00933B65">
      <w:pPr>
        <w:rPr>
          <w:rFonts w:ascii="Book Antiqua" w:hAnsi="Book Antiqua" w:cs="Arial"/>
          <w:b/>
          <w:u w:val="single"/>
        </w:rPr>
      </w:pPr>
      <w:r w:rsidRPr="00405694">
        <w:rPr>
          <w:rFonts w:ascii="Book Antiqua" w:hAnsi="Book Antiqua" w:cs="Arial"/>
          <w:b/>
          <w:u w:val="single"/>
        </w:rPr>
        <w:t>Representation:</w:t>
      </w:r>
    </w:p>
    <w:p w:rsidR="00405694" w:rsidRDefault="00405694" w:rsidP="00933B65">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r>
      <w:r w:rsidR="00314A41">
        <w:rPr>
          <w:rFonts w:ascii="Book Antiqua" w:hAnsi="Book Antiqua" w:cs="Arial"/>
        </w:rPr>
        <w:t xml:space="preserve">Ms A. </w:t>
      </w:r>
      <w:proofErr w:type="spellStart"/>
      <w:r w:rsidR="00314A41">
        <w:rPr>
          <w:rFonts w:ascii="Book Antiqua" w:hAnsi="Book Antiqua" w:cs="Arial"/>
        </w:rPr>
        <w:t>Mugha</w:t>
      </w:r>
      <w:proofErr w:type="spellEnd"/>
      <w:r w:rsidR="00314A41">
        <w:rPr>
          <w:rFonts w:ascii="Book Antiqua" w:hAnsi="Book Antiqua" w:cs="Arial"/>
        </w:rPr>
        <w:t>, Montague Solicitors LLP</w:t>
      </w:r>
    </w:p>
    <w:p w:rsidR="00405694" w:rsidRDefault="00405694" w:rsidP="00933B65">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r>
      <w:r w:rsidR="00314A41">
        <w:rPr>
          <w:rFonts w:ascii="Book Antiqua" w:hAnsi="Book Antiqua" w:cs="Arial"/>
        </w:rPr>
        <w:t xml:space="preserve">Mr I. Jarvis, Senior Home Office Presenting Officer </w:t>
      </w:r>
    </w:p>
    <w:p w:rsidR="00405694" w:rsidRDefault="00405694" w:rsidP="00933B65">
      <w:pPr>
        <w:rPr>
          <w:rFonts w:ascii="Book Antiqua" w:hAnsi="Book Antiqua" w:cs="Arial"/>
        </w:rPr>
      </w:pPr>
    </w:p>
    <w:p w:rsidR="00405694" w:rsidRPr="00405694" w:rsidRDefault="00405694" w:rsidP="00933B65">
      <w:pPr>
        <w:rPr>
          <w:rFonts w:ascii="Book Antiqua" w:hAnsi="Book Antiqua" w:cs="Arial"/>
        </w:rPr>
      </w:pPr>
    </w:p>
    <w:p w:rsidR="00056E7C" w:rsidRDefault="00405694" w:rsidP="00405694">
      <w:pPr>
        <w:tabs>
          <w:tab w:val="left" w:pos="2520"/>
        </w:tabs>
        <w:jc w:val="center"/>
        <w:rPr>
          <w:rFonts w:ascii="Book Antiqua" w:hAnsi="Book Antiqua" w:cs="Arial"/>
        </w:rPr>
      </w:pPr>
      <w:r>
        <w:rPr>
          <w:rFonts w:ascii="Book Antiqua" w:hAnsi="Book Antiqua" w:cs="Arial"/>
          <w:b/>
          <w:u w:val="single"/>
        </w:rPr>
        <w:lastRenderedPageBreak/>
        <w:t>DECISION</w:t>
      </w:r>
      <w:r w:rsidRPr="00F97703">
        <w:rPr>
          <w:rFonts w:ascii="Book Antiqua" w:hAnsi="Book Antiqua" w:cs="Arial"/>
          <w:b/>
          <w:u w:val="single"/>
        </w:rPr>
        <w:t xml:space="preserve"> AND REASONS</w:t>
      </w:r>
    </w:p>
    <w:p w:rsidR="00056E7C" w:rsidRDefault="00056E7C" w:rsidP="00933B65">
      <w:pPr>
        <w:tabs>
          <w:tab w:val="left" w:pos="567"/>
        </w:tabs>
        <w:jc w:val="both"/>
        <w:rPr>
          <w:rFonts w:ascii="Book Antiqua" w:hAnsi="Book Antiqua" w:cs="Arial"/>
        </w:rPr>
      </w:pPr>
    </w:p>
    <w:p w:rsidR="00405694" w:rsidRDefault="00314A41" w:rsidP="00314A41">
      <w:pPr>
        <w:tabs>
          <w:tab w:val="left" w:pos="567"/>
        </w:tabs>
        <w:ind w:left="564" w:hanging="564"/>
        <w:jc w:val="both"/>
        <w:rPr>
          <w:rFonts w:ascii="Book Antiqua" w:hAnsi="Book Antiqua" w:cs="Arial"/>
        </w:rPr>
      </w:pPr>
      <w:r>
        <w:rPr>
          <w:rFonts w:ascii="Book Antiqua" w:hAnsi="Book Antiqua" w:cs="Arial"/>
        </w:rPr>
        <w:t>1.</w:t>
      </w:r>
      <w:r>
        <w:rPr>
          <w:rFonts w:ascii="Book Antiqua" w:hAnsi="Book Antiqua" w:cs="Arial"/>
        </w:rPr>
        <w:tab/>
        <w:t xml:space="preserve">The appellant appealed the respondent’s decision dated 07 August 2017 to refuse a protection and human rights claim. </w:t>
      </w:r>
    </w:p>
    <w:p w:rsidR="00405694" w:rsidRDefault="00405694" w:rsidP="00933B65">
      <w:pPr>
        <w:tabs>
          <w:tab w:val="left" w:pos="567"/>
        </w:tabs>
        <w:jc w:val="both"/>
        <w:rPr>
          <w:rFonts w:ascii="Book Antiqua" w:hAnsi="Book Antiqua" w:cs="Arial"/>
        </w:rPr>
      </w:pPr>
    </w:p>
    <w:p w:rsidR="007A6E76" w:rsidRDefault="00314A41" w:rsidP="00314A41">
      <w:pPr>
        <w:tabs>
          <w:tab w:val="left" w:pos="567"/>
        </w:tabs>
        <w:ind w:left="564" w:hanging="564"/>
        <w:jc w:val="both"/>
        <w:rPr>
          <w:rFonts w:ascii="Book Antiqua" w:hAnsi="Book Antiqua" w:cs="Arial"/>
        </w:rPr>
      </w:pPr>
      <w:r>
        <w:rPr>
          <w:rFonts w:ascii="Book Antiqua" w:hAnsi="Book Antiqua" w:cs="Arial"/>
        </w:rPr>
        <w:t>2.</w:t>
      </w:r>
      <w:r>
        <w:rPr>
          <w:rFonts w:ascii="Book Antiqua" w:hAnsi="Book Antiqua" w:cs="Arial"/>
        </w:rPr>
        <w:tab/>
        <w:t xml:space="preserve">First-tier Tribunal Judge A. Kelly (“the judge”) dismissed the appeal in a decision promulgated on 18 October 2017. </w:t>
      </w:r>
      <w:r w:rsidR="007A6E76">
        <w:rPr>
          <w:rFonts w:ascii="Book Antiqua" w:hAnsi="Book Antiqua" w:cs="Arial"/>
        </w:rPr>
        <w:t>The judge rejected the credibility of the appellant’s claim that he was detained by the Turkish authorities and concluded that he would not be at risk on return because of his claimed political activities for the HDP.</w:t>
      </w:r>
    </w:p>
    <w:p w:rsidR="007A6E76" w:rsidRDefault="007A6E76" w:rsidP="00314A41">
      <w:pPr>
        <w:tabs>
          <w:tab w:val="left" w:pos="567"/>
        </w:tabs>
        <w:ind w:left="564" w:hanging="564"/>
        <w:jc w:val="both"/>
        <w:rPr>
          <w:rFonts w:ascii="Book Antiqua" w:hAnsi="Book Antiqua" w:cs="Arial"/>
        </w:rPr>
      </w:pPr>
    </w:p>
    <w:p w:rsidR="007A6E76" w:rsidRDefault="007A6E76" w:rsidP="00314A41">
      <w:pPr>
        <w:tabs>
          <w:tab w:val="left" w:pos="567"/>
        </w:tabs>
        <w:ind w:left="564" w:hanging="564"/>
        <w:jc w:val="both"/>
        <w:rPr>
          <w:rFonts w:ascii="Book Antiqua" w:hAnsi="Book Antiqua" w:cs="Arial"/>
        </w:rPr>
      </w:pPr>
      <w:r>
        <w:rPr>
          <w:rFonts w:ascii="Book Antiqua" w:hAnsi="Book Antiqua" w:cs="Arial"/>
        </w:rPr>
        <w:t>3.</w:t>
      </w:r>
      <w:r>
        <w:rPr>
          <w:rFonts w:ascii="Book Antiqua" w:hAnsi="Book Antiqua" w:cs="Arial"/>
        </w:rPr>
        <w:tab/>
        <w:t>The appellant appealed the First-tier Tribunal decision on the following grounds:</w:t>
      </w:r>
    </w:p>
    <w:p w:rsidR="00405694" w:rsidRPr="009D2199" w:rsidRDefault="007A6E76" w:rsidP="009D2199">
      <w:pPr>
        <w:numPr>
          <w:ilvl w:val="0"/>
          <w:numId w:val="6"/>
        </w:numPr>
        <w:tabs>
          <w:tab w:val="left" w:pos="567"/>
        </w:tabs>
        <w:spacing w:before="120" w:after="120"/>
        <w:ind w:left="1134" w:hanging="567"/>
        <w:jc w:val="both"/>
        <w:rPr>
          <w:rFonts w:ascii="Book Antiqua" w:hAnsi="Book Antiqua" w:cs="Arial"/>
        </w:rPr>
      </w:pPr>
      <w:r w:rsidRPr="009D2199">
        <w:rPr>
          <w:rFonts w:ascii="Book Antiqua" w:hAnsi="Book Antiqua" w:cs="Arial"/>
        </w:rPr>
        <w:t xml:space="preserve">The judge </w:t>
      </w:r>
      <w:r w:rsidR="004F5F13" w:rsidRPr="009D2199">
        <w:rPr>
          <w:rFonts w:ascii="Book Antiqua" w:hAnsi="Book Antiqua" w:cs="Arial"/>
        </w:rPr>
        <w:t xml:space="preserve">failed to put the appellant’s more recent involvement with the HDP in the context of his </w:t>
      </w:r>
      <w:r w:rsidR="00346894" w:rsidRPr="009D2199">
        <w:rPr>
          <w:rFonts w:ascii="Book Antiqua" w:hAnsi="Book Antiqua" w:cs="Arial"/>
        </w:rPr>
        <w:t>earlier</w:t>
      </w:r>
      <w:r w:rsidR="004F5F13" w:rsidRPr="009D2199">
        <w:rPr>
          <w:rFonts w:ascii="Book Antiqua" w:hAnsi="Book Antiqua" w:cs="Arial"/>
        </w:rPr>
        <w:t xml:space="preserve"> support for </w:t>
      </w:r>
      <w:r w:rsidR="001F2BFA" w:rsidRPr="009D2199">
        <w:rPr>
          <w:rFonts w:ascii="Book Antiqua" w:hAnsi="Book Antiqua" w:cs="Arial"/>
        </w:rPr>
        <w:t>predecessor pro-Kurdish parties.</w:t>
      </w:r>
    </w:p>
    <w:p w:rsidR="007A6E76" w:rsidRPr="009D2199" w:rsidRDefault="004F5F13" w:rsidP="009D2199">
      <w:pPr>
        <w:numPr>
          <w:ilvl w:val="0"/>
          <w:numId w:val="6"/>
        </w:numPr>
        <w:tabs>
          <w:tab w:val="left" w:pos="567"/>
        </w:tabs>
        <w:spacing w:before="120" w:after="120"/>
        <w:ind w:left="1134" w:hanging="567"/>
        <w:jc w:val="both"/>
        <w:rPr>
          <w:rFonts w:ascii="Book Antiqua" w:hAnsi="Book Antiqua" w:cs="Arial"/>
        </w:rPr>
      </w:pPr>
      <w:r w:rsidRPr="009D2199">
        <w:rPr>
          <w:rFonts w:ascii="Book Antiqua" w:hAnsi="Book Antiqua" w:cs="Arial"/>
        </w:rPr>
        <w:t xml:space="preserve">The judge erred in making adverse credibility findings relating to the evidence given by the appellant’s wife and sister as to when and how he injured his back, when the appellant’s evidence had been consistent on the point. </w:t>
      </w:r>
    </w:p>
    <w:p w:rsidR="004F5F13" w:rsidRPr="009D2199" w:rsidRDefault="004F5F13" w:rsidP="009D2199">
      <w:pPr>
        <w:numPr>
          <w:ilvl w:val="0"/>
          <w:numId w:val="6"/>
        </w:numPr>
        <w:tabs>
          <w:tab w:val="left" w:pos="567"/>
        </w:tabs>
        <w:spacing w:before="120" w:after="120"/>
        <w:ind w:left="1134" w:hanging="567"/>
        <w:jc w:val="both"/>
        <w:rPr>
          <w:rFonts w:ascii="Book Antiqua" w:hAnsi="Book Antiqua" w:cs="Arial"/>
        </w:rPr>
      </w:pPr>
      <w:r w:rsidRPr="009D2199">
        <w:rPr>
          <w:rFonts w:ascii="Book Antiqua" w:hAnsi="Book Antiqua" w:cs="Arial"/>
        </w:rPr>
        <w:t xml:space="preserve">The judge </w:t>
      </w:r>
      <w:r w:rsidR="00815827" w:rsidRPr="009D2199">
        <w:rPr>
          <w:rFonts w:ascii="Book Antiqua" w:hAnsi="Book Antiqua" w:cs="Arial"/>
        </w:rPr>
        <w:t xml:space="preserve">made a factual error </w:t>
      </w:r>
      <w:r w:rsidR="00346894" w:rsidRPr="009D2199">
        <w:rPr>
          <w:rFonts w:ascii="Book Antiqua" w:hAnsi="Book Antiqua" w:cs="Arial"/>
        </w:rPr>
        <w:t xml:space="preserve">in apparently finding that the appellant was the subject of an arrest warrant. </w:t>
      </w:r>
    </w:p>
    <w:p w:rsidR="004F5F13" w:rsidRPr="009D2199" w:rsidRDefault="00346894" w:rsidP="009D2199">
      <w:pPr>
        <w:numPr>
          <w:ilvl w:val="0"/>
          <w:numId w:val="6"/>
        </w:numPr>
        <w:tabs>
          <w:tab w:val="left" w:pos="567"/>
        </w:tabs>
        <w:spacing w:before="120" w:after="120"/>
        <w:ind w:left="1134" w:hanging="567"/>
        <w:jc w:val="both"/>
        <w:rPr>
          <w:rFonts w:ascii="Book Antiqua" w:hAnsi="Book Antiqua" w:cs="Arial"/>
        </w:rPr>
      </w:pPr>
      <w:r w:rsidRPr="009D2199">
        <w:rPr>
          <w:rFonts w:ascii="Book Antiqua" w:hAnsi="Book Antiqua" w:cs="Arial"/>
        </w:rPr>
        <w:t xml:space="preserve">The judge’s finding </w:t>
      </w:r>
      <w:r w:rsidR="00503724" w:rsidRPr="009D2199">
        <w:rPr>
          <w:rFonts w:ascii="Book Antiqua" w:hAnsi="Book Antiqua" w:cs="Arial"/>
        </w:rPr>
        <w:t xml:space="preserve">that the appellant would not be at risk as a result of his “Kurdish ethnicity, his Alevi faith, and his low-level involvement with the HDP” because, even taking his account at its highest, he was “released without change on each occasion that he was detained [suggesting] that the authorities have no further interest in him” [42] was inconsistent with country guidance in </w:t>
      </w:r>
      <w:r w:rsidR="00503724" w:rsidRPr="009D2199">
        <w:rPr>
          <w:rFonts w:ascii="Book Antiqua" w:hAnsi="Book Antiqua" w:cs="Arial"/>
          <w:i/>
        </w:rPr>
        <w:t xml:space="preserve">IK </w:t>
      </w:r>
      <w:r w:rsidR="00503724" w:rsidRPr="009D2199">
        <w:rPr>
          <w:rFonts w:ascii="Book Antiqua" w:hAnsi="Book Antiqua"/>
          <w:i/>
        </w:rPr>
        <w:t>(Returnees - Records – IFA) Turkey</w:t>
      </w:r>
      <w:r w:rsidR="00503724" w:rsidRPr="009D2199">
        <w:rPr>
          <w:rFonts w:ascii="Book Antiqua" w:hAnsi="Book Antiqua"/>
        </w:rPr>
        <w:t xml:space="preserve"> CG</w:t>
      </w:r>
      <w:r w:rsidR="00503724" w:rsidRPr="009D2199">
        <w:rPr>
          <w:rFonts w:ascii="Book Antiqua" w:hAnsi="Book Antiqua" w:cs="Arial"/>
        </w:rPr>
        <w:t xml:space="preserve"> [2004] UKIAT 00312. </w:t>
      </w:r>
    </w:p>
    <w:p w:rsidR="00956CA2" w:rsidRDefault="00956CA2" w:rsidP="00956CA2">
      <w:pPr>
        <w:tabs>
          <w:tab w:val="left" w:pos="567"/>
        </w:tabs>
        <w:ind w:left="564" w:hanging="564"/>
        <w:jc w:val="both"/>
        <w:rPr>
          <w:rFonts w:ascii="Book Antiqua" w:hAnsi="Book Antiqua" w:cs="Arial"/>
        </w:rPr>
      </w:pPr>
      <w:r>
        <w:rPr>
          <w:rFonts w:ascii="Book Antiqua" w:hAnsi="Book Antiqua" w:cs="Arial"/>
        </w:rPr>
        <w:t>4.</w:t>
      </w:r>
      <w:r>
        <w:rPr>
          <w:rFonts w:ascii="Book Antiqua" w:hAnsi="Book Antiqua" w:cs="Arial"/>
        </w:rPr>
        <w:tab/>
        <w:t xml:space="preserve">First-tier Tribunal Judge Ford granted permission in an order dated 04 December 2017. She limited the grant of permission to the last two grounds. </w:t>
      </w:r>
      <w:r w:rsidR="00FB6C82">
        <w:rPr>
          <w:rFonts w:ascii="Book Antiqua" w:hAnsi="Book Antiqua" w:cs="Arial"/>
        </w:rPr>
        <w:t>T</w:t>
      </w:r>
      <w:r>
        <w:rPr>
          <w:rFonts w:ascii="Book Antiqua" w:hAnsi="Book Antiqua" w:cs="Arial"/>
        </w:rPr>
        <w:t>he judge’s credibility findings must be considered as a whole</w:t>
      </w:r>
      <w:r w:rsidR="00FB6C82">
        <w:rPr>
          <w:rFonts w:ascii="Book Antiqua" w:hAnsi="Book Antiqua" w:cs="Arial"/>
        </w:rPr>
        <w:t>, as such,</w:t>
      </w:r>
      <w:r>
        <w:rPr>
          <w:rFonts w:ascii="Book Antiqua" w:hAnsi="Book Antiqua" w:cs="Arial"/>
        </w:rPr>
        <w:t xml:space="preserve"> I was satisfied that </w:t>
      </w:r>
      <w:r w:rsidR="00FB6C82">
        <w:rPr>
          <w:rFonts w:ascii="Book Antiqua" w:hAnsi="Book Antiqua" w:cs="Arial"/>
        </w:rPr>
        <w:t>it was unhelpful to limit the grounds and made clear that I would</w:t>
      </w:r>
      <w:r>
        <w:rPr>
          <w:rFonts w:ascii="Book Antiqua" w:hAnsi="Book Antiqua" w:cs="Arial"/>
        </w:rPr>
        <w:t xml:space="preserve"> consider all grounds as part of my assessment of the First-tier Tribunal decision.</w:t>
      </w:r>
    </w:p>
    <w:p w:rsidR="00314A41" w:rsidRDefault="00314A41" w:rsidP="00933B65">
      <w:pPr>
        <w:tabs>
          <w:tab w:val="left" w:pos="567"/>
        </w:tabs>
        <w:jc w:val="both"/>
        <w:rPr>
          <w:rFonts w:ascii="Book Antiqua" w:hAnsi="Book Antiqua" w:cs="Arial"/>
        </w:rPr>
      </w:pPr>
    </w:p>
    <w:p w:rsidR="00405694" w:rsidRPr="00405694" w:rsidRDefault="00405694" w:rsidP="00933B65">
      <w:pPr>
        <w:tabs>
          <w:tab w:val="left" w:pos="567"/>
        </w:tabs>
        <w:jc w:val="both"/>
        <w:rPr>
          <w:rFonts w:ascii="Book Antiqua" w:hAnsi="Book Antiqua" w:cs="Arial"/>
          <w:b/>
          <w:u w:val="single"/>
        </w:rPr>
      </w:pPr>
      <w:r w:rsidRPr="00405694">
        <w:rPr>
          <w:rFonts w:ascii="Book Antiqua" w:hAnsi="Book Antiqua" w:cs="Arial"/>
          <w:b/>
          <w:u w:val="single"/>
        </w:rPr>
        <w:t>Decision and reasons</w:t>
      </w:r>
    </w:p>
    <w:p w:rsidR="00405694" w:rsidRDefault="00405694" w:rsidP="00933B65">
      <w:pPr>
        <w:tabs>
          <w:tab w:val="left" w:pos="567"/>
        </w:tabs>
        <w:jc w:val="both"/>
        <w:rPr>
          <w:rFonts w:ascii="Book Antiqua" w:hAnsi="Book Antiqua" w:cs="Arial"/>
        </w:rPr>
      </w:pPr>
    </w:p>
    <w:p w:rsidR="00405694" w:rsidRDefault="00956CA2" w:rsidP="00956CA2">
      <w:pPr>
        <w:tabs>
          <w:tab w:val="left" w:pos="567"/>
        </w:tabs>
        <w:ind w:left="564" w:hanging="564"/>
        <w:jc w:val="both"/>
        <w:rPr>
          <w:rFonts w:ascii="Book Antiqua" w:hAnsi="Book Antiqua" w:cs="Arial"/>
        </w:rPr>
      </w:pPr>
      <w:r>
        <w:rPr>
          <w:rFonts w:ascii="Book Antiqua" w:hAnsi="Book Antiqua" w:cs="Arial"/>
        </w:rPr>
        <w:t>5.</w:t>
      </w:r>
      <w:r>
        <w:rPr>
          <w:rFonts w:ascii="Book Antiqua" w:hAnsi="Book Antiqua" w:cs="Arial"/>
        </w:rPr>
        <w:tab/>
        <w:t xml:space="preserve">I have considered the grounds of appeal and submissions as well as the documentary evidence before the Upper Tribunal. </w:t>
      </w:r>
    </w:p>
    <w:p w:rsidR="00405694" w:rsidRDefault="00405694" w:rsidP="00933B65">
      <w:pPr>
        <w:tabs>
          <w:tab w:val="left" w:pos="567"/>
        </w:tabs>
        <w:jc w:val="both"/>
        <w:rPr>
          <w:rFonts w:ascii="Book Antiqua" w:hAnsi="Book Antiqua" w:cs="Arial"/>
        </w:rPr>
      </w:pPr>
    </w:p>
    <w:p w:rsidR="00796EC0" w:rsidRDefault="00FB6C82" w:rsidP="00BA4892">
      <w:pPr>
        <w:tabs>
          <w:tab w:val="left" w:pos="567"/>
        </w:tabs>
        <w:ind w:left="564" w:hanging="564"/>
        <w:jc w:val="both"/>
        <w:rPr>
          <w:rFonts w:ascii="Book Antiqua" w:hAnsi="Book Antiqua" w:cs="Arial"/>
        </w:rPr>
      </w:pPr>
      <w:r>
        <w:rPr>
          <w:rFonts w:ascii="Book Antiqua" w:hAnsi="Book Antiqua" w:cs="Arial"/>
        </w:rPr>
        <w:t>6.</w:t>
      </w:r>
      <w:r>
        <w:rPr>
          <w:rFonts w:ascii="Book Antiqua" w:hAnsi="Book Antiqua" w:cs="Arial"/>
        </w:rPr>
        <w:tab/>
      </w:r>
      <w:r w:rsidR="00D65F0D">
        <w:rPr>
          <w:rFonts w:ascii="Book Antiqua" w:hAnsi="Book Antiqua" w:cs="Arial"/>
        </w:rPr>
        <w:t>Many of the judge’</w:t>
      </w:r>
      <w:r w:rsidR="00891DB2">
        <w:rPr>
          <w:rFonts w:ascii="Book Antiqua" w:hAnsi="Book Antiqua" w:cs="Arial"/>
        </w:rPr>
        <w:t xml:space="preserve">s findings about the timing, </w:t>
      </w:r>
      <w:r w:rsidR="00D65F0D">
        <w:rPr>
          <w:rFonts w:ascii="Book Antiqua" w:hAnsi="Book Antiqua" w:cs="Arial"/>
        </w:rPr>
        <w:t xml:space="preserve">plausibility </w:t>
      </w:r>
      <w:r w:rsidR="00891DB2">
        <w:rPr>
          <w:rFonts w:ascii="Book Antiqua" w:hAnsi="Book Antiqua" w:cs="Arial"/>
        </w:rPr>
        <w:t xml:space="preserve">and consistency </w:t>
      </w:r>
      <w:r w:rsidR="00D65F0D">
        <w:rPr>
          <w:rFonts w:ascii="Book Antiqua" w:hAnsi="Book Antiqua" w:cs="Arial"/>
        </w:rPr>
        <w:t xml:space="preserve">of certain aspects of </w:t>
      </w:r>
      <w:r w:rsidR="005A082B">
        <w:rPr>
          <w:rFonts w:ascii="Book Antiqua" w:hAnsi="Book Antiqua" w:cs="Arial"/>
        </w:rPr>
        <w:t xml:space="preserve">the </w:t>
      </w:r>
      <w:r w:rsidR="00891DB2">
        <w:rPr>
          <w:rFonts w:ascii="Book Antiqua" w:hAnsi="Book Antiqua" w:cs="Arial"/>
        </w:rPr>
        <w:t>account given by the appellant and his witnesses</w:t>
      </w:r>
      <w:r w:rsidR="00D65F0D">
        <w:rPr>
          <w:rFonts w:ascii="Book Antiqua" w:hAnsi="Book Antiqua" w:cs="Arial"/>
        </w:rPr>
        <w:t xml:space="preserve"> were open to her to make on the evidence. However, despite having stated that she had considered the evidence in the round, her findings take the form of a list of reasons why she did not accept the credibility of the appellant’s account, with little or no </w:t>
      </w:r>
      <w:r w:rsidR="00891DB2">
        <w:rPr>
          <w:rFonts w:ascii="Book Antiqua" w:hAnsi="Book Antiqua" w:cs="Arial"/>
        </w:rPr>
        <w:t xml:space="preserve">analysis </w:t>
      </w:r>
      <w:r w:rsidR="00D65F0D">
        <w:rPr>
          <w:rFonts w:ascii="Book Antiqua" w:hAnsi="Book Antiqua" w:cs="Arial"/>
        </w:rPr>
        <w:t xml:space="preserve">of whether </w:t>
      </w:r>
      <w:r w:rsidR="00BA4892">
        <w:rPr>
          <w:rFonts w:ascii="Book Antiqua" w:hAnsi="Book Antiqua" w:cs="Arial"/>
        </w:rPr>
        <w:t>some aspects of</w:t>
      </w:r>
      <w:r w:rsidR="00D65F0D">
        <w:rPr>
          <w:rFonts w:ascii="Book Antiqua" w:hAnsi="Book Antiqua" w:cs="Arial"/>
        </w:rPr>
        <w:t xml:space="preserve"> the evidence might support the appellant’s account. </w:t>
      </w:r>
      <w:r w:rsidR="00BA4892">
        <w:rPr>
          <w:rFonts w:ascii="Book Antiqua" w:hAnsi="Book Antiqua" w:cs="Arial"/>
        </w:rPr>
        <w:t>However, h</w:t>
      </w:r>
      <w:r w:rsidR="0036643E">
        <w:rPr>
          <w:rFonts w:ascii="Book Antiqua" w:hAnsi="Book Antiqua" w:cs="Arial"/>
        </w:rPr>
        <w:t xml:space="preserve">aving considered the evidence before the First-tier Tribunal, I am satisfied that </w:t>
      </w:r>
      <w:r w:rsidR="00BA4892">
        <w:rPr>
          <w:rFonts w:ascii="Book Antiqua" w:hAnsi="Book Antiqua" w:cs="Arial"/>
        </w:rPr>
        <w:t xml:space="preserve">any </w:t>
      </w:r>
      <w:r w:rsidR="00605079">
        <w:rPr>
          <w:rFonts w:ascii="Book Antiqua" w:hAnsi="Book Antiqua" w:cs="Arial"/>
        </w:rPr>
        <w:t>lack of balance in</w:t>
      </w:r>
      <w:r w:rsidR="00BA4892">
        <w:rPr>
          <w:rFonts w:ascii="Book Antiqua" w:hAnsi="Book Antiqua" w:cs="Arial"/>
        </w:rPr>
        <w:t xml:space="preserve"> the judge’s findings would not have</w:t>
      </w:r>
      <w:r w:rsidR="0036643E">
        <w:rPr>
          <w:rFonts w:ascii="Book Antiqua" w:hAnsi="Book Antiqua" w:cs="Arial"/>
        </w:rPr>
        <w:t xml:space="preserve"> made any material difference to the outcome of the appeal. </w:t>
      </w:r>
    </w:p>
    <w:p w:rsidR="00796EC0" w:rsidRDefault="00796EC0" w:rsidP="00D65F0D">
      <w:pPr>
        <w:tabs>
          <w:tab w:val="left" w:pos="567"/>
        </w:tabs>
        <w:ind w:left="564" w:hanging="564"/>
        <w:jc w:val="both"/>
        <w:rPr>
          <w:rFonts w:ascii="Book Antiqua" w:hAnsi="Book Antiqua" w:cs="Arial"/>
        </w:rPr>
      </w:pPr>
    </w:p>
    <w:p w:rsidR="00863098" w:rsidRDefault="00863098" w:rsidP="00D65F0D">
      <w:pPr>
        <w:tabs>
          <w:tab w:val="left" w:pos="567"/>
        </w:tabs>
        <w:ind w:left="564" w:hanging="564"/>
        <w:jc w:val="both"/>
        <w:rPr>
          <w:rFonts w:ascii="Book Antiqua" w:hAnsi="Book Antiqua" w:cs="Arial"/>
        </w:rPr>
      </w:pPr>
      <w:r>
        <w:rPr>
          <w:rFonts w:ascii="Book Antiqua" w:hAnsi="Book Antiqua" w:cs="Arial"/>
        </w:rPr>
        <w:t>7.</w:t>
      </w:r>
      <w:r>
        <w:rPr>
          <w:rFonts w:ascii="Book Antiqua" w:hAnsi="Book Antiqua" w:cs="Arial"/>
        </w:rPr>
        <w:tab/>
        <w:t xml:space="preserve">The judge set out the appellant’s claim in some detail [5-15]. She also summarised the documentary evidence [18]. The judge </w:t>
      </w:r>
      <w:r w:rsidR="00605079">
        <w:rPr>
          <w:rFonts w:ascii="Book Antiqua" w:hAnsi="Book Antiqua" w:cs="Arial"/>
        </w:rPr>
        <w:t>failed to make</w:t>
      </w:r>
      <w:r>
        <w:rPr>
          <w:rFonts w:ascii="Book Antiqua" w:hAnsi="Book Antiqua" w:cs="Arial"/>
        </w:rPr>
        <w:t xml:space="preserve"> findings as to whether she accepted the appellant’s account of detention on three previous occasions </w:t>
      </w:r>
      <w:r w:rsidR="004C4920">
        <w:rPr>
          <w:rFonts w:ascii="Book Antiqua" w:hAnsi="Book Antiqua" w:cs="Arial"/>
        </w:rPr>
        <w:t xml:space="preserve">in 1997, 2013 and 2015, which might have </w:t>
      </w:r>
      <w:r w:rsidR="00BD32F7">
        <w:rPr>
          <w:rFonts w:ascii="Book Antiqua" w:hAnsi="Book Antiqua" w:cs="Arial"/>
        </w:rPr>
        <w:t>formed some background to</w:t>
      </w:r>
      <w:r w:rsidR="004C4920">
        <w:rPr>
          <w:rFonts w:ascii="Book Antiqua" w:hAnsi="Book Antiqua" w:cs="Arial"/>
        </w:rPr>
        <w:t xml:space="preserve"> her assessment of the appellant’s </w:t>
      </w:r>
      <w:r w:rsidR="00815827">
        <w:rPr>
          <w:rFonts w:ascii="Book Antiqua" w:hAnsi="Book Antiqua" w:cs="Arial"/>
        </w:rPr>
        <w:t>claimed</w:t>
      </w:r>
      <w:r w:rsidR="004C4920">
        <w:rPr>
          <w:rFonts w:ascii="Book Antiqua" w:hAnsi="Book Antiqua" w:cs="Arial"/>
        </w:rPr>
        <w:t xml:space="preserve"> detention in December 2016. </w:t>
      </w:r>
      <w:r w:rsidR="00F94CC6">
        <w:rPr>
          <w:rFonts w:ascii="Book Antiqua" w:hAnsi="Book Antiqua" w:cs="Arial"/>
        </w:rPr>
        <w:t>The</w:t>
      </w:r>
      <w:r w:rsidR="004C4920">
        <w:rPr>
          <w:rFonts w:ascii="Book Antiqua" w:hAnsi="Book Antiqua" w:cs="Arial"/>
        </w:rPr>
        <w:t xml:space="preserve"> appellant did not rely on </w:t>
      </w:r>
      <w:r w:rsidR="00BD32F7">
        <w:rPr>
          <w:rFonts w:ascii="Book Antiqua" w:hAnsi="Book Antiqua" w:cs="Arial"/>
        </w:rPr>
        <w:t>the earlier</w:t>
      </w:r>
      <w:r w:rsidR="004C4920">
        <w:rPr>
          <w:rFonts w:ascii="Book Antiqua" w:hAnsi="Book Antiqua" w:cs="Arial"/>
        </w:rPr>
        <w:t xml:space="preserve"> detentions to </w:t>
      </w:r>
      <w:r w:rsidR="00BD32F7">
        <w:rPr>
          <w:rFonts w:ascii="Book Antiqua" w:hAnsi="Book Antiqua" w:cs="Arial"/>
        </w:rPr>
        <w:t>support</w:t>
      </w:r>
      <w:r w:rsidR="004C4920">
        <w:rPr>
          <w:rFonts w:ascii="Book Antiqua" w:hAnsi="Book Antiqua" w:cs="Arial"/>
        </w:rPr>
        <w:t xml:space="preserve"> his current claim to be at risk. On his evidence</w:t>
      </w:r>
      <w:r w:rsidR="00F94CC6">
        <w:rPr>
          <w:rFonts w:ascii="Book Antiqua" w:hAnsi="Book Antiqua" w:cs="Arial"/>
        </w:rPr>
        <w:t>,</w:t>
      </w:r>
      <w:r w:rsidR="004C4920">
        <w:rPr>
          <w:rFonts w:ascii="Book Antiqua" w:hAnsi="Book Antiqua" w:cs="Arial"/>
        </w:rPr>
        <w:t xml:space="preserve"> the first occurred when he was putting up political posters and he had no further problems for a significant period thereafter. The second and third detentions did not appear to be targeted. The appellant did not claim to be a </w:t>
      </w:r>
      <w:r w:rsidR="00BD32F7">
        <w:rPr>
          <w:rFonts w:ascii="Book Antiqua" w:hAnsi="Book Antiqua" w:cs="Arial"/>
        </w:rPr>
        <w:t>high-ranking</w:t>
      </w:r>
      <w:r w:rsidR="004C4920">
        <w:rPr>
          <w:rFonts w:ascii="Book Antiqua" w:hAnsi="Book Antiqua" w:cs="Arial"/>
        </w:rPr>
        <w:t xml:space="preserve"> </w:t>
      </w:r>
      <w:r w:rsidR="00BD32F7">
        <w:rPr>
          <w:rFonts w:ascii="Book Antiqua" w:hAnsi="Book Antiqua" w:cs="Arial"/>
        </w:rPr>
        <w:t xml:space="preserve">or active </w:t>
      </w:r>
      <w:r w:rsidR="004C4920">
        <w:rPr>
          <w:rFonts w:ascii="Book Antiqua" w:hAnsi="Book Antiqua" w:cs="Arial"/>
        </w:rPr>
        <w:t xml:space="preserve">member or supporter of </w:t>
      </w:r>
      <w:r w:rsidR="00BD32F7">
        <w:rPr>
          <w:rFonts w:ascii="Book Antiqua" w:hAnsi="Book Antiqua" w:cs="Arial"/>
        </w:rPr>
        <w:t>predecessor parties. Even if his evidence was taken at its highest, he was detained as part of a general round up at the party building in 2013 and at a demonstration in 2015. The appellant’s account of short term detention in such circumstances was broadly consistent with the backgrou</w:t>
      </w:r>
      <w:r w:rsidR="00F94CC6">
        <w:rPr>
          <w:rFonts w:ascii="Book Antiqua" w:hAnsi="Book Antiqua" w:cs="Arial"/>
        </w:rPr>
        <w:t xml:space="preserve">nd evidence relating to Turkey, but did not show that the authorities targeted the appellant </w:t>
      </w:r>
      <w:r w:rsidR="00815827">
        <w:rPr>
          <w:rFonts w:ascii="Book Antiqua" w:hAnsi="Book Antiqua" w:cs="Arial"/>
        </w:rPr>
        <w:t>because of</w:t>
      </w:r>
      <w:r w:rsidR="00F94CC6">
        <w:rPr>
          <w:rFonts w:ascii="Book Antiqua" w:hAnsi="Book Antiqua" w:cs="Arial"/>
        </w:rPr>
        <w:t xml:space="preserve"> his </w:t>
      </w:r>
      <w:r w:rsidR="00815827">
        <w:rPr>
          <w:rFonts w:ascii="Book Antiqua" w:hAnsi="Book Antiqua" w:cs="Arial"/>
        </w:rPr>
        <w:t>political profile</w:t>
      </w:r>
      <w:r w:rsidR="00F94CC6">
        <w:rPr>
          <w:rFonts w:ascii="Book Antiqua" w:hAnsi="Book Antiqua" w:cs="Arial"/>
        </w:rPr>
        <w:t xml:space="preserve">. </w:t>
      </w:r>
    </w:p>
    <w:p w:rsidR="00BD32F7" w:rsidRDefault="00BD32F7" w:rsidP="00BD32F7">
      <w:pPr>
        <w:tabs>
          <w:tab w:val="left" w:pos="567"/>
        </w:tabs>
        <w:jc w:val="both"/>
        <w:rPr>
          <w:rFonts w:ascii="Book Antiqua" w:hAnsi="Book Antiqua" w:cs="Arial"/>
        </w:rPr>
      </w:pPr>
    </w:p>
    <w:p w:rsidR="00F80002" w:rsidRDefault="00BD32F7" w:rsidP="00F80002">
      <w:pPr>
        <w:tabs>
          <w:tab w:val="left" w:pos="567"/>
        </w:tabs>
        <w:ind w:left="564" w:hanging="564"/>
        <w:jc w:val="both"/>
        <w:rPr>
          <w:rFonts w:ascii="Book Antiqua" w:hAnsi="Book Antiqua" w:cs="Arial"/>
        </w:rPr>
      </w:pPr>
      <w:r>
        <w:rPr>
          <w:rFonts w:ascii="Book Antiqua" w:hAnsi="Book Antiqua" w:cs="Arial"/>
        </w:rPr>
        <w:t>8.</w:t>
      </w:r>
      <w:r>
        <w:rPr>
          <w:rFonts w:ascii="Book Antiqua" w:hAnsi="Book Antiqua" w:cs="Arial"/>
        </w:rPr>
        <w:tab/>
        <w:t xml:space="preserve">The appellant’s claim to be at risk on return at the current time relied on his account of events </w:t>
      </w:r>
      <w:r w:rsidR="00F94CC6">
        <w:rPr>
          <w:rFonts w:ascii="Book Antiqua" w:hAnsi="Book Antiqua" w:cs="Arial"/>
        </w:rPr>
        <w:t>in</w:t>
      </w:r>
      <w:r>
        <w:rPr>
          <w:rFonts w:ascii="Book Antiqua" w:hAnsi="Book Antiqua" w:cs="Arial"/>
        </w:rPr>
        <w:t xml:space="preserve"> December 2016 and early 2017. In this respect, the judge made detailed findings as to why she considered the appellant’s evidence about his activities with the HDP </w:t>
      </w:r>
      <w:r w:rsidR="003B6080">
        <w:rPr>
          <w:rFonts w:ascii="Book Antiqua" w:hAnsi="Book Antiqua" w:cs="Arial"/>
        </w:rPr>
        <w:t>was</w:t>
      </w:r>
      <w:r>
        <w:rPr>
          <w:rFonts w:ascii="Book Antiqua" w:hAnsi="Book Antiqua" w:cs="Arial"/>
        </w:rPr>
        <w:t xml:space="preserve"> inconsistent [</w:t>
      </w:r>
      <w:r w:rsidR="00F80002">
        <w:rPr>
          <w:rFonts w:ascii="Book Antiqua" w:hAnsi="Book Antiqua" w:cs="Arial"/>
        </w:rPr>
        <w:t xml:space="preserve">29]. </w:t>
      </w:r>
    </w:p>
    <w:p w:rsidR="00F80002" w:rsidRDefault="00F80002" w:rsidP="00F80002">
      <w:pPr>
        <w:tabs>
          <w:tab w:val="left" w:pos="567"/>
        </w:tabs>
        <w:jc w:val="both"/>
        <w:rPr>
          <w:rFonts w:ascii="Book Antiqua" w:hAnsi="Book Antiqua" w:cs="Arial"/>
        </w:rPr>
      </w:pPr>
    </w:p>
    <w:p w:rsidR="00F94CC6" w:rsidRDefault="00F80002" w:rsidP="00F80002">
      <w:pPr>
        <w:tabs>
          <w:tab w:val="left" w:pos="567"/>
        </w:tabs>
        <w:ind w:left="564" w:hanging="564"/>
        <w:jc w:val="both"/>
        <w:rPr>
          <w:rFonts w:ascii="Book Antiqua" w:hAnsi="Book Antiqua" w:cs="Arial"/>
        </w:rPr>
      </w:pPr>
      <w:r>
        <w:rPr>
          <w:rFonts w:ascii="Book Antiqua" w:hAnsi="Book Antiqua" w:cs="Arial"/>
        </w:rPr>
        <w:t>9.</w:t>
      </w:r>
      <w:r>
        <w:rPr>
          <w:rFonts w:ascii="Book Antiqua" w:hAnsi="Book Antiqua" w:cs="Arial"/>
        </w:rPr>
        <w:tab/>
        <w:t>The judge did not make specific findings relating to the evidence that supported his claim to be a member of HDP and the Alevi Cultural Association. It appears that she proceeded on the basis that this evidence was likely to be reliable, but questioned the appellant’s motives in joining those organisations shortly before travelling to the UK</w:t>
      </w:r>
      <w:r w:rsidR="003B6080">
        <w:rPr>
          <w:rFonts w:ascii="Book Antiqua" w:hAnsi="Book Antiqua" w:cs="Arial"/>
        </w:rPr>
        <w:t xml:space="preserve"> [30]</w:t>
      </w:r>
      <w:r>
        <w:rPr>
          <w:rFonts w:ascii="Book Antiqua" w:hAnsi="Book Antiqua" w:cs="Arial"/>
        </w:rPr>
        <w:t>.  The evidence before the First-tier Tribunal showed that the appellant made an entry clearance application for a family visit visa in August 2016. He joined the HDP and the Alevi Cultural Association</w:t>
      </w:r>
      <w:r w:rsidR="00F94CC6">
        <w:rPr>
          <w:rFonts w:ascii="Book Antiqua" w:hAnsi="Book Antiqua" w:cs="Arial"/>
        </w:rPr>
        <w:t xml:space="preserve"> after he made the entry clearance application, but shortly before he left to travel to the UK. </w:t>
      </w:r>
    </w:p>
    <w:p w:rsidR="00F94CC6" w:rsidRDefault="00F94CC6" w:rsidP="00F80002">
      <w:pPr>
        <w:tabs>
          <w:tab w:val="left" w:pos="567"/>
        </w:tabs>
        <w:ind w:left="564" w:hanging="564"/>
        <w:jc w:val="both"/>
        <w:rPr>
          <w:rFonts w:ascii="Book Antiqua" w:hAnsi="Book Antiqua" w:cs="Arial"/>
        </w:rPr>
      </w:pPr>
    </w:p>
    <w:p w:rsidR="001C1C70" w:rsidRDefault="00F94CC6" w:rsidP="001C1C70">
      <w:pPr>
        <w:tabs>
          <w:tab w:val="left" w:pos="567"/>
        </w:tabs>
        <w:ind w:left="564" w:hanging="564"/>
        <w:jc w:val="both"/>
        <w:rPr>
          <w:rFonts w:ascii="Book Antiqua" w:hAnsi="Book Antiqua" w:cs="Arial"/>
        </w:rPr>
      </w:pPr>
      <w:r>
        <w:rPr>
          <w:rFonts w:ascii="Book Antiqua" w:hAnsi="Book Antiqua" w:cs="Arial"/>
        </w:rPr>
        <w:t>10.</w:t>
      </w:r>
      <w:r>
        <w:rPr>
          <w:rFonts w:ascii="Book Antiqua" w:hAnsi="Book Antiqua" w:cs="Arial"/>
        </w:rPr>
        <w:tab/>
        <w:t xml:space="preserve">In light of the appellant’s background of low level support for pro-Kurdish parties, there was nothing inherently implausible about the fact that he might support the HDP. However, it was open to the judge to </w:t>
      </w:r>
      <w:r w:rsidR="003B6080">
        <w:rPr>
          <w:rFonts w:ascii="Book Antiqua" w:hAnsi="Book Antiqua" w:cs="Arial"/>
        </w:rPr>
        <w:t>consider</w:t>
      </w:r>
      <w:r>
        <w:rPr>
          <w:rFonts w:ascii="Book Antiqua" w:hAnsi="Book Antiqua" w:cs="Arial"/>
        </w:rPr>
        <w:t xml:space="preserve"> a number of matters that she </w:t>
      </w:r>
      <w:r w:rsidR="003B6080">
        <w:rPr>
          <w:rFonts w:ascii="Book Antiqua" w:hAnsi="Book Antiqua" w:cs="Arial"/>
        </w:rPr>
        <w:t>thought</w:t>
      </w:r>
      <w:r>
        <w:rPr>
          <w:rFonts w:ascii="Book Antiqua" w:hAnsi="Book Antiqua" w:cs="Arial"/>
        </w:rPr>
        <w:t xml:space="preserve"> cast doubt on the appellant’s claim to be at risk as a result of his association with the HDP.  It was open to her to consider apparent inconsistencies in the appellant’s evidence as to when and to what extent he became involved with the HDP. It </w:t>
      </w:r>
      <w:r w:rsidR="00E804C5">
        <w:rPr>
          <w:rFonts w:ascii="Book Antiqua" w:hAnsi="Book Antiqua" w:cs="Arial"/>
        </w:rPr>
        <w:t xml:space="preserve">was also open to her to question the timing of the events when it was clear that the appellant was already planning to travel to the UK. </w:t>
      </w:r>
      <w:r w:rsidR="001C1C70">
        <w:rPr>
          <w:rFonts w:ascii="Book Antiqua" w:hAnsi="Book Antiqua" w:cs="Arial"/>
        </w:rPr>
        <w:t xml:space="preserve">It is understandable that the appellant disagrees with the decision but the judge’s findings were not outside a range of reasonable responses to the evidence. </w:t>
      </w:r>
    </w:p>
    <w:p w:rsidR="00E804C5" w:rsidRDefault="00E804C5" w:rsidP="00F80002">
      <w:pPr>
        <w:tabs>
          <w:tab w:val="left" w:pos="567"/>
        </w:tabs>
        <w:ind w:left="564" w:hanging="564"/>
        <w:jc w:val="both"/>
        <w:rPr>
          <w:rFonts w:ascii="Book Antiqua" w:hAnsi="Book Antiqua" w:cs="Arial"/>
        </w:rPr>
      </w:pPr>
    </w:p>
    <w:p w:rsidR="00F80002" w:rsidRDefault="00E804C5" w:rsidP="00F80002">
      <w:pPr>
        <w:tabs>
          <w:tab w:val="left" w:pos="567"/>
        </w:tabs>
        <w:ind w:left="564" w:hanging="564"/>
        <w:jc w:val="both"/>
        <w:rPr>
          <w:rFonts w:ascii="Book Antiqua" w:hAnsi="Book Antiqua" w:cs="Arial"/>
        </w:rPr>
      </w:pPr>
      <w:r>
        <w:rPr>
          <w:rFonts w:ascii="Book Antiqua" w:hAnsi="Book Antiqua" w:cs="Arial"/>
        </w:rPr>
        <w:t>11.</w:t>
      </w:r>
      <w:r>
        <w:rPr>
          <w:rFonts w:ascii="Book Antiqua" w:hAnsi="Book Antiqua" w:cs="Arial"/>
        </w:rPr>
        <w:tab/>
        <w:t xml:space="preserve">While I accept that the appellant might have been consistent in his evidence as to when and how he sustained an injury to his back, it was open to the judge to consider the evidence given by the other witnesses in assessing the overall credibility of the claim. It seems that some time was taken to clarify his wife’s evidence, which was inconsistent </w:t>
      </w:r>
      <w:r>
        <w:rPr>
          <w:rFonts w:ascii="Book Antiqua" w:hAnsi="Book Antiqua" w:cs="Arial"/>
        </w:rPr>
        <w:lastRenderedPageBreak/>
        <w:t>with that of the appellant [32]. The fact that the appellant’s wife asserted that the injury was sustained during the final detention in December 2016</w:t>
      </w:r>
      <w:r w:rsidR="001C1C70">
        <w:rPr>
          <w:rFonts w:ascii="Book Antiqua" w:hAnsi="Book Antiqua" w:cs="Arial"/>
        </w:rPr>
        <w:t xml:space="preserve"> </w:t>
      </w:r>
      <w:r>
        <w:rPr>
          <w:rFonts w:ascii="Book Antiqua" w:hAnsi="Book Antiqua" w:cs="Arial"/>
        </w:rPr>
        <w:t xml:space="preserve">is a matter that called into question whether she was seeking to exaggerate the claim. It was relevant to the judge’s overall assessment of the credibility of the appellant’s claim to have been detained in December 2016. </w:t>
      </w:r>
    </w:p>
    <w:p w:rsidR="00863098" w:rsidRDefault="00863098" w:rsidP="00D65F0D">
      <w:pPr>
        <w:tabs>
          <w:tab w:val="left" w:pos="567"/>
        </w:tabs>
        <w:ind w:left="564" w:hanging="564"/>
        <w:jc w:val="both"/>
        <w:rPr>
          <w:rFonts w:ascii="Book Antiqua" w:hAnsi="Book Antiqua" w:cs="Arial"/>
        </w:rPr>
      </w:pPr>
    </w:p>
    <w:p w:rsidR="00E804C5" w:rsidRDefault="00E804C5" w:rsidP="00D65F0D">
      <w:pPr>
        <w:tabs>
          <w:tab w:val="left" w:pos="567"/>
        </w:tabs>
        <w:ind w:left="564" w:hanging="564"/>
        <w:jc w:val="both"/>
        <w:rPr>
          <w:rFonts w:ascii="Book Antiqua" w:hAnsi="Book Antiqua" w:cs="Arial"/>
        </w:rPr>
      </w:pPr>
      <w:r>
        <w:rPr>
          <w:rFonts w:ascii="Book Antiqua" w:hAnsi="Book Antiqua" w:cs="Arial"/>
        </w:rPr>
        <w:t>12.</w:t>
      </w:r>
      <w:r>
        <w:rPr>
          <w:rFonts w:ascii="Book Antiqua" w:hAnsi="Book Antiqua" w:cs="Arial"/>
        </w:rPr>
        <w:tab/>
      </w:r>
      <w:r w:rsidR="006E08DE">
        <w:rPr>
          <w:rFonts w:ascii="Book Antiqua" w:hAnsi="Book Antiqua" w:cs="Arial"/>
        </w:rPr>
        <w:t xml:space="preserve">The appellant’s evidence was that he was released from detention </w:t>
      </w:r>
      <w:r w:rsidR="003B6080">
        <w:rPr>
          <w:rFonts w:ascii="Book Antiqua" w:hAnsi="Book Antiqua" w:cs="Arial"/>
        </w:rPr>
        <w:t>after agreeing</w:t>
      </w:r>
      <w:r w:rsidR="006E08DE">
        <w:rPr>
          <w:rFonts w:ascii="Book Antiqua" w:hAnsi="Book Antiqua" w:cs="Arial"/>
        </w:rPr>
        <w:t xml:space="preserve"> to act as an informer, but then failed to report. It seems clear that there was no suggestion from the appellant that a warrant </w:t>
      </w:r>
      <w:r w:rsidR="001C1C70">
        <w:rPr>
          <w:rFonts w:ascii="Book Antiqua" w:hAnsi="Book Antiqua" w:cs="Arial"/>
        </w:rPr>
        <w:t>was</w:t>
      </w:r>
      <w:r w:rsidR="006E08DE">
        <w:rPr>
          <w:rFonts w:ascii="Book Antiqua" w:hAnsi="Book Antiqua" w:cs="Arial"/>
        </w:rPr>
        <w:t xml:space="preserve"> issued for his arrest. Having considered the judge’s finding at [36] I do not read it to suggest that she erroneously thought that the appellant was the subject of an arrest warrant. She stated:</w:t>
      </w:r>
    </w:p>
    <w:p w:rsidR="00605079" w:rsidRPr="009D2199" w:rsidRDefault="006E08DE" w:rsidP="009D2199">
      <w:pPr>
        <w:tabs>
          <w:tab w:val="left" w:pos="567"/>
        </w:tabs>
        <w:spacing w:before="120" w:after="120"/>
        <w:ind w:left="1134" w:right="567"/>
        <w:jc w:val="both"/>
        <w:rPr>
          <w:rFonts w:ascii="Book Antiqua" w:hAnsi="Book Antiqua" w:cs="Arial"/>
          <w:sz w:val="22"/>
          <w:szCs w:val="22"/>
        </w:rPr>
      </w:pPr>
      <w:r w:rsidRPr="009D2199">
        <w:rPr>
          <w:rFonts w:ascii="Book Antiqua" w:hAnsi="Book Antiqua" w:cs="Arial"/>
          <w:sz w:val="22"/>
          <w:szCs w:val="22"/>
        </w:rPr>
        <w:t>“If the Turkish police had an adverse interest in the appellant, and if they had released him on 22</w:t>
      </w:r>
      <w:r w:rsidRPr="009D2199">
        <w:rPr>
          <w:rFonts w:ascii="Book Antiqua" w:hAnsi="Book Antiqua" w:cs="Arial"/>
          <w:sz w:val="22"/>
          <w:szCs w:val="22"/>
          <w:vertAlign w:val="superscript"/>
        </w:rPr>
        <w:t>nd</w:t>
      </w:r>
      <w:r w:rsidRPr="009D2199">
        <w:rPr>
          <w:rFonts w:ascii="Book Antiqua" w:hAnsi="Book Antiqua" w:cs="Arial"/>
          <w:sz w:val="22"/>
          <w:szCs w:val="22"/>
        </w:rPr>
        <w:t xml:space="preserve"> December 2016 on the condition that he agreed to become an informer for them, I find it unlikely that he would have been able to fly out of Istanbul’s main international airport a week later using his own passport without being intercepted by the authorities. I accept that the Turkish border control may be more concerned with people travelling into the country than those leaving it, but I nevertheless consider it likely that a person</w:t>
      </w:r>
      <w:r w:rsidR="00605079" w:rsidRPr="009D2199">
        <w:rPr>
          <w:rFonts w:ascii="Book Antiqua" w:hAnsi="Book Antiqua" w:cs="Arial"/>
          <w:sz w:val="22"/>
          <w:szCs w:val="22"/>
        </w:rPr>
        <w:t xml:space="preserve"> </w:t>
      </w:r>
      <w:r w:rsidR="001C1C70" w:rsidRPr="009D2199">
        <w:rPr>
          <w:rFonts w:ascii="Book Antiqua" w:hAnsi="Book Antiqua" w:cs="Arial"/>
          <w:sz w:val="22"/>
          <w:szCs w:val="22"/>
        </w:rPr>
        <w:t>who</w:t>
      </w:r>
      <w:r w:rsidR="00605079" w:rsidRPr="009D2199">
        <w:rPr>
          <w:rFonts w:ascii="Book Antiqua" w:hAnsi="Book Antiqua" w:cs="Arial"/>
          <w:sz w:val="22"/>
          <w:szCs w:val="22"/>
        </w:rPr>
        <w:t xml:space="preserve"> is the subject of an arrest warrant, or who is otherwise of significant adverse interest to the authorities, would appear on some sort of database accessible to the authorities at Ataturk airport.”</w:t>
      </w:r>
    </w:p>
    <w:p w:rsidR="006E08DE" w:rsidRDefault="00605079" w:rsidP="00605079">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The use of the phrase “subject of an arrest warrant, </w:t>
      </w:r>
      <w:r w:rsidRPr="00605079">
        <w:rPr>
          <w:rFonts w:ascii="Book Antiqua" w:hAnsi="Book Antiqua" w:cs="Arial"/>
          <w:b/>
          <w:u w:val="single"/>
        </w:rPr>
        <w:t>or</w:t>
      </w:r>
      <w:r>
        <w:rPr>
          <w:rFonts w:ascii="Book Antiqua" w:hAnsi="Book Antiqua" w:cs="Arial"/>
        </w:rPr>
        <w:t xml:space="preserve"> who is otherwise of significant adverse interest” [my emphasis] indicates that the judge was using this as an illustration rather than suggesting that the appellant in this case was the subject of an arrest warrant. On closer analysis the judge’s finding does not disclose a material error of fact. It was open to her to consider whether it was plausible that the appellant could leave the country in the way he described if he was of adverse interest to the authorities as claimed. </w:t>
      </w:r>
    </w:p>
    <w:p w:rsidR="003B6080" w:rsidRDefault="003B6080" w:rsidP="00605079">
      <w:pPr>
        <w:tabs>
          <w:tab w:val="left" w:pos="567"/>
        </w:tabs>
        <w:ind w:left="567" w:hanging="567"/>
        <w:jc w:val="both"/>
        <w:rPr>
          <w:rFonts w:ascii="Book Antiqua" w:hAnsi="Book Antiqua" w:cs="Arial"/>
        </w:rPr>
      </w:pPr>
    </w:p>
    <w:p w:rsidR="003B6080" w:rsidRDefault="003B6080" w:rsidP="00605079">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Having considered the evidence as a whole I am satisfied that any omissions </w:t>
      </w:r>
      <w:r w:rsidR="001C1C70">
        <w:rPr>
          <w:rFonts w:ascii="Book Antiqua" w:hAnsi="Book Antiqua" w:cs="Arial"/>
        </w:rPr>
        <w:t xml:space="preserve">in </w:t>
      </w:r>
      <w:r>
        <w:rPr>
          <w:rFonts w:ascii="Book Antiqua" w:hAnsi="Book Antiqua" w:cs="Arial"/>
        </w:rPr>
        <w:t xml:space="preserve">the judge’s </w:t>
      </w:r>
      <w:r w:rsidR="001C1C70">
        <w:rPr>
          <w:rFonts w:ascii="Book Antiqua" w:hAnsi="Book Antiqua" w:cs="Arial"/>
        </w:rPr>
        <w:t>reasoning d</w:t>
      </w:r>
      <w:r>
        <w:rPr>
          <w:rFonts w:ascii="Book Antiqua" w:hAnsi="Book Antiqua" w:cs="Arial"/>
        </w:rPr>
        <w:t xml:space="preserve">o not undermine her overall credibility findings </w:t>
      </w:r>
      <w:r w:rsidR="001C1C70">
        <w:rPr>
          <w:rFonts w:ascii="Book Antiqua" w:hAnsi="Book Antiqua" w:cs="Arial"/>
        </w:rPr>
        <w:t>to extent that</w:t>
      </w:r>
      <w:r>
        <w:rPr>
          <w:rFonts w:ascii="Book Antiqua" w:hAnsi="Book Antiqua" w:cs="Arial"/>
        </w:rPr>
        <w:t xml:space="preserve"> they </w:t>
      </w:r>
      <w:r w:rsidR="001C1C70">
        <w:rPr>
          <w:rFonts w:ascii="Book Antiqua" w:hAnsi="Book Antiqua" w:cs="Arial"/>
        </w:rPr>
        <w:t xml:space="preserve">must </w:t>
      </w:r>
      <w:r>
        <w:rPr>
          <w:rFonts w:ascii="Book Antiqua" w:hAnsi="Book Antiqua" w:cs="Arial"/>
        </w:rPr>
        <w:t>be set aside.</w:t>
      </w:r>
    </w:p>
    <w:p w:rsidR="003B6080" w:rsidRDefault="003B6080" w:rsidP="00605079">
      <w:pPr>
        <w:tabs>
          <w:tab w:val="left" w:pos="567"/>
        </w:tabs>
        <w:ind w:left="567" w:hanging="567"/>
        <w:jc w:val="both"/>
        <w:rPr>
          <w:rFonts w:ascii="Book Antiqua" w:hAnsi="Book Antiqua" w:cs="Arial"/>
        </w:rPr>
      </w:pPr>
    </w:p>
    <w:p w:rsidR="00951D6B" w:rsidRDefault="003B6080" w:rsidP="00605079">
      <w:pPr>
        <w:tabs>
          <w:tab w:val="left" w:pos="567"/>
        </w:tabs>
        <w:ind w:left="567" w:hanging="567"/>
        <w:jc w:val="both"/>
        <w:rPr>
          <w:rFonts w:ascii="Book Antiqua" w:hAnsi="Book Antiqua" w:cs="Arial"/>
        </w:rPr>
      </w:pPr>
      <w:r>
        <w:rPr>
          <w:rFonts w:ascii="Book Antiqua" w:hAnsi="Book Antiqua" w:cs="Arial"/>
        </w:rPr>
        <w:t>15.</w:t>
      </w:r>
      <w:r>
        <w:rPr>
          <w:rFonts w:ascii="Book Antiqua" w:hAnsi="Book Antiqua" w:cs="Arial"/>
        </w:rPr>
        <w:tab/>
        <w:t>The final ground of appeal attacks the judge’s findings relating to risk on return [</w:t>
      </w:r>
      <w:r w:rsidR="005C4B36">
        <w:rPr>
          <w:rFonts w:ascii="Book Antiqua" w:hAnsi="Book Antiqua" w:cs="Arial"/>
        </w:rPr>
        <w:t xml:space="preserve">42]. At this stage the judge considered the appellant’s claim at its highest with reference to up to date background evidence. The ground refers to the country guidance decision in </w:t>
      </w:r>
      <w:r w:rsidR="005C4B36" w:rsidRPr="005C4B36">
        <w:rPr>
          <w:rFonts w:ascii="Book Antiqua" w:hAnsi="Book Antiqua" w:cs="Arial"/>
          <w:i/>
        </w:rPr>
        <w:t>IK (Turkey)</w:t>
      </w:r>
      <w:r w:rsidR="005C4B36">
        <w:rPr>
          <w:rFonts w:ascii="Book Antiqua" w:hAnsi="Book Antiqua" w:cs="Arial"/>
        </w:rPr>
        <w:t xml:space="preserve">, but fails to particularise how or why the judge’s findings amount to an error of law. </w:t>
      </w:r>
    </w:p>
    <w:p w:rsidR="00951D6B" w:rsidRDefault="00951D6B" w:rsidP="00605079">
      <w:pPr>
        <w:tabs>
          <w:tab w:val="left" w:pos="567"/>
        </w:tabs>
        <w:ind w:left="567" w:hanging="567"/>
        <w:jc w:val="both"/>
        <w:rPr>
          <w:rFonts w:ascii="Book Antiqua" w:hAnsi="Book Antiqua" w:cs="Arial"/>
        </w:rPr>
      </w:pPr>
    </w:p>
    <w:p w:rsidR="003B6080" w:rsidRDefault="00951D6B" w:rsidP="00605079">
      <w:pPr>
        <w:tabs>
          <w:tab w:val="left" w:pos="567"/>
        </w:tabs>
        <w:ind w:left="567" w:hanging="567"/>
        <w:jc w:val="both"/>
        <w:rPr>
          <w:rFonts w:ascii="Book Antiqua" w:hAnsi="Book Antiqua" w:cs="Arial"/>
        </w:rPr>
      </w:pPr>
      <w:r>
        <w:rPr>
          <w:rFonts w:ascii="Book Antiqua" w:hAnsi="Book Antiqua" w:cs="Arial"/>
        </w:rPr>
        <w:t>16.</w:t>
      </w:r>
      <w:r>
        <w:rPr>
          <w:rFonts w:ascii="Book Antiqua" w:hAnsi="Book Antiqua" w:cs="Arial"/>
        </w:rPr>
        <w:tab/>
      </w:r>
      <w:r w:rsidR="005C4B36">
        <w:rPr>
          <w:rFonts w:ascii="Book Antiqua" w:hAnsi="Book Antiqua" w:cs="Arial"/>
        </w:rPr>
        <w:t xml:space="preserve">I accept that country guidance decisions of the Upper Tribunal </w:t>
      </w:r>
      <w:r>
        <w:rPr>
          <w:rFonts w:ascii="Book Antiqua" w:hAnsi="Book Antiqua" w:cs="Arial"/>
        </w:rPr>
        <w:t xml:space="preserve">have long recognised </w:t>
      </w:r>
      <w:r w:rsidR="005C4B36">
        <w:rPr>
          <w:rFonts w:ascii="Book Antiqua" w:hAnsi="Book Antiqua" w:cs="Arial"/>
        </w:rPr>
        <w:t>that the Turkish authorities</w:t>
      </w:r>
      <w:r>
        <w:rPr>
          <w:rFonts w:ascii="Book Antiqua" w:hAnsi="Book Antiqua" w:cs="Arial"/>
        </w:rPr>
        <w:t xml:space="preserve"> </w:t>
      </w:r>
      <w:r w:rsidR="005C4B36">
        <w:rPr>
          <w:rFonts w:ascii="Book Antiqua" w:hAnsi="Book Antiqua" w:cs="Arial"/>
        </w:rPr>
        <w:t xml:space="preserve">often target opponents through a pattern of short term arrest and then release from detention. I accept that in certain cases this could give rise to a well-founded fear of persecution. To this extent, the judge’s finding that the mere fact of release shows no further interest would not be sufficient, if taken alone, to justify a conclusion that there was no risk on return. However, I have already outlined </w:t>
      </w:r>
      <w:r>
        <w:rPr>
          <w:rFonts w:ascii="Book Antiqua" w:hAnsi="Book Antiqua" w:cs="Arial"/>
        </w:rPr>
        <w:t xml:space="preserve">the nature of the appellant’s previous detentions. None of them showed a pattern of </w:t>
      </w:r>
      <w:r>
        <w:rPr>
          <w:rFonts w:ascii="Book Antiqua" w:hAnsi="Book Antiqua" w:cs="Arial"/>
        </w:rPr>
        <w:lastRenderedPageBreak/>
        <w:t>targeting. The judge was required to consider up to date evidence relating to the risk to low level HDP supporters, which she did. The evidence she referred to indicated that low level HDP support</w:t>
      </w:r>
      <w:r w:rsidR="001C1C70">
        <w:rPr>
          <w:rFonts w:ascii="Book Antiqua" w:hAnsi="Book Antiqua" w:cs="Arial"/>
        </w:rPr>
        <w:t>er</w:t>
      </w:r>
      <w:r>
        <w:rPr>
          <w:rFonts w:ascii="Book Antiqua" w:hAnsi="Book Antiqua" w:cs="Arial"/>
        </w:rPr>
        <w:t xml:space="preserve">s would not generally be targeted by the authorities. When ordinary members had problems, it </w:t>
      </w:r>
      <w:r w:rsidR="001C1C70">
        <w:rPr>
          <w:rFonts w:ascii="Book Antiqua" w:hAnsi="Book Antiqua" w:cs="Arial"/>
        </w:rPr>
        <w:t>was generally when</w:t>
      </w:r>
      <w:r>
        <w:rPr>
          <w:rFonts w:ascii="Book Antiqua" w:hAnsi="Book Antiqua" w:cs="Arial"/>
        </w:rPr>
        <w:t xml:space="preserve"> they were participating in demonstrations and rallies. </w:t>
      </w:r>
      <w:r w:rsidR="00627918">
        <w:rPr>
          <w:rFonts w:ascii="Book Antiqua" w:hAnsi="Book Antiqua" w:cs="Arial"/>
        </w:rPr>
        <w:t>Having rejected the credibility of the appellant’s account of the final detention in December 2016 it was open to the judge</w:t>
      </w:r>
      <w:r w:rsidR="001C1C70">
        <w:rPr>
          <w:rFonts w:ascii="Book Antiqua" w:hAnsi="Book Antiqua" w:cs="Arial"/>
        </w:rPr>
        <w:t xml:space="preserve"> to conclude that there was no </w:t>
      </w:r>
      <w:r w:rsidR="00627918">
        <w:rPr>
          <w:rFonts w:ascii="Book Antiqua" w:hAnsi="Book Antiqua" w:cs="Arial"/>
        </w:rPr>
        <w:t xml:space="preserve">real risk of the appellant coming to the adverse attention of the authorities on return. It was open to her to take into account the fact that the appellant, albeit Kurdish, did not live in an area of separatist activity, and was unlikely to come under suspicion for that reason [44]. </w:t>
      </w:r>
      <w:r>
        <w:rPr>
          <w:rFonts w:ascii="Book Antiqua" w:hAnsi="Book Antiqua" w:cs="Arial"/>
        </w:rPr>
        <w:t xml:space="preserve"> </w:t>
      </w:r>
    </w:p>
    <w:p w:rsidR="00796EC0" w:rsidRDefault="00796EC0" w:rsidP="00796EC0">
      <w:pPr>
        <w:tabs>
          <w:tab w:val="left" w:pos="567"/>
        </w:tabs>
        <w:jc w:val="both"/>
        <w:rPr>
          <w:rFonts w:ascii="Book Antiqua" w:hAnsi="Book Antiqua" w:cs="Arial"/>
        </w:rPr>
      </w:pPr>
    </w:p>
    <w:p w:rsidR="00627918" w:rsidRDefault="00627918" w:rsidP="00627918">
      <w:pPr>
        <w:tabs>
          <w:tab w:val="left" w:pos="567"/>
        </w:tabs>
        <w:ind w:left="564" w:hanging="564"/>
        <w:jc w:val="both"/>
        <w:rPr>
          <w:rFonts w:ascii="Book Antiqua" w:hAnsi="Book Antiqua" w:cs="Arial"/>
        </w:rPr>
      </w:pPr>
      <w:r>
        <w:rPr>
          <w:rFonts w:ascii="Book Antiqua" w:hAnsi="Book Antiqua" w:cs="Arial"/>
        </w:rPr>
        <w:t>17.</w:t>
      </w:r>
      <w:r>
        <w:rPr>
          <w:rFonts w:ascii="Book Antiqua" w:hAnsi="Book Antiqua" w:cs="Arial"/>
        </w:rPr>
        <w:tab/>
        <w:t xml:space="preserve">For the reasons given above, I conclude that the First-tier Tribunal decision did not involve the making of any material errors of law. There are no grounds to justify setting aside the decision. </w:t>
      </w:r>
    </w:p>
    <w:p w:rsidR="00627918" w:rsidRDefault="00627918" w:rsidP="00796EC0">
      <w:pPr>
        <w:tabs>
          <w:tab w:val="left" w:pos="567"/>
        </w:tabs>
        <w:jc w:val="both"/>
        <w:rPr>
          <w:rFonts w:ascii="Book Antiqua" w:hAnsi="Book Antiqua" w:cs="Arial"/>
        </w:rPr>
      </w:pPr>
    </w:p>
    <w:p w:rsidR="009D2199" w:rsidRDefault="009D2199" w:rsidP="00933B65">
      <w:pPr>
        <w:tabs>
          <w:tab w:val="left" w:pos="567"/>
        </w:tabs>
        <w:jc w:val="both"/>
        <w:rPr>
          <w:rFonts w:ascii="Book Antiqua" w:hAnsi="Book Antiqua" w:cs="Arial"/>
          <w:b/>
          <w:u w:val="single"/>
        </w:rPr>
      </w:pPr>
    </w:p>
    <w:p w:rsidR="00796EC0" w:rsidRPr="00796EC0" w:rsidRDefault="00796EC0" w:rsidP="00933B65">
      <w:pPr>
        <w:tabs>
          <w:tab w:val="left" w:pos="567"/>
        </w:tabs>
        <w:jc w:val="both"/>
        <w:rPr>
          <w:rFonts w:ascii="Book Antiqua" w:hAnsi="Book Antiqua" w:cs="Arial"/>
          <w:b/>
          <w:u w:val="single"/>
        </w:rPr>
      </w:pPr>
      <w:r w:rsidRPr="00796EC0">
        <w:rPr>
          <w:rFonts w:ascii="Book Antiqua" w:hAnsi="Book Antiqua" w:cs="Arial"/>
          <w:b/>
          <w:u w:val="single"/>
        </w:rPr>
        <w:t>DECISION</w:t>
      </w:r>
    </w:p>
    <w:p w:rsidR="00796EC0" w:rsidRDefault="00796EC0" w:rsidP="00933B65">
      <w:pPr>
        <w:tabs>
          <w:tab w:val="left" w:pos="567"/>
        </w:tabs>
        <w:jc w:val="both"/>
        <w:rPr>
          <w:rFonts w:ascii="Book Antiqua" w:hAnsi="Book Antiqua" w:cs="Arial"/>
        </w:rPr>
      </w:pPr>
    </w:p>
    <w:p w:rsidR="00796EC0" w:rsidRDefault="00605079" w:rsidP="00933B65">
      <w:pPr>
        <w:tabs>
          <w:tab w:val="left" w:pos="567"/>
        </w:tabs>
        <w:jc w:val="both"/>
        <w:rPr>
          <w:rFonts w:ascii="Book Antiqua" w:hAnsi="Book Antiqua" w:cs="Arial"/>
        </w:rPr>
      </w:pPr>
      <w:r>
        <w:rPr>
          <w:rFonts w:ascii="Book Antiqua" w:hAnsi="Book Antiqua" w:cs="Arial"/>
        </w:rPr>
        <w:t>The First-tier Tribunal decision did not involve the making of a material error of law</w:t>
      </w:r>
    </w:p>
    <w:p w:rsidR="00605079" w:rsidRDefault="00A7158A" w:rsidP="00933B65">
      <w:pPr>
        <w:tabs>
          <w:tab w:val="left" w:pos="567"/>
        </w:tabs>
        <w:jc w:val="both"/>
        <w:rPr>
          <w:rFonts w:ascii="Book Antiqua" w:hAnsi="Book Antiqua" w:cs="Arial"/>
        </w:rPr>
      </w:pPr>
      <w:r>
        <w:rPr>
          <w:noProof/>
        </w:rPr>
        <mc:AlternateContent>
          <mc:Choice Requires="wpi">
            <w:drawing>
              <wp:anchor distT="0" distB="0" distL="114300" distR="114300" simplePos="0" relativeHeight="251657728" behindDoc="0" locked="0" layoutInCell="1" allowOverlap="1">
                <wp:simplePos x="0" y="0"/>
                <wp:positionH relativeFrom="column">
                  <wp:posOffset>6817360</wp:posOffset>
                </wp:positionH>
                <wp:positionV relativeFrom="paragraph">
                  <wp:posOffset>172720</wp:posOffset>
                </wp:positionV>
                <wp:extent cx="34925" cy="27305"/>
                <wp:effectExtent l="60325" t="64135" r="47625" b="51435"/>
                <wp:wrapNone/>
                <wp:docPr id="3"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rrowheads="1"/>
                        </w14:cNvContentPartPr>
                      </w14:nvContentPartPr>
                      <w14:xfrm>
                        <a:off x="0" y="0"/>
                        <a:ext cx="34925" cy="27305"/>
                      </w14:xfrm>
                    </w14:contentPart>
                  </a:graphicData>
                </a:graphic>
                <wp14:sizeRelH relativeFrom="page">
                  <wp14:pctWidth>0</wp14:pctWidth>
                </wp14:sizeRelH>
                <wp14:sizeRelV relativeFrom="page">
                  <wp14:pctHeight>0</wp14:pctHeight>
                </wp14:sizeRelV>
              </wp:anchor>
            </w:drawing>
          </mc:Choice>
          <mc:Fallback>
            <w:pict>
              <v:shapetype w14:anchorId="582759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36.1pt;margin-top:12.75pt;width:4.15pt;height: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NQOzBAQAAtgMAAA4AAABkcnMvZTJvRG9jLnhtbJyTYWvbMBCGvw/2&#10;H4S+L7biNG1MnDIaCoWuC2X7AZosxaKWzpyUOP33O9txk7Yrg34x6M66e973Tsvrg6vZXmOw4Asu&#10;Jiln2isord8W/Pev229XnIUofSlr8Lrgzzrw69XXL8u2yfUUKqhLjYyK+JC3TcGrGJs8SYKqtJNh&#10;Ao32lDSATkY64jYpUbZU3dXJNE3nSQtYNghKh0DR9ZDkq76+MVrFn8YEHVld8IWYE00kzHQuFpxh&#10;wa8uM8HZny4kRMaT1VLmW5RNZdURSn6CyUnrCeGl1FpGyXZo35VyViEEMHGiwCVgjFW6V0TaRPpG&#10;251/6nSJmdphrsBH7eNGYhzd6xOfaeFqsqD9ASXNR+4i8GNF8uf/4xig16B2jniGmaCuZaSFCJVt&#10;Avmc27LgeFeKE7/f35wUbPCk62G/Qdb9n3HmpSMk0s1EN5pR+sPbu1LMctXcg3oK49TE7B38P80+&#10;btPgdz835uERuiWh/nBTSb/V3xGhrbQsQxcmkuRDlDHzkb6DQddtBtnGDgWn5/LcffvF04fIFAWz&#10;2WJ6wZmizPQySy/OOw73xy5nW0BQr/bt/NwBnz231V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9cYsa3wAAAAsBAAAPAAAAZHJzL2Rvd25yZXYueG1sTI/BTsMwDIbvSLxD&#10;ZCQuiCXtVjaVphNCgsNujAlxzBqTVmucqsm28vZ4J3bzL3/6/blaT74XJxxjF0hDNlMgkJpgO3Ia&#10;dp9vjysQMRmypg+EGn4xwrq+valMacOZPvC0TU5wCcXSaGhTGkopY9OiN3EWBiTe/YTRm8RxdNKO&#10;5szlvpe5Uk/Sm474QmsGfG2xOWyPXsNDXCzdbuqsd1/F+/dmY7PFwWp9fze9PINIOKV/GC76rA41&#10;O+3DkWwUPWe1zHNmNeRFAeJCqJXiaa9hPs9A1pW8/qH+AwAA//8DAFBLAwQUAAYACAAAACEAVaZF&#10;lsYBAABsBAAAEAAAAGRycy9pbmsvaW5rMS54bWy0k0Fv2yAUx++T9h0QO+Qy2+C4c2LV6WmRJm3S&#10;tHbSdnRtGqMaiADHybffMybEVdOdNsmy4MH7896PP7d3R9GhA9OGK1liGhOMmKxVw+WuxD8fttEK&#10;I2Mr2VSdkqzEJ2bw3eb9u1sun0VXwB+BgjTjSHQlbq3dF0kyDEM8LGOld0lKyDL5Ip+/fcUbn9Ww&#10;Jy65hSPNOVQradnRjmIFb0pc2yMJ+0H7XvW6ZmF5jOj6ssPqqmZbpUVlg2JbSck6JCsBdf/CyJ72&#10;MOBwzo5pjASHhqM0plmerT6vIVAdSzyb91CigUoETq5r/v4PmtvXmmNZyzT/lGPkS2rYYawpccyL&#10;t3v/rtWeacvZBfMExS+cUD3NHZ8JlGZGdf14Nxgdqq4HZJQQsIU/myZXgLzWAzb/VA+4vKk3L+4l&#10;Gt/enIOHFix1vlrLBQOji33wmDUgPIbvrXbPISV0FZGbiJIHmhV0BV9MSTq7Cu/is+aj7k0b9B71&#10;xa9uJVCbOht4Y9sAncQkS7OAfQ79WnLL+K61f8/2rbv04J4rb9EZCvlefrCnEn9wzxG5zCngmsnX&#10;iCBnzY+LKF8vbpYL8sKV4RTAvfkDAAD//wMAUEsBAi0AFAAGAAgAAAAhAJszJzcMAQAALQIAABMA&#10;AAAAAAAAAAAAAAAAAAAAAFtDb250ZW50X1R5cGVzXS54bWxQSwECLQAUAAYACAAAACEAOP0h/9YA&#10;AACUAQAACwAAAAAAAAAAAAAAAAA9AQAAX3JlbHMvLnJlbHNQSwECLQAUAAYACAAAACEAqo1A7MEB&#10;AAC2AwAADgAAAAAAAAAAAAAAAAA8AgAAZHJzL2Uyb0RvYy54bWxQSwECLQAUAAYACAAAACEAeRi8&#10;nb8AAAAhAQAAGQAAAAAAAAAAAAAAAAApBAAAZHJzL19yZWxzL2Uyb0RvYy54bWwucmVsc1BLAQIt&#10;ABQABgAIAAAAIQD9cYsa3wAAAAsBAAAPAAAAAAAAAAAAAAAAAB8FAABkcnMvZG93bnJldi54bWxQ&#10;SwECLQAUAAYACAAAACEAVaZFlsYBAABsBAAAEAAAAAAAAAAAAAAAAAArBgAAZHJzL2luay9pbmsx&#10;LnhtbFBLBQYAAAAABgAGAHgBAAAfCAAAAAA=&#10;">
                <v:imagedata r:id="rId9" o:title=""/>
                <o:lock v:ext="edit" rotation="t" aspectratio="f"/>
              </v:shape>
            </w:pict>
          </mc:Fallback>
        </mc:AlternateContent>
      </w:r>
    </w:p>
    <w:p w:rsidR="00605079" w:rsidRDefault="00605079" w:rsidP="00933B65">
      <w:pPr>
        <w:tabs>
          <w:tab w:val="left" w:pos="567"/>
        </w:tabs>
        <w:jc w:val="both"/>
        <w:rPr>
          <w:rFonts w:ascii="Book Antiqua" w:hAnsi="Book Antiqua" w:cs="Arial"/>
        </w:rPr>
      </w:pPr>
      <w:r>
        <w:rPr>
          <w:rFonts w:ascii="Book Antiqua" w:hAnsi="Book Antiqua" w:cs="Arial"/>
        </w:rPr>
        <w:t>The decision shall stand</w:t>
      </w:r>
    </w:p>
    <w:p w:rsidR="00605079" w:rsidRDefault="00605079" w:rsidP="00933B65">
      <w:pPr>
        <w:tabs>
          <w:tab w:val="left" w:pos="567"/>
        </w:tabs>
        <w:jc w:val="both"/>
        <w:rPr>
          <w:rFonts w:ascii="Book Antiqua" w:hAnsi="Book Antiqua" w:cs="Arial"/>
        </w:rPr>
      </w:pPr>
    </w:p>
    <w:p w:rsidR="00796EC0" w:rsidRDefault="00796EC0" w:rsidP="00933B65">
      <w:pPr>
        <w:tabs>
          <w:tab w:val="left" w:pos="567"/>
        </w:tabs>
        <w:jc w:val="both"/>
        <w:rPr>
          <w:rFonts w:ascii="Book Antiqua" w:hAnsi="Book Antiqua" w:cs="Arial"/>
        </w:rPr>
      </w:pPr>
    </w:p>
    <w:p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A7158A" w:rsidRPr="000A38E1">
        <w:rPr>
          <w:rFonts w:ascii="Book Antiqua" w:hAnsi="Book Antiqua" w:cs="Arial"/>
          <w:noProof/>
        </w:rPr>
        <w:drawing>
          <wp:inline distT="0" distB="0" distL="0" distR="0">
            <wp:extent cx="1384300" cy="374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4300" cy="374650"/>
                    </a:xfrm>
                    <a:prstGeom prst="rect">
                      <a:avLst/>
                    </a:prstGeom>
                    <a:noFill/>
                    <a:ln>
                      <a:noFill/>
                    </a:ln>
                  </pic:spPr>
                </pic:pic>
              </a:graphicData>
            </a:graphic>
          </wp:inline>
        </w:drawing>
      </w:r>
      <w:r w:rsidR="00A57676">
        <w:rPr>
          <w:rFonts w:ascii="Book Antiqua" w:hAnsi="Book Antiqua" w:cs="Arial"/>
        </w:rPr>
        <w:tab/>
      </w:r>
      <w:r>
        <w:rPr>
          <w:rFonts w:ascii="Book Antiqua" w:hAnsi="Book Antiqua" w:cs="Arial"/>
        </w:rPr>
        <w:t>Date</w:t>
      </w:r>
      <w:r w:rsidR="00056E7C">
        <w:rPr>
          <w:rFonts w:ascii="Book Antiqua" w:hAnsi="Book Antiqua" w:cs="Arial"/>
        </w:rPr>
        <w:t xml:space="preserve"> </w:t>
      </w:r>
      <w:r w:rsidR="007A6E76">
        <w:rPr>
          <w:rFonts w:ascii="Book Antiqua" w:hAnsi="Book Antiqua" w:cs="Arial"/>
        </w:rPr>
        <w:t xml:space="preserve">10 May 2018 </w:t>
      </w:r>
    </w:p>
    <w:p w:rsidR="00270D89" w:rsidRDefault="00546523" w:rsidP="00933B65">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p w:rsidR="00546523" w:rsidRDefault="00546523" w:rsidP="00933B65">
      <w:pPr>
        <w:tabs>
          <w:tab w:val="left" w:pos="567"/>
        </w:tabs>
        <w:jc w:val="both"/>
        <w:rPr>
          <w:rFonts w:ascii="Book Antiqua" w:hAnsi="Book Antiqua" w:cs="Arial"/>
        </w:rPr>
      </w:pPr>
    </w:p>
    <w:p w:rsidR="00BB40C3" w:rsidRDefault="00BB40C3" w:rsidP="00546523">
      <w:pPr>
        <w:tabs>
          <w:tab w:val="left" w:pos="567"/>
        </w:tabs>
        <w:jc w:val="both"/>
        <w:rPr>
          <w:rFonts w:ascii="Book Antiqua" w:hAnsi="Book Antiqua" w:cs="Arial"/>
          <w:u w:val="single"/>
        </w:rPr>
      </w:pPr>
    </w:p>
    <w:p w:rsidR="00546523" w:rsidRDefault="00546523" w:rsidP="00933B65">
      <w:pPr>
        <w:tabs>
          <w:tab w:val="left" w:pos="567"/>
        </w:tabs>
        <w:jc w:val="both"/>
        <w:rPr>
          <w:rFonts w:ascii="Book Antiqua" w:hAnsi="Book Antiqua" w:cs="Arial"/>
        </w:rPr>
      </w:pPr>
    </w:p>
    <w:p w:rsidR="00933B65" w:rsidRDefault="00933B65" w:rsidP="00933B65">
      <w:pPr>
        <w:tabs>
          <w:tab w:val="left" w:pos="567"/>
        </w:tabs>
        <w:jc w:val="both"/>
        <w:rPr>
          <w:rFonts w:ascii="Book Antiqua" w:hAnsi="Book Antiqua" w:cs="Arial"/>
        </w:rPr>
      </w:pPr>
    </w:p>
    <w:p w:rsidR="00933B65" w:rsidRDefault="00933B65" w:rsidP="008832E8">
      <w:pPr>
        <w:tabs>
          <w:tab w:val="left" w:pos="567"/>
        </w:tabs>
        <w:ind w:left="567"/>
        <w:jc w:val="both"/>
        <w:rPr>
          <w:rFonts w:ascii="Book Antiqua" w:hAnsi="Book Antiqua" w:cs="Arial"/>
        </w:rPr>
      </w:pPr>
      <w:r>
        <w:rPr>
          <w:rFonts w:ascii="Book Antiqua" w:hAnsi="Book Antiqua" w:cs="Arial"/>
        </w:rPr>
        <w:tab/>
      </w:r>
    </w:p>
    <w:p w:rsidR="008832E8" w:rsidRDefault="008832E8" w:rsidP="00933B65">
      <w:pPr>
        <w:tabs>
          <w:tab w:val="left" w:pos="567"/>
        </w:tabs>
        <w:ind w:left="567"/>
        <w:jc w:val="both"/>
        <w:rPr>
          <w:rFonts w:ascii="Book Antiqua" w:hAnsi="Book Antiqua" w:cs="Arial"/>
        </w:rPr>
      </w:pPr>
    </w:p>
    <w:sectPr w:rsidR="008832E8" w:rsidSect="00614E94">
      <w:headerReference w:type="default" r:id="rId11"/>
      <w:footerReference w:type="defaul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45F" w:rsidRDefault="0058345F">
      <w:r>
        <w:separator/>
      </w:r>
    </w:p>
  </w:endnote>
  <w:endnote w:type="continuationSeparator" w:id="0">
    <w:p w:rsidR="0058345F" w:rsidRDefault="00583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593795" w:rsidRDefault="00F75541"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234939">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090CF9" w:rsidRDefault="00F75541" w:rsidP="00614E94">
    <w:pPr>
      <w:jc w:val="center"/>
      <w:rPr>
        <w:rFonts w:ascii="Arial" w:hAnsi="Arial" w:cs="Arial"/>
        <w:b/>
      </w:rPr>
    </w:pPr>
    <w:r w:rsidRPr="00090CF9">
      <w:rPr>
        <w:rFonts w:ascii="Arial" w:hAnsi="Arial" w:cs="Arial"/>
        <w:b/>
        <w:spacing w:val="-6"/>
      </w:rPr>
      <w:t>©</w:t>
    </w:r>
    <w:r w:rsidR="00816668">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45F" w:rsidRDefault="0058345F">
      <w:r>
        <w:separator/>
      </w:r>
    </w:p>
  </w:footnote>
  <w:footnote w:type="continuationSeparator" w:id="0">
    <w:p w:rsidR="0058345F" w:rsidRDefault="00583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453" w:rsidRPr="00CF2453" w:rsidRDefault="00F75541" w:rsidP="00CF2453">
    <w:pPr>
      <w:tabs>
        <w:tab w:val="right" w:pos="9720"/>
      </w:tabs>
      <w:ind w:right="-82"/>
      <w:jc w:val="right"/>
      <w:rPr>
        <w:rFonts w:ascii="Book Antiqua" w:hAnsi="Book Antiqua" w:cs="Arial"/>
        <w:color w:val="000000"/>
        <w:sz w:val="16"/>
        <w:szCs w:val="16"/>
      </w:rPr>
    </w:pPr>
    <w:r w:rsidRPr="001C2435">
      <w:rPr>
        <w:rFonts w:ascii="Book Antiqua" w:hAnsi="Book Antiqua" w:cs="Arial"/>
        <w:sz w:val="16"/>
        <w:szCs w:val="16"/>
      </w:rPr>
      <w:t>Appeal Number</w:t>
    </w:r>
    <w:r w:rsidR="008F0F73">
      <w:rPr>
        <w:rFonts w:ascii="Book Antiqua" w:hAnsi="Book Antiqua" w:cs="Arial"/>
        <w:sz w:val="16"/>
        <w:szCs w:val="16"/>
      </w:rPr>
      <w:t xml:space="preserve">: </w:t>
    </w:r>
    <w:r w:rsidR="00314A41" w:rsidRPr="00314A41">
      <w:rPr>
        <w:rFonts w:ascii="Book Antiqua" w:hAnsi="Book Antiqua" w:cs="Arial"/>
        <w:color w:val="000000"/>
        <w:sz w:val="16"/>
        <w:szCs w:val="16"/>
      </w:rPr>
      <w:t>PA/08192/2017</w:t>
    </w:r>
  </w:p>
  <w:p w:rsidR="00F75541" w:rsidRPr="001C2435" w:rsidRDefault="00F7554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2"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5" w15:restartNumberingAfterBreak="0">
    <w:nsid w:val="7E3A468A"/>
    <w:multiLevelType w:val="hybridMultilevel"/>
    <w:tmpl w:val="E51CED5A"/>
    <w:lvl w:ilvl="0" w:tplc="9F6470CC">
      <w:start w:val="1"/>
      <w:numFmt w:val="lowerRoman"/>
      <w:lvlText w:val="(%1)"/>
      <w:lvlJc w:val="left"/>
      <w:pPr>
        <w:ind w:left="1284" w:hanging="720"/>
      </w:pPr>
      <w:rPr>
        <w:rFonts w:hint="default"/>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10B88"/>
    <w:rsid w:val="00047060"/>
    <w:rsid w:val="00056E7C"/>
    <w:rsid w:val="000644CE"/>
    <w:rsid w:val="000D0603"/>
    <w:rsid w:val="00115648"/>
    <w:rsid w:val="00194FB4"/>
    <w:rsid w:val="001A14A2"/>
    <w:rsid w:val="001A373D"/>
    <w:rsid w:val="001C1C70"/>
    <w:rsid w:val="001C2435"/>
    <w:rsid w:val="001F2BFA"/>
    <w:rsid w:val="00200671"/>
    <w:rsid w:val="00234939"/>
    <w:rsid w:val="00266FFE"/>
    <w:rsid w:val="00270D89"/>
    <w:rsid w:val="00272712"/>
    <w:rsid w:val="00294F41"/>
    <w:rsid w:val="002F6D78"/>
    <w:rsid w:val="003049FE"/>
    <w:rsid w:val="00314A41"/>
    <w:rsid w:val="00345182"/>
    <w:rsid w:val="00346894"/>
    <w:rsid w:val="0036643E"/>
    <w:rsid w:val="00396F7B"/>
    <w:rsid w:val="003B36AE"/>
    <w:rsid w:val="003B6080"/>
    <w:rsid w:val="004044E6"/>
    <w:rsid w:val="00405694"/>
    <w:rsid w:val="00407E66"/>
    <w:rsid w:val="004171D0"/>
    <w:rsid w:val="00426F9F"/>
    <w:rsid w:val="00497CC7"/>
    <w:rsid w:val="004A012D"/>
    <w:rsid w:val="004C4920"/>
    <w:rsid w:val="004F4BE7"/>
    <w:rsid w:val="004F5F13"/>
    <w:rsid w:val="00503724"/>
    <w:rsid w:val="00546523"/>
    <w:rsid w:val="0057020B"/>
    <w:rsid w:val="005819E4"/>
    <w:rsid w:val="0058345F"/>
    <w:rsid w:val="005907D8"/>
    <w:rsid w:val="005A082B"/>
    <w:rsid w:val="005C4B36"/>
    <w:rsid w:val="00605079"/>
    <w:rsid w:val="00614E94"/>
    <w:rsid w:val="00627918"/>
    <w:rsid w:val="00631E34"/>
    <w:rsid w:val="00662048"/>
    <w:rsid w:val="0068059E"/>
    <w:rsid w:val="006A364A"/>
    <w:rsid w:val="006E08DE"/>
    <w:rsid w:val="00731039"/>
    <w:rsid w:val="0073630A"/>
    <w:rsid w:val="00762BAC"/>
    <w:rsid w:val="00796EC0"/>
    <w:rsid w:val="007A6E76"/>
    <w:rsid w:val="007B09CD"/>
    <w:rsid w:val="00815827"/>
    <w:rsid w:val="00816668"/>
    <w:rsid w:val="00821972"/>
    <w:rsid w:val="00863098"/>
    <w:rsid w:val="008832E8"/>
    <w:rsid w:val="00891DB2"/>
    <w:rsid w:val="008A3B24"/>
    <w:rsid w:val="008E01FB"/>
    <w:rsid w:val="008F0F73"/>
    <w:rsid w:val="00933B65"/>
    <w:rsid w:val="0094479E"/>
    <w:rsid w:val="00951D6B"/>
    <w:rsid w:val="00956CA2"/>
    <w:rsid w:val="009701EB"/>
    <w:rsid w:val="009942DD"/>
    <w:rsid w:val="009D2199"/>
    <w:rsid w:val="009D5EB6"/>
    <w:rsid w:val="00A03E4C"/>
    <w:rsid w:val="00A472B6"/>
    <w:rsid w:val="00A57676"/>
    <w:rsid w:val="00A621AC"/>
    <w:rsid w:val="00A7051D"/>
    <w:rsid w:val="00A70F8E"/>
    <w:rsid w:val="00A7158A"/>
    <w:rsid w:val="00A86A8D"/>
    <w:rsid w:val="00AB1DC6"/>
    <w:rsid w:val="00AB703E"/>
    <w:rsid w:val="00BA4892"/>
    <w:rsid w:val="00BB40C3"/>
    <w:rsid w:val="00BD32F7"/>
    <w:rsid w:val="00C507BD"/>
    <w:rsid w:val="00C56E05"/>
    <w:rsid w:val="00C61D30"/>
    <w:rsid w:val="00C91E16"/>
    <w:rsid w:val="00CE5C94"/>
    <w:rsid w:val="00CF2453"/>
    <w:rsid w:val="00D25C76"/>
    <w:rsid w:val="00D3274C"/>
    <w:rsid w:val="00D36F32"/>
    <w:rsid w:val="00D40718"/>
    <w:rsid w:val="00D65F0D"/>
    <w:rsid w:val="00DA52F3"/>
    <w:rsid w:val="00DE3D56"/>
    <w:rsid w:val="00E15512"/>
    <w:rsid w:val="00E2527C"/>
    <w:rsid w:val="00E468D9"/>
    <w:rsid w:val="00E63B55"/>
    <w:rsid w:val="00E804C5"/>
    <w:rsid w:val="00E96B33"/>
    <w:rsid w:val="00ED1E61"/>
    <w:rsid w:val="00EE0196"/>
    <w:rsid w:val="00F648C0"/>
    <w:rsid w:val="00F66C52"/>
    <w:rsid w:val="00F75541"/>
    <w:rsid w:val="00F80002"/>
    <w:rsid w:val="00F8752A"/>
    <w:rsid w:val="00F94CC6"/>
    <w:rsid w:val="00FA0A2E"/>
    <w:rsid w:val="00FB0516"/>
    <w:rsid w:val="00FB6C82"/>
    <w:rsid w:val="00FE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262EF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0T14:18:18.102"/>
    </inkml:context>
    <inkml:brush xml:id="br0">
      <inkml:brushProperty name="width" value="0.0424" units="cm"/>
      <inkml:brushProperty name="height" value="0.0424" units="cm"/>
    </inkml:brush>
  </inkml:definitions>
  <inkml:trace contextRef="#ctx0" brushRef="#br0">79 0 32767,'-79'53'0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1923</Words>
  <Characters>9584</Characters>
  <Application>Microsoft Office Word</Application>
  <DocSecurity>0</DocSecurity>
  <Lines>79</Lines>
  <Paragraphs>22</Paragraphs>
  <ScaleCrop>false</ScaleCrop>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2018-06-05T11:28:00Z</dcterms:created>
  <dcterms:modified xsi:type="dcterms:W3CDTF">2018-06-05T11:28:00Z</dcterms:modified>
</cp:coreProperties>
</file>