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EFEC7" w14:textId="6556FB8E" w:rsidR="00C321B5" w:rsidRPr="00F5664C" w:rsidRDefault="00D43529" w:rsidP="00C321B5">
      <w:pPr>
        <w:jc w:val="center"/>
        <w:rPr>
          <w:rFonts w:ascii="Book Antiqua" w:hAnsi="Book Antiqua" w:cs="Arial"/>
          <w:sz w:val="16"/>
          <w:szCs w:val="16"/>
        </w:rPr>
      </w:pPr>
      <w:r>
        <w:rPr>
          <w:noProof/>
        </w:rPr>
        <w:drawing>
          <wp:inline distT="0" distB="0" distL="0" distR="0" wp14:anchorId="07429F70" wp14:editId="3F9C2C29">
            <wp:extent cx="105029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0290" cy="914400"/>
                    </a:xfrm>
                    <a:prstGeom prst="rect">
                      <a:avLst/>
                    </a:prstGeom>
                    <a:noFill/>
                    <a:ln>
                      <a:noFill/>
                    </a:ln>
                  </pic:spPr>
                </pic:pic>
              </a:graphicData>
            </a:graphic>
          </wp:inline>
        </w:drawing>
      </w:r>
    </w:p>
    <w:p w14:paraId="3C410889" w14:textId="77777777" w:rsidR="00D94AFC" w:rsidRPr="00F5664C" w:rsidRDefault="00D94AFC" w:rsidP="00463ECF">
      <w:pPr>
        <w:outlineLvl w:val="0"/>
        <w:rPr>
          <w:rFonts w:ascii="Book Antiqua" w:hAnsi="Book Antiqua" w:cs="Arial"/>
          <w:sz w:val="16"/>
          <w:szCs w:val="16"/>
        </w:rPr>
      </w:pPr>
    </w:p>
    <w:p w14:paraId="25F14D5B" w14:textId="77777777" w:rsidR="00D94AFC" w:rsidRPr="00F5664C" w:rsidRDefault="00D94AFC">
      <w:pPr>
        <w:rPr>
          <w:rFonts w:ascii="Book Antiqua" w:hAnsi="Book Antiqua" w:cs="Arial"/>
        </w:rPr>
      </w:pPr>
    </w:p>
    <w:p w14:paraId="353170E1" w14:textId="77777777" w:rsidR="00C321B5" w:rsidRPr="00F5664C" w:rsidRDefault="001A1E2C" w:rsidP="00463ECF">
      <w:pPr>
        <w:tabs>
          <w:tab w:val="right" w:pos="9639"/>
        </w:tabs>
        <w:outlineLvl w:val="0"/>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4C432E4"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B2A21">
        <w:rPr>
          <w:rFonts w:ascii="Book Antiqua" w:hAnsi="Book Antiqua" w:cs="Arial"/>
          <w:caps/>
        </w:rPr>
        <w:t>pa/08247/2017</w:t>
      </w:r>
    </w:p>
    <w:bookmarkEnd w:id="0"/>
    <w:p w14:paraId="35E135C9" w14:textId="77777777" w:rsidR="00C345E1" w:rsidRPr="00F5664C" w:rsidRDefault="00C345E1" w:rsidP="00C345E1">
      <w:pPr>
        <w:jc w:val="center"/>
        <w:rPr>
          <w:rFonts w:ascii="Book Antiqua" w:hAnsi="Book Antiqua" w:cs="Arial"/>
        </w:rPr>
      </w:pPr>
    </w:p>
    <w:p w14:paraId="1BD93B82" w14:textId="77777777" w:rsidR="00C345E1" w:rsidRPr="00F5664C" w:rsidRDefault="00C345E1" w:rsidP="00C345E1">
      <w:pPr>
        <w:jc w:val="center"/>
        <w:rPr>
          <w:rFonts w:ascii="Book Antiqua" w:hAnsi="Book Antiqua" w:cs="Arial"/>
        </w:rPr>
      </w:pPr>
    </w:p>
    <w:p w14:paraId="77CCBBBF" w14:textId="77777777" w:rsidR="00C345E1" w:rsidRPr="00F5664C" w:rsidRDefault="00C345E1" w:rsidP="00463ECF">
      <w:pPr>
        <w:jc w:val="center"/>
        <w:outlineLvl w:val="0"/>
        <w:rPr>
          <w:rFonts w:ascii="Book Antiqua" w:hAnsi="Book Antiqua" w:cs="Arial"/>
          <w:b/>
          <w:u w:val="single"/>
        </w:rPr>
      </w:pPr>
      <w:r w:rsidRPr="00F5664C">
        <w:rPr>
          <w:rFonts w:ascii="Book Antiqua" w:hAnsi="Book Antiqua" w:cs="Arial"/>
          <w:b/>
          <w:u w:val="single"/>
        </w:rPr>
        <w:t>THE IMMIGRATION ACTS</w:t>
      </w:r>
    </w:p>
    <w:p w14:paraId="044B8035" w14:textId="77777777" w:rsidR="00C345E1" w:rsidRPr="00F5664C" w:rsidRDefault="00C345E1" w:rsidP="00C345E1">
      <w:pPr>
        <w:jc w:val="center"/>
        <w:rPr>
          <w:rFonts w:ascii="Book Antiqua" w:hAnsi="Book Antiqua" w:cs="Arial"/>
          <w:b/>
          <w:u w:val="single"/>
        </w:rPr>
      </w:pPr>
    </w:p>
    <w:p w14:paraId="5F82216E" w14:textId="77777777" w:rsidR="00C345E1" w:rsidRPr="00F5664C" w:rsidRDefault="00C345E1" w:rsidP="00C345E1">
      <w:pPr>
        <w:jc w:val="center"/>
        <w:rPr>
          <w:rFonts w:ascii="Book Antiqua" w:hAnsi="Book Antiqua" w:cs="Arial"/>
          <w:b/>
          <w:u w:val="single"/>
        </w:rPr>
      </w:pPr>
    </w:p>
    <w:tbl>
      <w:tblPr>
        <w:tblStyle w:val="TableGrid"/>
        <w:tblW w:w="10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86"/>
        <w:gridCol w:w="4312"/>
      </w:tblGrid>
      <w:tr w:rsidR="00D22636" w:rsidRPr="00F5664C" w14:paraId="596D4254" w14:textId="77777777" w:rsidTr="009435ED">
        <w:trPr>
          <w:trHeight w:val="285"/>
        </w:trPr>
        <w:tc>
          <w:tcPr>
            <w:tcW w:w="6586" w:type="dxa"/>
          </w:tcPr>
          <w:p w14:paraId="1E49714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B2A21">
              <w:rPr>
                <w:rFonts w:ascii="Book Antiqua" w:hAnsi="Book Antiqua" w:cs="Arial"/>
                <w:b/>
              </w:rPr>
              <w:t>Field House</w:t>
            </w:r>
          </w:p>
        </w:tc>
        <w:tc>
          <w:tcPr>
            <w:tcW w:w="4312" w:type="dxa"/>
          </w:tcPr>
          <w:p w14:paraId="028C3F83" w14:textId="77777777" w:rsidR="00D22636" w:rsidRPr="00F5664C" w:rsidRDefault="00D91289" w:rsidP="004A1848">
            <w:pPr>
              <w:jc w:val="both"/>
              <w:rPr>
                <w:rFonts w:ascii="Book Antiqua" w:hAnsi="Book Antiqua" w:cs="Arial"/>
                <w:b/>
              </w:rPr>
            </w:pPr>
            <w:r>
              <w:rPr>
                <w:rFonts w:ascii="Book Antiqua" w:hAnsi="Book Antiqua" w:cs="Arial"/>
                <w:b/>
              </w:rPr>
              <w:t xml:space="preserve">Oral </w:t>
            </w:r>
            <w:r w:rsidR="00463ECF">
              <w:rPr>
                <w:rFonts w:ascii="Book Antiqua" w:hAnsi="Book Antiqua" w:cs="Arial"/>
                <w:b/>
              </w:rPr>
              <w:t>Decision &amp; Reasons</w:t>
            </w:r>
            <w:r w:rsidR="00283659" w:rsidRPr="00F5664C">
              <w:rPr>
                <w:rFonts w:ascii="Book Antiqua" w:hAnsi="Book Antiqua" w:cs="Arial"/>
                <w:b/>
              </w:rPr>
              <w:t xml:space="preserve"> </w:t>
            </w:r>
          </w:p>
        </w:tc>
      </w:tr>
      <w:tr w:rsidR="00D22636" w:rsidRPr="00F5664C" w14:paraId="32690002" w14:textId="77777777" w:rsidTr="009435ED">
        <w:trPr>
          <w:trHeight w:val="285"/>
        </w:trPr>
        <w:tc>
          <w:tcPr>
            <w:tcW w:w="6586" w:type="dxa"/>
          </w:tcPr>
          <w:p w14:paraId="4F96842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B2A21">
              <w:rPr>
                <w:rFonts w:ascii="Book Antiqua" w:hAnsi="Book Antiqua" w:cs="Arial"/>
                <w:b/>
              </w:rPr>
              <w:t>22 February 2018</w:t>
            </w:r>
          </w:p>
        </w:tc>
        <w:tc>
          <w:tcPr>
            <w:tcW w:w="4312" w:type="dxa"/>
          </w:tcPr>
          <w:p w14:paraId="5C57E13E" w14:textId="77777777" w:rsidR="00D22636" w:rsidRPr="00F5664C" w:rsidRDefault="00D91289" w:rsidP="004A1848">
            <w:pPr>
              <w:jc w:val="both"/>
              <w:rPr>
                <w:rFonts w:ascii="Book Antiqua" w:hAnsi="Book Antiqua" w:cs="Arial"/>
                <w:b/>
              </w:rPr>
            </w:pPr>
            <w:r w:rsidRPr="00F5664C">
              <w:rPr>
                <w:rFonts w:ascii="Book Antiqua" w:hAnsi="Book Antiqua" w:cs="Arial"/>
                <w:b/>
              </w:rPr>
              <w:t>Promulgated</w:t>
            </w:r>
            <w:r w:rsidR="0088076A">
              <w:rPr>
                <w:rFonts w:ascii="Book Antiqua" w:hAnsi="Book Antiqua" w:cs="Arial"/>
                <w:b/>
              </w:rPr>
              <w:t xml:space="preserve"> On 23 May 2018</w:t>
            </w:r>
          </w:p>
        </w:tc>
      </w:tr>
      <w:tr w:rsidR="00D22636" w:rsidRPr="00F5664C" w14:paraId="22DD6D5A" w14:textId="77777777" w:rsidTr="009435ED">
        <w:trPr>
          <w:trHeight w:val="285"/>
        </w:trPr>
        <w:tc>
          <w:tcPr>
            <w:tcW w:w="6586" w:type="dxa"/>
          </w:tcPr>
          <w:p w14:paraId="01322991" w14:textId="77777777" w:rsidR="00D22636" w:rsidRPr="00F5664C" w:rsidRDefault="00D22636" w:rsidP="004A1848">
            <w:pPr>
              <w:jc w:val="both"/>
              <w:rPr>
                <w:rFonts w:ascii="Book Antiqua" w:hAnsi="Book Antiqua" w:cs="Arial"/>
                <w:b/>
              </w:rPr>
            </w:pPr>
          </w:p>
        </w:tc>
        <w:tc>
          <w:tcPr>
            <w:tcW w:w="4312" w:type="dxa"/>
          </w:tcPr>
          <w:p w14:paraId="7C71552C" w14:textId="77777777" w:rsidR="00D22636" w:rsidRPr="00F5664C" w:rsidRDefault="00D22636" w:rsidP="004A1848">
            <w:pPr>
              <w:jc w:val="both"/>
              <w:rPr>
                <w:rFonts w:ascii="Book Antiqua" w:hAnsi="Book Antiqua" w:cs="Arial"/>
                <w:b/>
              </w:rPr>
            </w:pPr>
          </w:p>
        </w:tc>
      </w:tr>
    </w:tbl>
    <w:p w14:paraId="23B8D829" w14:textId="77777777" w:rsidR="00A15234" w:rsidRPr="00F5664C" w:rsidRDefault="00A15234" w:rsidP="00A15234">
      <w:pPr>
        <w:jc w:val="center"/>
        <w:rPr>
          <w:rFonts w:ascii="Book Antiqua" w:hAnsi="Book Antiqua" w:cs="Arial"/>
        </w:rPr>
      </w:pPr>
    </w:p>
    <w:p w14:paraId="054954CC" w14:textId="77777777" w:rsidR="00A15234" w:rsidRPr="00F5664C" w:rsidRDefault="00A15234" w:rsidP="00A15234">
      <w:pPr>
        <w:jc w:val="center"/>
        <w:rPr>
          <w:rFonts w:ascii="Book Antiqua" w:hAnsi="Book Antiqua" w:cs="Arial"/>
        </w:rPr>
      </w:pPr>
    </w:p>
    <w:p w14:paraId="6946B68D" w14:textId="77777777" w:rsidR="00A15234" w:rsidRPr="00F5664C" w:rsidRDefault="00207617" w:rsidP="00463ECF">
      <w:pPr>
        <w:jc w:val="center"/>
        <w:outlineLvl w:val="0"/>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8D63203" w14:textId="77777777" w:rsidR="00A15234" w:rsidRPr="00F5664C" w:rsidRDefault="00A15234" w:rsidP="00A15234">
      <w:pPr>
        <w:jc w:val="center"/>
        <w:rPr>
          <w:rFonts w:ascii="Book Antiqua" w:hAnsi="Book Antiqua" w:cs="Arial"/>
          <w:b/>
        </w:rPr>
      </w:pPr>
    </w:p>
    <w:p w14:paraId="2C49816C" w14:textId="77777777" w:rsidR="00A845DC" w:rsidRDefault="00BB7873" w:rsidP="00463ECF">
      <w:pPr>
        <w:jc w:val="center"/>
        <w:outlineLvl w:val="0"/>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F60D99">
        <w:rPr>
          <w:rFonts w:ascii="Book Antiqua" w:hAnsi="Book Antiqua" w:cs="Arial"/>
          <w:b/>
        </w:rPr>
        <w:t>JORDAN</w:t>
      </w:r>
    </w:p>
    <w:p w14:paraId="1AF6C808" w14:textId="77777777" w:rsidR="00B16F58" w:rsidRPr="00F5664C" w:rsidRDefault="00B16F58" w:rsidP="00A15234">
      <w:pPr>
        <w:jc w:val="center"/>
        <w:rPr>
          <w:rFonts w:ascii="Book Antiqua" w:hAnsi="Book Antiqua" w:cs="Arial"/>
          <w:b/>
        </w:rPr>
      </w:pPr>
    </w:p>
    <w:p w14:paraId="08648C70" w14:textId="77777777" w:rsidR="00A845DC" w:rsidRPr="00F5664C" w:rsidRDefault="00A845DC" w:rsidP="00463ECF">
      <w:pPr>
        <w:jc w:val="center"/>
        <w:outlineLvl w:val="0"/>
        <w:rPr>
          <w:rFonts w:ascii="Book Antiqua" w:hAnsi="Book Antiqua" w:cs="Arial"/>
          <w:b/>
        </w:rPr>
      </w:pPr>
      <w:r w:rsidRPr="00F5664C">
        <w:rPr>
          <w:rFonts w:ascii="Book Antiqua" w:hAnsi="Book Antiqua" w:cs="Arial"/>
          <w:b/>
        </w:rPr>
        <w:t>Between</w:t>
      </w:r>
    </w:p>
    <w:p w14:paraId="146C5AA4" w14:textId="77777777" w:rsidR="00A845DC" w:rsidRPr="00F5664C" w:rsidRDefault="00A845DC" w:rsidP="00A15234">
      <w:pPr>
        <w:jc w:val="center"/>
        <w:rPr>
          <w:rFonts w:ascii="Book Antiqua" w:hAnsi="Book Antiqua" w:cs="Arial"/>
          <w:b/>
        </w:rPr>
      </w:pPr>
    </w:p>
    <w:p w14:paraId="1BDDF0AA" w14:textId="0AA93168" w:rsidR="00742A8D" w:rsidRDefault="000B2A21" w:rsidP="00463ECF">
      <w:pPr>
        <w:jc w:val="center"/>
        <w:outlineLvl w:val="0"/>
        <w:rPr>
          <w:rFonts w:ascii="Book Antiqua" w:hAnsi="Book Antiqua" w:cs="Arial"/>
          <w:b/>
          <w:caps/>
        </w:rPr>
      </w:pPr>
      <w:r>
        <w:rPr>
          <w:rFonts w:ascii="Book Antiqua" w:hAnsi="Book Antiqua" w:cs="Arial"/>
          <w:b/>
          <w:caps/>
        </w:rPr>
        <w:t xml:space="preserve">mr wasif </w:t>
      </w:r>
      <w:r w:rsidR="00B85A96">
        <w:rPr>
          <w:rFonts w:ascii="Book Antiqua" w:hAnsi="Book Antiqua" w:cs="Arial"/>
          <w:b/>
          <w:caps/>
        </w:rPr>
        <w:t>[</w:t>
      </w:r>
      <w:r>
        <w:rPr>
          <w:rFonts w:ascii="Book Antiqua" w:hAnsi="Book Antiqua" w:cs="Arial"/>
          <w:b/>
          <w:caps/>
        </w:rPr>
        <w:t>k</w:t>
      </w:r>
      <w:r w:rsidR="00B85A96">
        <w:rPr>
          <w:rFonts w:ascii="Book Antiqua" w:hAnsi="Book Antiqua" w:cs="Arial"/>
          <w:b/>
          <w:caps/>
        </w:rPr>
        <w:t>]</w:t>
      </w:r>
    </w:p>
    <w:p w14:paraId="2C666E3E" w14:textId="77777777" w:rsidR="00463ECF" w:rsidRDefault="00463ECF" w:rsidP="00463ECF">
      <w:pPr>
        <w:jc w:val="center"/>
        <w:rPr>
          <w:rFonts w:ascii="Book Antiqua" w:hAnsi="Book Antiqua" w:cs="Arial"/>
          <w:b/>
          <w:caps/>
        </w:rPr>
      </w:pPr>
      <w:r w:rsidRPr="00463ECF">
        <w:rPr>
          <w:rFonts w:ascii="Book Antiqua" w:hAnsi="Book Antiqua" w:cs="Arial"/>
          <w:b/>
          <w:caps/>
        </w:rPr>
        <w:t xml:space="preserve">(ANONYMITY DIRECTION </w:t>
      </w:r>
      <w:bookmarkStart w:id="1" w:name="Text21"/>
      <w:r w:rsidR="00E62685">
        <w:rPr>
          <w:rFonts w:ascii="Book Antiqua" w:hAnsi="Book Antiqua" w:cs="Arial"/>
          <w:b/>
          <w:caps/>
        </w:rPr>
        <w:t>NOT MADE</w:t>
      </w:r>
      <w:bookmarkEnd w:id="1"/>
      <w:r w:rsidR="00E62685">
        <w:rPr>
          <w:rFonts w:ascii="Book Antiqua" w:hAnsi="Book Antiqua" w:cs="Arial"/>
          <w:b/>
          <w:caps/>
        </w:rPr>
        <w:t>)</w:t>
      </w:r>
    </w:p>
    <w:p w14:paraId="70A01B1C" w14:textId="77777777" w:rsidR="00704B61" w:rsidRPr="00F5664C" w:rsidRDefault="00704B61" w:rsidP="00463ECF">
      <w:pPr>
        <w:jc w:val="right"/>
        <w:outlineLvl w:val="0"/>
        <w:rPr>
          <w:rFonts w:ascii="Book Antiqua" w:hAnsi="Book Antiqua" w:cs="Arial"/>
          <w:u w:val="single"/>
        </w:rPr>
      </w:pPr>
      <w:r w:rsidRPr="00F5664C">
        <w:rPr>
          <w:rFonts w:ascii="Book Antiqua" w:hAnsi="Book Antiqua" w:cs="Arial"/>
          <w:u w:val="single"/>
        </w:rPr>
        <w:t>Appellant</w:t>
      </w:r>
    </w:p>
    <w:p w14:paraId="493CF22A" w14:textId="77777777" w:rsidR="006D1DFA" w:rsidRPr="00F5664C" w:rsidRDefault="006D1DFA" w:rsidP="00704B61">
      <w:pPr>
        <w:jc w:val="center"/>
        <w:rPr>
          <w:rFonts w:ascii="Book Antiqua" w:hAnsi="Book Antiqua" w:cs="Arial"/>
          <w:b/>
        </w:rPr>
      </w:pPr>
    </w:p>
    <w:p w14:paraId="42230BCD"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5888971" w14:textId="77777777" w:rsidR="00DD5071" w:rsidRPr="00F5664C" w:rsidRDefault="00DD5071" w:rsidP="00704B61">
      <w:pPr>
        <w:jc w:val="center"/>
        <w:rPr>
          <w:rFonts w:ascii="Book Antiqua" w:hAnsi="Book Antiqua" w:cs="Arial"/>
          <w:b/>
        </w:rPr>
      </w:pPr>
    </w:p>
    <w:p w14:paraId="720DA950" w14:textId="77777777" w:rsidR="00DD5071" w:rsidRPr="00F5664C" w:rsidRDefault="00DD5071" w:rsidP="00463ECF">
      <w:pPr>
        <w:jc w:val="center"/>
        <w:outlineLvl w:val="0"/>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14:paraId="1125462B" w14:textId="77777777" w:rsidR="00DD5071" w:rsidRPr="00F5664C" w:rsidRDefault="00DD5071" w:rsidP="00704B61">
      <w:pPr>
        <w:jc w:val="center"/>
        <w:rPr>
          <w:rFonts w:ascii="Book Antiqua" w:hAnsi="Book Antiqua" w:cs="Arial"/>
          <w:b/>
        </w:rPr>
      </w:pPr>
    </w:p>
    <w:p w14:paraId="5E01ACDF" w14:textId="77777777" w:rsidR="00DD5071" w:rsidRPr="00F5664C" w:rsidRDefault="00DD5071" w:rsidP="00463ECF">
      <w:pPr>
        <w:jc w:val="right"/>
        <w:outlineLvl w:val="0"/>
        <w:rPr>
          <w:rFonts w:ascii="Book Antiqua" w:hAnsi="Book Antiqua" w:cs="Arial"/>
          <w:u w:val="single"/>
        </w:rPr>
      </w:pPr>
      <w:r w:rsidRPr="00F5664C">
        <w:rPr>
          <w:rFonts w:ascii="Book Antiqua" w:hAnsi="Book Antiqua" w:cs="Arial"/>
          <w:u w:val="single"/>
        </w:rPr>
        <w:t>Respondent</w:t>
      </w:r>
    </w:p>
    <w:p w14:paraId="0151CB45" w14:textId="77777777" w:rsidR="00DD5071" w:rsidRPr="00F5664C" w:rsidRDefault="00DD5071" w:rsidP="00DD5071">
      <w:pPr>
        <w:rPr>
          <w:rFonts w:ascii="Book Antiqua" w:hAnsi="Book Antiqua" w:cs="Arial"/>
          <w:u w:val="single"/>
        </w:rPr>
      </w:pPr>
    </w:p>
    <w:p w14:paraId="39EFCAE4" w14:textId="77777777" w:rsidR="00DD5071" w:rsidRPr="00F5664C" w:rsidRDefault="00DD5071" w:rsidP="00DD5071">
      <w:pPr>
        <w:rPr>
          <w:rFonts w:ascii="Book Antiqua" w:hAnsi="Book Antiqua" w:cs="Arial"/>
          <w:u w:val="single"/>
        </w:rPr>
      </w:pPr>
    </w:p>
    <w:p w14:paraId="3F4768D7" w14:textId="77777777" w:rsidR="00DD5071" w:rsidRPr="00F5664C" w:rsidRDefault="00DE7DB7" w:rsidP="00463ECF">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18DE782" w14:textId="77777777" w:rsidR="00DE7DB7" w:rsidRPr="00F5664C" w:rsidRDefault="00DE7DB7" w:rsidP="00DD5071">
      <w:pPr>
        <w:rPr>
          <w:rFonts w:ascii="Book Antiqua" w:hAnsi="Book Antiqua" w:cs="Arial"/>
        </w:rPr>
      </w:pPr>
    </w:p>
    <w:p w14:paraId="2BF7332E" w14:textId="77777777" w:rsidR="00DE7DB7" w:rsidRPr="00F5664C" w:rsidRDefault="00DE7DB7" w:rsidP="00463ECF">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B2A21">
        <w:rPr>
          <w:rFonts w:ascii="Book Antiqua" w:hAnsi="Book Antiqua" w:cs="Arial"/>
        </w:rPr>
        <w:t>Ms P</w:t>
      </w:r>
      <w:r w:rsidR="00E62685">
        <w:rPr>
          <w:rFonts w:ascii="Book Antiqua" w:hAnsi="Book Antiqua" w:cs="Arial"/>
        </w:rPr>
        <w:t>.</w:t>
      </w:r>
      <w:r w:rsidR="000B2A21">
        <w:rPr>
          <w:rFonts w:ascii="Book Antiqua" w:hAnsi="Book Antiqua" w:cs="Arial"/>
        </w:rPr>
        <w:t xml:space="preserve"> </w:t>
      </w:r>
      <w:proofErr w:type="spellStart"/>
      <w:r w:rsidR="000B2A21">
        <w:rPr>
          <w:rFonts w:ascii="Book Antiqua" w:hAnsi="Book Antiqua" w:cs="Arial"/>
        </w:rPr>
        <w:t>Heidar</w:t>
      </w:r>
      <w:proofErr w:type="spellEnd"/>
      <w:r w:rsidR="000B2A21">
        <w:rPr>
          <w:rFonts w:ascii="Book Antiqua" w:hAnsi="Book Antiqua" w:cs="Arial"/>
        </w:rPr>
        <w:t>, Solicitor instructed by AA Immigration Lawyers</w:t>
      </w:r>
    </w:p>
    <w:p w14:paraId="4573341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62685">
        <w:rPr>
          <w:rFonts w:ascii="Book Antiqua" w:hAnsi="Book Antiqua" w:cs="Arial"/>
        </w:rPr>
        <w:t xml:space="preserve">Ms P. </w:t>
      </w:r>
      <w:r w:rsidR="000B2A21">
        <w:rPr>
          <w:rFonts w:ascii="Book Antiqua" w:hAnsi="Book Antiqua" w:cs="Arial"/>
        </w:rPr>
        <w:t xml:space="preserve">Hastings, Home Office Presenting Officer </w:t>
      </w:r>
    </w:p>
    <w:p w14:paraId="6FA24206" w14:textId="77777777" w:rsidR="00DE7DB7" w:rsidRPr="00F5664C" w:rsidRDefault="00DE7DB7" w:rsidP="00402B9E">
      <w:pPr>
        <w:tabs>
          <w:tab w:val="left" w:pos="2520"/>
        </w:tabs>
        <w:jc w:val="center"/>
        <w:rPr>
          <w:rFonts w:ascii="Book Antiqua" w:hAnsi="Book Antiqua" w:cs="Arial"/>
        </w:rPr>
      </w:pPr>
    </w:p>
    <w:p w14:paraId="3ECBE10F" w14:textId="77777777" w:rsidR="00DE7DB7" w:rsidRPr="00F5664C" w:rsidRDefault="00DE7DB7" w:rsidP="00402B9E">
      <w:pPr>
        <w:tabs>
          <w:tab w:val="left" w:pos="2520"/>
        </w:tabs>
        <w:jc w:val="center"/>
        <w:rPr>
          <w:rFonts w:ascii="Book Antiqua" w:hAnsi="Book Antiqua" w:cs="Arial"/>
        </w:rPr>
      </w:pPr>
    </w:p>
    <w:p w14:paraId="2E85C01C" w14:textId="77777777" w:rsidR="00DE7DB7" w:rsidRDefault="00463ECF" w:rsidP="00463ECF">
      <w:pPr>
        <w:tabs>
          <w:tab w:val="left" w:pos="2520"/>
        </w:tabs>
        <w:jc w:val="center"/>
        <w:outlineLvl w:val="0"/>
        <w:rPr>
          <w:rFonts w:ascii="Book Antiqua" w:hAnsi="Book Antiqua" w:cs="Arial"/>
          <w:b/>
          <w:u w:val="single"/>
        </w:rPr>
      </w:pPr>
      <w:r>
        <w:rPr>
          <w:rFonts w:ascii="Book Antiqua" w:hAnsi="Book Antiqua" w:cs="Arial"/>
          <w:b/>
          <w:u w:val="single"/>
        </w:rPr>
        <w:t xml:space="preserve">DECISION </w:t>
      </w:r>
      <w:r w:rsidR="00D91289">
        <w:rPr>
          <w:rFonts w:ascii="Book Antiqua" w:hAnsi="Book Antiqua" w:cs="Arial"/>
          <w:b/>
          <w:u w:val="single"/>
        </w:rPr>
        <w:t>AND REASONS</w:t>
      </w:r>
    </w:p>
    <w:p w14:paraId="5C27CCD5" w14:textId="77777777" w:rsidR="00463ECF" w:rsidRPr="00F5664C" w:rsidRDefault="00463ECF" w:rsidP="00402B9E">
      <w:pPr>
        <w:tabs>
          <w:tab w:val="left" w:pos="2520"/>
        </w:tabs>
        <w:jc w:val="center"/>
        <w:rPr>
          <w:rFonts w:ascii="Book Antiqua" w:hAnsi="Book Antiqua" w:cs="Arial"/>
        </w:rPr>
      </w:pPr>
    </w:p>
    <w:p w14:paraId="7DE9FF56" w14:textId="427CDFFB" w:rsidR="00D91289" w:rsidRDefault="00A11528" w:rsidP="0057609C">
      <w:pPr>
        <w:numPr>
          <w:ilvl w:val="0"/>
          <w:numId w:val="3"/>
        </w:numPr>
        <w:spacing w:before="240"/>
        <w:jc w:val="both"/>
        <w:rPr>
          <w:rFonts w:ascii="Book Antiqua" w:hAnsi="Book Antiqua" w:cs="Arial"/>
        </w:rPr>
      </w:pPr>
      <w:r>
        <w:rPr>
          <w:rFonts w:ascii="Book Antiqua" w:hAnsi="Book Antiqua" w:cs="Arial"/>
        </w:rPr>
        <w:t xml:space="preserve">The appellant </w:t>
      </w:r>
      <w:r w:rsidR="005D538D">
        <w:rPr>
          <w:rFonts w:ascii="Book Antiqua" w:hAnsi="Book Antiqua" w:cs="Arial"/>
        </w:rPr>
        <w:t xml:space="preserve">is a citizen of Pakistan who was born on </w:t>
      </w:r>
      <w:proofErr w:type="gramStart"/>
      <w:r w:rsidR="00B85A96">
        <w:rPr>
          <w:rFonts w:ascii="Book Antiqua" w:hAnsi="Book Antiqua" w:cs="Arial"/>
        </w:rPr>
        <w:t>[ ]</w:t>
      </w:r>
      <w:proofErr w:type="gramEnd"/>
      <w:r w:rsidR="00B85A96">
        <w:rPr>
          <w:rFonts w:ascii="Book Antiqua" w:hAnsi="Book Antiqua" w:cs="Arial"/>
        </w:rPr>
        <w:t xml:space="preserve"> </w:t>
      </w:r>
      <w:r w:rsidR="005D538D">
        <w:rPr>
          <w:rFonts w:ascii="Book Antiqua" w:hAnsi="Book Antiqua" w:cs="Arial"/>
        </w:rPr>
        <w:t xml:space="preserve">1986.  He appeals against the determination of First-tier Tribunal Judge </w:t>
      </w:r>
      <w:proofErr w:type="spellStart"/>
      <w:r w:rsidR="005D538D">
        <w:rPr>
          <w:rFonts w:ascii="Book Antiqua" w:hAnsi="Book Antiqua" w:cs="Arial"/>
        </w:rPr>
        <w:t>Widdup</w:t>
      </w:r>
      <w:proofErr w:type="spellEnd"/>
      <w:r w:rsidR="005D538D">
        <w:rPr>
          <w:rFonts w:ascii="Book Antiqua" w:hAnsi="Book Antiqua" w:cs="Arial"/>
        </w:rPr>
        <w:t xml:space="preserve"> following a hearing at Hatton Cross on 26 September 2017.  The determination was promulgated on 11 October 2017.  The </w:t>
      </w:r>
      <w:r w:rsidR="005D538D">
        <w:rPr>
          <w:rFonts w:ascii="Book Antiqua" w:hAnsi="Book Antiqua" w:cs="Arial"/>
        </w:rPr>
        <w:lastRenderedPageBreak/>
        <w:t xml:space="preserve">judge had before him an appeal </w:t>
      </w:r>
      <w:r w:rsidR="00D91289">
        <w:rPr>
          <w:rFonts w:ascii="Book Antiqua" w:hAnsi="Book Antiqua" w:cs="Arial"/>
        </w:rPr>
        <w:t xml:space="preserve">in </w:t>
      </w:r>
      <w:r w:rsidR="005D538D">
        <w:rPr>
          <w:rFonts w:ascii="Book Antiqua" w:hAnsi="Book Antiqua" w:cs="Arial"/>
        </w:rPr>
        <w:t>wh</w:t>
      </w:r>
      <w:r w:rsidR="00D91289">
        <w:rPr>
          <w:rFonts w:ascii="Book Antiqua" w:hAnsi="Book Antiqua" w:cs="Arial"/>
        </w:rPr>
        <w:t>ich</w:t>
      </w:r>
      <w:r w:rsidR="005D538D">
        <w:rPr>
          <w:rFonts w:ascii="Book Antiqua" w:hAnsi="Book Antiqua" w:cs="Arial"/>
        </w:rPr>
        <w:t xml:space="preserve"> the appellant alleged that he was gay</w:t>
      </w:r>
      <w:r w:rsidR="00D91289">
        <w:rPr>
          <w:rFonts w:ascii="Book Antiqua" w:hAnsi="Book Antiqua" w:cs="Arial"/>
        </w:rPr>
        <w:t>.  T</w:t>
      </w:r>
      <w:r w:rsidR="005D538D">
        <w:rPr>
          <w:rFonts w:ascii="Book Antiqua" w:hAnsi="Book Antiqua" w:cs="Arial"/>
        </w:rPr>
        <w:t>he judge having heard the evidence dismissed the appeal.  The allegation contained in the grounds of appeal to the Upper Tribunal is that there was procedural unfairness in the way the First-tier Tribunal Judge dealt with the fact that the appellant’s partner did not give evidence.</w:t>
      </w:r>
      <w:r w:rsidR="00C1610D">
        <w:rPr>
          <w:rFonts w:ascii="Book Antiqua" w:hAnsi="Book Antiqua" w:cs="Arial"/>
        </w:rPr>
        <w:t xml:space="preserve">  </w:t>
      </w:r>
    </w:p>
    <w:p w14:paraId="14F57F08" w14:textId="77777777" w:rsidR="00C1610D" w:rsidRDefault="00C1610D" w:rsidP="0057609C">
      <w:pPr>
        <w:numPr>
          <w:ilvl w:val="0"/>
          <w:numId w:val="3"/>
        </w:numPr>
        <w:spacing w:before="240"/>
        <w:jc w:val="both"/>
        <w:rPr>
          <w:rFonts w:ascii="Book Antiqua" w:hAnsi="Book Antiqua" w:cs="Arial"/>
        </w:rPr>
      </w:pPr>
      <w:r>
        <w:rPr>
          <w:rFonts w:ascii="Book Antiqua" w:hAnsi="Book Antiqua" w:cs="Arial"/>
        </w:rPr>
        <w:t>The background to th</w:t>
      </w:r>
      <w:r w:rsidR="00D91289">
        <w:rPr>
          <w:rFonts w:ascii="Book Antiqua" w:hAnsi="Book Antiqua" w:cs="Arial"/>
        </w:rPr>
        <w:t>is</w:t>
      </w:r>
      <w:r>
        <w:rPr>
          <w:rFonts w:ascii="Book Antiqua" w:hAnsi="Book Antiqua" w:cs="Arial"/>
        </w:rPr>
        <w:t xml:space="preserve"> is that an application was made to adjourn the hearing by letter dated 5 September 2017 which was received at Hatton Cross on 7 September 2017.  The application was in this form:</w:t>
      </w:r>
    </w:p>
    <w:p w14:paraId="291701E4" w14:textId="6B67264A" w:rsidR="00C1610D" w:rsidRDefault="00B85A96" w:rsidP="00C1610D">
      <w:pPr>
        <w:spacing w:before="240"/>
        <w:ind w:left="1134"/>
        <w:jc w:val="both"/>
        <w:rPr>
          <w:rFonts w:ascii="Book Antiqua" w:hAnsi="Book Antiqua" w:cs="Arial"/>
        </w:rPr>
      </w:pPr>
      <w:r>
        <w:rPr>
          <w:rFonts w:ascii="Book Antiqua" w:hAnsi="Book Antiqua" w:cs="Arial"/>
          <w:sz w:val="22"/>
          <w:szCs w:val="22"/>
        </w:rPr>
        <w:t>“</w:t>
      </w:r>
      <w:r w:rsidR="00C1610D" w:rsidRPr="00694FAE">
        <w:rPr>
          <w:rFonts w:ascii="Book Antiqua" w:hAnsi="Book Antiqua" w:cs="Arial"/>
          <w:sz w:val="22"/>
          <w:szCs w:val="22"/>
        </w:rPr>
        <w:t xml:space="preserve">We have indicated that our client requires further time </w:t>
      </w:r>
      <w:r w:rsidR="00D91289">
        <w:rPr>
          <w:rFonts w:ascii="Book Antiqua" w:hAnsi="Book Antiqua" w:cs="Arial"/>
          <w:sz w:val="22"/>
          <w:szCs w:val="22"/>
        </w:rPr>
        <w:t xml:space="preserve">for </w:t>
      </w:r>
      <w:r w:rsidR="00C1610D" w:rsidRPr="00694FAE">
        <w:rPr>
          <w:rFonts w:ascii="Book Antiqua" w:hAnsi="Book Antiqua" w:cs="Arial"/>
          <w:sz w:val="22"/>
          <w:szCs w:val="22"/>
        </w:rPr>
        <w:t>his appeal hearing and also his witness, namely his partner</w:t>
      </w:r>
      <w:r w:rsidR="00D91289">
        <w:rPr>
          <w:rFonts w:ascii="Book Antiqua" w:hAnsi="Book Antiqua" w:cs="Arial"/>
          <w:sz w:val="22"/>
          <w:szCs w:val="22"/>
        </w:rPr>
        <w:t>,</w:t>
      </w:r>
      <w:r w:rsidR="00C1610D" w:rsidRPr="00694FAE">
        <w:rPr>
          <w:rFonts w:ascii="Book Antiqua" w:hAnsi="Book Antiqua" w:cs="Arial"/>
          <w:sz w:val="22"/>
          <w:szCs w:val="22"/>
        </w:rPr>
        <w:t xml:space="preserve"> cannot attend the hearing at the set date.  Given the appel</w:t>
      </w:r>
      <w:r w:rsidR="00D91289">
        <w:rPr>
          <w:rFonts w:ascii="Book Antiqua" w:hAnsi="Book Antiqua" w:cs="Arial"/>
          <w:sz w:val="22"/>
          <w:szCs w:val="22"/>
        </w:rPr>
        <w:t>lant’s claim of his sexuality</w:t>
      </w:r>
      <w:r w:rsidR="00C1610D" w:rsidRPr="00694FAE">
        <w:rPr>
          <w:rFonts w:ascii="Book Antiqua" w:hAnsi="Book Antiqua" w:cs="Arial"/>
          <w:sz w:val="22"/>
          <w:szCs w:val="22"/>
        </w:rPr>
        <w:t xml:space="preserve"> is not accepted</w:t>
      </w:r>
      <w:r w:rsidR="00D91289">
        <w:rPr>
          <w:rFonts w:ascii="Book Antiqua" w:hAnsi="Book Antiqua" w:cs="Arial"/>
          <w:sz w:val="22"/>
          <w:szCs w:val="22"/>
        </w:rPr>
        <w:t xml:space="preserve">, </w:t>
      </w:r>
      <w:r w:rsidR="00C1610D" w:rsidRPr="00694FAE">
        <w:rPr>
          <w:rFonts w:ascii="Book Antiqua" w:hAnsi="Book Antiqua" w:cs="Arial"/>
          <w:sz w:val="22"/>
          <w:szCs w:val="22"/>
        </w:rPr>
        <w:t>the evidence of his partner is crucial evidence in support of his claim.  In light of the same we would be obliged if an alternative date for his appeal hearing is given</w:t>
      </w:r>
      <w:r w:rsidR="00C1610D">
        <w:rPr>
          <w:rFonts w:ascii="Book Antiqua" w:hAnsi="Book Antiqua" w:cs="Arial"/>
        </w:rPr>
        <w:t>.</w:t>
      </w:r>
      <w:r>
        <w:rPr>
          <w:rFonts w:ascii="Book Antiqua" w:hAnsi="Book Antiqua" w:cs="Arial"/>
        </w:rPr>
        <w:t>”</w:t>
      </w:r>
      <w:r w:rsidR="00C1610D">
        <w:rPr>
          <w:rFonts w:ascii="Book Antiqua" w:hAnsi="Book Antiqua" w:cs="Arial"/>
        </w:rPr>
        <w:t xml:space="preserve">  </w:t>
      </w:r>
    </w:p>
    <w:p w14:paraId="72B05334" w14:textId="77777777" w:rsidR="00D91289" w:rsidRPr="00B35E75" w:rsidRDefault="00C1610D" w:rsidP="0057609C">
      <w:pPr>
        <w:numPr>
          <w:ilvl w:val="0"/>
          <w:numId w:val="3"/>
        </w:numPr>
        <w:spacing w:before="240"/>
        <w:jc w:val="both"/>
        <w:rPr>
          <w:rFonts w:ascii="Book Antiqua" w:hAnsi="Book Antiqua" w:cs="Arial"/>
          <w:sz w:val="22"/>
          <w:szCs w:val="22"/>
        </w:rPr>
      </w:pPr>
      <w:r>
        <w:rPr>
          <w:rFonts w:ascii="Book Antiqua" w:hAnsi="Book Antiqua" w:cs="Arial"/>
        </w:rPr>
        <w:t>There is of course no reason given as to why the partner could not attend the hearing at the set date</w:t>
      </w:r>
      <w:r w:rsidR="00D91289">
        <w:rPr>
          <w:rFonts w:ascii="Book Antiqua" w:hAnsi="Book Antiqua" w:cs="Arial"/>
        </w:rPr>
        <w:t>.  I</w:t>
      </w:r>
      <w:r>
        <w:rPr>
          <w:rFonts w:ascii="Book Antiqua" w:hAnsi="Book Antiqua" w:cs="Arial"/>
        </w:rPr>
        <w:t xml:space="preserve">n due course </w:t>
      </w:r>
      <w:r w:rsidR="00D91289">
        <w:rPr>
          <w:rFonts w:ascii="Book Antiqua" w:hAnsi="Book Antiqua" w:cs="Arial"/>
        </w:rPr>
        <w:t xml:space="preserve">the application </w:t>
      </w:r>
      <w:r>
        <w:rPr>
          <w:rFonts w:ascii="Book Antiqua" w:hAnsi="Book Antiqua" w:cs="Arial"/>
        </w:rPr>
        <w:t xml:space="preserve">went before </w:t>
      </w:r>
      <w:r w:rsidR="004620AE">
        <w:rPr>
          <w:rFonts w:ascii="Book Antiqua" w:hAnsi="Book Antiqua" w:cs="Arial"/>
        </w:rPr>
        <w:t>the First-tier Tribunal and it appears to have been noted in the asylum appeal prehearing review form.  That form is dated 12 September 2017 and alongside the indication that the adjournment was refused</w:t>
      </w:r>
      <w:r w:rsidR="00D91289">
        <w:rPr>
          <w:rFonts w:ascii="Book Antiqua" w:hAnsi="Book Antiqua" w:cs="Arial"/>
        </w:rPr>
        <w:t>,</w:t>
      </w:r>
      <w:r w:rsidR="004620AE">
        <w:rPr>
          <w:rFonts w:ascii="Book Antiqua" w:hAnsi="Book Antiqua" w:cs="Arial"/>
        </w:rPr>
        <w:t xml:space="preserve"> the reasons given w</w:t>
      </w:r>
      <w:r w:rsidR="00CD238D">
        <w:rPr>
          <w:rFonts w:ascii="Book Antiqua" w:hAnsi="Book Antiqua" w:cs="Arial"/>
        </w:rPr>
        <w:t>ere</w:t>
      </w:r>
      <w:r w:rsidR="00D91289">
        <w:rPr>
          <w:rFonts w:ascii="Book Antiqua" w:hAnsi="Book Antiqua" w:cs="Arial"/>
        </w:rPr>
        <w:t>:</w:t>
      </w:r>
    </w:p>
    <w:p w14:paraId="7174E7C0" w14:textId="17CB4E1B" w:rsidR="00D91289" w:rsidRPr="00B35E75" w:rsidRDefault="00D91289" w:rsidP="00D91289">
      <w:pPr>
        <w:spacing w:before="240"/>
        <w:ind w:left="1134" w:hanging="1134"/>
        <w:jc w:val="both"/>
        <w:rPr>
          <w:rFonts w:ascii="Book Antiqua" w:hAnsi="Book Antiqua" w:cs="Arial"/>
          <w:sz w:val="22"/>
          <w:szCs w:val="22"/>
        </w:rPr>
      </w:pPr>
      <w:r w:rsidRPr="00B35E75">
        <w:rPr>
          <w:rFonts w:ascii="Book Antiqua" w:hAnsi="Book Antiqua" w:cs="Arial"/>
          <w:sz w:val="22"/>
          <w:szCs w:val="22"/>
        </w:rPr>
        <w:tab/>
      </w:r>
      <w:r w:rsidR="00B85A96">
        <w:rPr>
          <w:rFonts w:ascii="Book Antiqua" w:hAnsi="Book Antiqua" w:cs="Arial"/>
          <w:sz w:val="22"/>
          <w:szCs w:val="22"/>
        </w:rPr>
        <w:t>“</w:t>
      </w:r>
      <w:r w:rsidRPr="00B35E75">
        <w:rPr>
          <w:rFonts w:ascii="Book Antiqua" w:hAnsi="Book Antiqua" w:cs="Arial"/>
          <w:sz w:val="22"/>
          <w:szCs w:val="22"/>
        </w:rPr>
        <w:t>R</w:t>
      </w:r>
      <w:r w:rsidR="00CD238D" w:rsidRPr="00B35E75">
        <w:rPr>
          <w:rFonts w:ascii="Book Antiqua" w:hAnsi="Book Antiqua" w:cs="Arial"/>
          <w:sz w:val="22"/>
          <w:szCs w:val="22"/>
        </w:rPr>
        <w:t>equest to adjourn refused.  T</w:t>
      </w:r>
      <w:r w:rsidR="004620AE" w:rsidRPr="00B35E75">
        <w:rPr>
          <w:rFonts w:ascii="Book Antiqua" w:hAnsi="Book Antiqua" w:cs="Arial"/>
          <w:sz w:val="22"/>
          <w:szCs w:val="22"/>
        </w:rPr>
        <w:t>here is no explanation as to what further evidence the appellant wishe</w:t>
      </w:r>
      <w:r w:rsidRPr="00B35E75">
        <w:rPr>
          <w:rFonts w:ascii="Book Antiqua" w:hAnsi="Book Antiqua" w:cs="Arial"/>
          <w:sz w:val="22"/>
          <w:szCs w:val="22"/>
        </w:rPr>
        <w:t>s</w:t>
      </w:r>
      <w:r w:rsidR="004620AE" w:rsidRPr="00B35E75">
        <w:rPr>
          <w:rFonts w:ascii="Book Antiqua" w:hAnsi="Book Antiqua" w:cs="Arial"/>
          <w:sz w:val="22"/>
          <w:szCs w:val="22"/>
        </w:rPr>
        <w:t xml:space="preserve"> to obtain or why this </w:t>
      </w:r>
      <w:r w:rsidRPr="00B35E75">
        <w:rPr>
          <w:rFonts w:ascii="Book Antiqua" w:hAnsi="Book Antiqua" w:cs="Arial"/>
          <w:sz w:val="22"/>
          <w:szCs w:val="22"/>
        </w:rPr>
        <w:t>was</w:t>
      </w:r>
      <w:r w:rsidR="004620AE" w:rsidRPr="00B35E75">
        <w:rPr>
          <w:rFonts w:ascii="Book Antiqua" w:hAnsi="Book Antiqua" w:cs="Arial"/>
          <w:sz w:val="22"/>
          <w:szCs w:val="22"/>
        </w:rPr>
        <w:t xml:space="preserve"> crucial to the determination of their appeal.  It is considered that the appellant’s witness is not required to attend when they can provide a witness statement.</w:t>
      </w:r>
      <w:r w:rsidR="00B85A96">
        <w:rPr>
          <w:rFonts w:ascii="Book Antiqua" w:hAnsi="Book Antiqua" w:cs="Arial"/>
          <w:sz w:val="22"/>
          <w:szCs w:val="22"/>
        </w:rPr>
        <w:t>”</w:t>
      </w:r>
      <w:r w:rsidR="004620AE" w:rsidRPr="00B35E75">
        <w:rPr>
          <w:rFonts w:ascii="Book Antiqua" w:hAnsi="Book Antiqua" w:cs="Arial"/>
          <w:sz w:val="22"/>
          <w:szCs w:val="22"/>
        </w:rPr>
        <w:t xml:space="preserve">  </w:t>
      </w:r>
    </w:p>
    <w:p w14:paraId="2CEBA650" w14:textId="77777777" w:rsidR="00CD238D" w:rsidRDefault="004620AE" w:rsidP="00D91289">
      <w:pPr>
        <w:numPr>
          <w:ilvl w:val="0"/>
          <w:numId w:val="3"/>
        </w:numPr>
        <w:spacing w:before="240"/>
        <w:jc w:val="both"/>
        <w:rPr>
          <w:rFonts w:ascii="Book Antiqua" w:hAnsi="Book Antiqua" w:cs="Arial"/>
        </w:rPr>
      </w:pPr>
      <w:r>
        <w:rPr>
          <w:rFonts w:ascii="Book Antiqua" w:hAnsi="Book Antiqua" w:cs="Arial"/>
        </w:rPr>
        <w:t>The application, as I have said, did not provide any details as to why the partner could not attend the hearing at the set date.  There was no supporting, say medical</w:t>
      </w:r>
      <w:r w:rsidR="008F332E">
        <w:rPr>
          <w:rFonts w:ascii="Book Antiqua" w:hAnsi="Book Antiqua" w:cs="Arial"/>
        </w:rPr>
        <w:t xml:space="preserve">, </w:t>
      </w:r>
      <w:r>
        <w:rPr>
          <w:rFonts w:ascii="Book Antiqua" w:hAnsi="Book Antiqua" w:cs="Arial"/>
        </w:rPr>
        <w:t>evidence or explanation as to why it was particularly impossible</w:t>
      </w:r>
      <w:r w:rsidR="00D91289">
        <w:rPr>
          <w:rFonts w:ascii="Book Antiqua" w:hAnsi="Book Antiqua" w:cs="Arial"/>
        </w:rPr>
        <w:t>.  F</w:t>
      </w:r>
      <w:r>
        <w:rPr>
          <w:rFonts w:ascii="Book Antiqua" w:hAnsi="Book Antiqua" w:cs="Arial"/>
        </w:rPr>
        <w:t>or that reason it was inevitable that the application for an adjournment on that basis w</w:t>
      </w:r>
      <w:r w:rsidR="00D91289">
        <w:rPr>
          <w:rFonts w:ascii="Book Antiqua" w:hAnsi="Book Antiqua" w:cs="Arial"/>
        </w:rPr>
        <w:t>ould be</w:t>
      </w:r>
      <w:r>
        <w:rPr>
          <w:rFonts w:ascii="Book Antiqua" w:hAnsi="Book Antiqua" w:cs="Arial"/>
        </w:rPr>
        <w:t xml:space="preserve"> refused.  </w:t>
      </w:r>
    </w:p>
    <w:p w14:paraId="675824C0" w14:textId="6810686B" w:rsidR="00B35E75" w:rsidRDefault="004620AE" w:rsidP="0057609C">
      <w:pPr>
        <w:numPr>
          <w:ilvl w:val="0"/>
          <w:numId w:val="3"/>
        </w:numPr>
        <w:spacing w:before="240"/>
        <w:jc w:val="both"/>
        <w:rPr>
          <w:rFonts w:ascii="Book Antiqua" w:hAnsi="Book Antiqua" w:cs="Arial"/>
        </w:rPr>
      </w:pPr>
      <w:r>
        <w:rPr>
          <w:rFonts w:ascii="Book Antiqua" w:hAnsi="Book Antiqua" w:cs="Arial"/>
        </w:rPr>
        <w:t>Some days later</w:t>
      </w:r>
      <w:r w:rsidR="006B21F8">
        <w:rPr>
          <w:rFonts w:ascii="Book Antiqua" w:hAnsi="Book Antiqua" w:cs="Arial"/>
        </w:rPr>
        <w:t>,</w:t>
      </w:r>
      <w:r w:rsidR="00CD238D">
        <w:rPr>
          <w:rFonts w:ascii="Book Antiqua" w:hAnsi="Book Antiqua" w:cs="Arial"/>
        </w:rPr>
        <w:t xml:space="preserve"> on </w:t>
      </w:r>
      <w:r w:rsidR="00B85A96">
        <w:rPr>
          <w:rFonts w:ascii="Book Antiqua" w:hAnsi="Book Antiqua" w:cs="Arial"/>
        </w:rPr>
        <w:t>1</w:t>
      </w:r>
      <w:r w:rsidR="00CD238D">
        <w:rPr>
          <w:rFonts w:ascii="Book Antiqua" w:hAnsi="Book Antiqua" w:cs="Arial"/>
        </w:rPr>
        <w:t xml:space="preserve">9 September 2017, and that was some five days before the hearing which took place on 26 September 2017, a witness statement was provided by Mr </w:t>
      </w:r>
      <w:r w:rsidR="00B85A96">
        <w:rPr>
          <w:rFonts w:ascii="Book Antiqua" w:hAnsi="Book Antiqua" w:cs="Arial"/>
        </w:rPr>
        <w:t>[</w:t>
      </w:r>
      <w:r w:rsidR="00CD238D">
        <w:rPr>
          <w:rFonts w:ascii="Book Antiqua" w:hAnsi="Book Antiqua" w:cs="Arial"/>
        </w:rPr>
        <w:t>MA</w:t>
      </w:r>
      <w:r w:rsidR="00B85A96">
        <w:rPr>
          <w:rFonts w:ascii="Book Antiqua" w:hAnsi="Book Antiqua" w:cs="Arial"/>
        </w:rPr>
        <w:t>]</w:t>
      </w:r>
      <w:r w:rsidR="00CD238D">
        <w:rPr>
          <w:rFonts w:ascii="Book Antiqua" w:hAnsi="Book Antiqua" w:cs="Arial"/>
        </w:rPr>
        <w:t xml:space="preserve">.  He gave his address and said that he was a citizen of </w:t>
      </w:r>
      <w:smartTag w:uri="urn:schemas-microsoft-com:office:smarttags" w:element="country-region">
        <w:smartTag w:uri="urn:schemas-microsoft-com:office:smarttags" w:element="place">
          <w:r w:rsidR="00CD238D">
            <w:rPr>
              <w:rFonts w:ascii="Book Antiqua" w:hAnsi="Book Antiqua" w:cs="Arial"/>
            </w:rPr>
            <w:t>Pakistan</w:t>
          </w:r>
        </w:smartTag>
      </w:smartTag>
      <w:r w:rsidR="006B21F8">
        <w:rPr>
          <w:rFonts w:ascii="Book Antiqua" w:hAnsi="Book Antiqua" w:cs="Arial"/>
        </w:rPr>
        <w:t>.  He</w:t>
      </w:r>
      <w:r w:rsidR="00CD238D">
        <w:rPr>
          <w:rFonts w:ascii="Book Antiqua" w:hAnsi="Book Antiqua" w:cs="Arial"/>
        </w:rPr>
        <w:t xml:space="preserve"> confirmed that the appellant was his partner and that they met in July 2017.  He made in the course of what w</w:t>
      </w:r>
      <w:r w:rsidR="00B35E75">
        <w:rPr>
          <w:rFonts w:ascii="Book Antiqua" w:hAnsi="Book Antiqua" w:cs="Arial"/>
        </w:rPr>
        <w:t>ere 8</w:t>
      </w:r>
      <w:r w:rsidR="00CD238D">
        <w:rPr>
          <w:rFonts w:ascii="Book Antiqua" w:hAnsi="Book Antiqua" w:cs="Arial"/>
        </w:rPr>
        <w:t xml:space="preserve"> short paragraphs a simple averment, </w:t>
      </w:r>
    </w:p>
    <w:p w14:paraId="3B86C3D9" w14:textId="1BE06B4B" w:rsidR="00B35E75" w:rsidRPr="00B35E75" w:rsidRDefault="00B35E75" w:rsidP="00B35E75">
      <w:pPr>
        <w:spacing w:before="240"/>
        <w:jc w:val="both"/>
        <w:rPr>
          <w:rFonts w:ascii="Book Antiqua" w:hAnsi="Book Antiqua" w:cs="Arial"/>
          <w:sz w:val="22"/>
          <w:szCs w:val="22"/>
        </w:rPr>
      </w:pPr>
      <w:r>
        <w:rPr>
          <w:rFonts w:ascii="Book Antiqua" w:hAnsi="Book Antiqua" w:cs="Arial"/>
        </w:rPr>
        <w:tab/>
      </w:r>
      <w:r>
        <w:rPr>
          <w:rFonts w:ascii="Book Antiqua" w:hAnsi="Book Antiqua" w:cs="Arial"/>
        </w:rPr>
        <w:tab/>
      </w:r>
      <w:r w:rsidR="00B85A96">
        <w:rPr>
          <w:rFonts w:ascii="Book Antiqua" w:hAnsi="Book Antiqua" w:cs="Arial"/>
        </w:rPr>
        <w:t>“</w:t>
      </w:r>
      <w:r w:rsidR="00CD238D" w:rsidRPr="00B35E75">
        <w:rPr>
          <w:rFonts w:ascii="Book Antiqua" w:hAnsi="Book Antiqua" w:cs="Arial"/>
          <w:sz w:val="22"/>
          <w:szCs w:val="22"/>
        </w:rPr>
        <w:t>I confirm Wasif is a homosexual and we are in a relationship with each other.</w:t>
      </w:r>
      <w:r w:rsidR="00B85A96">
        <w:rPr>
          <w:rFonts w:ascii="Book Antiqua" w:hAnsi="Book Antiqua" w:cs="Arial"/>
          <w:sz w:val="22"/>
          <w:szCs w:val="22"/>
        </w:rPr>
        <w:t>”</w:t>
      </w:r>
      <w:r w:rsidR="00CD238D" w:rsidRPr="00B35E75">
        <w:rPr>
          <w:rFonts w:ascii="Book Antiqua" w:hAnsi="Book Antiqua" w:cs="Arial"/>
          <w:sz w:val="22"/>
          <w:szCs w:val="22"/>
        </w:rPr>
        <w:t xml:space="preserve">  </w:t>
      </w:r>
    </w:p>
    <w:p w14:paraId="3C143D77" w14:textId="7E6A9D91" w:rsidR="0057609C" w:rsidRDefault="00CD238D" w:rsidP="0057609C">
      <w:pPr>
        <w:numPr>
          <w:ilvl w:val="0"/>
          <w:numId w:val="3"/>
        </w:numPr>
        <w:spacing w:before="240"/>
        <w:jc w:val="both"/>
        <w:rPr>
          <w:rFonts w:ascii="Book Antiqua" w:hAnsi="Book Antiqua" w:cs="Arial"/>
        </w:rPr>
      </w:pPr>
      <w:r>
        <w:rPr>
          <w:rFonts w:ascii="Book Antiqua" w:hAnsi="Book Antiqua" w:cs="Arial"/>
        </w:rPr>
        <w:t xml:space="preserve">That was the sum total of the evidence that was provided by Mr </w:t>
      </w:r>
      <w:r w:rsidR="00B85A96">
        <w:rPr>
          <w:rFonts w:ascii="Book Antiqua" w:hAnsi="Book Antiqua" w:cs="Arial"/>
        </w:rPr>
        <w:t xml:space="preserve">[MA] </w:t>
      </w:r>
      <w:r>
        <w:rPr>
          <w:rFonts w:ascii="Book Antiqua" w:hAnsi="Book Antiqua" w:cs="Arial"/>
        </w:rPr>
        <w:t>and it was, I think</w:t>
      </w:r>
      <w:r w:rsidR="006B21F8">
        <w:rPr>
          <w:rFonts w:ascii="Book Antiqua" w:hAnsi="Book Antiqua" w:cs="Arial"/>
        </w:rPr>
        <w:t>,</w:t>
      </w:r>
      <w:r>
        <w:rPr>
          <w:rFonts w:ascii="Book Antiqua" w:hAnsi="Book Antiqua" w:cs="Arial"/>
        </w:rPr>
        <w:t xml:space="preserve"> on any view unsatisfactory to establish the fact of the appellant being a gay man if that individual did not give evidence.  </w:t>
      </w:r>
      <w:r w:rsidR="00B35E75">
        <w:rPr>
          <w:rFonts w:ascii="Book Antiqua" w:hAnsi="Book Antiqua" w:cs="Arial"/>
        </w:rPr>
        <w:t xml:space="preserve">The outcome </w:t>
      </w:r>
      <w:r>
        <w:rPr>
          <w:rFonts w:ascii="Book Antiqua" w:hAnsi="Book Antiqua" w:cs="Arial"/>
        </w:rPr>
        <w:t>was entirely foreseeable</w:t>
      </w:r>
      <w:r w:rsidR="00B35E75">
        <w:rPr>
          <w:rFonts w:ascii="Book Antiqua" w:hAnsi="Book Antiqua" w:cs="Arial"/>
        </w:rPr>
        <w:t>.  It must hav</w:t>
      </w:r>
      <w:r>
        <w:rPr>
          <w:rFonts w:ascii="Book Antiqua" w:hAnsi="Book Antiqua" w:cs="Arial"/>
        </w:rPr>
        <w:t xml:space="preserve">e been known and should have been known that this type of case cannot succeed realistically unless there is some evidence of </w:t>
      </w:r>
      <w:r w:rsidR="00B35E75">
        <w:rPr>
          <w:rFonts w:ascii="Book Antiqua" w:hAnsi="Book Antiqua" w:cs="Arial"/>
        </w:rPr>
        <w:t>an active social and domestic life</w:t>
      </w:r>
      <w:r>
        <w:rPr>
          <w:rFonts w:ascii="Book Antiqua" w:hAnsi="Book Antiqua" w:cs="Arial"/>
        </w:rPr>
        <w:t xml:space="preserve"> between male partners where those partners </w:t>
      </w:r>
      <w:r w:rsidR="00B35E75">
        <w:rPr>
          <w:rFonts w:ascii="Book Antiqua" w:hAnsi="Book Antiqua" w:cs="Arial"/>
        </w:rPr>
        <w:t>are present</w:t>
      </w:r>
      <w:r>
        <w:rPr>
          <w:rFonts w:ascii="Book Antiqua" w:hAnsi="Book Antiqua" w:cs="Arial"/>
        </w:rPr>
        <w:t xml:space="preserv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t>
      </w:r>
    </w:p>
    <w:p w14:paraId="6F86CBB4" w14:textId="77777777" w:rsidR="00D813C0" w:rsidRDefault="00CD238D" w:rsidP="0057609C">
      <w:pPr>
        <w:numPr>
          <w:ilvl w:val="0"/>
          <w:numId w:val="3"/>
        </w:numPr>
        <w:spacing w:before="240"/>
        <w:jc w:val="both"/>
        <w:rPr>
          <w:rFonts w:ascii="Book Antiqua" w:hAnsi="Book Antiqua" w:cs="Arial"/>
        </w:rPr>
      </w:pPr>
      <w:r>
        <w:rPr>
          <w:rFonts w:ascii="Book Antiqua" w:hAnsi="Book Antiqua" w:cs="Arial"/>
        </w:rPr>
        <w:t>The argument that is</w:t>
      </w:r>
      <w:r w:rsidR="006B21F8">
        <w:rPr>
          <w:rFonts w:ascii="Book Antiqua" w:hAnsi="Book Antiqua" w:cs="Arial"/>
        </w:rPr>
        <w:t xml:space="preserve"> put forward is that</w:t>
      </w:r>
      <w:r w:rsidR="00B35E75">
        <w:rPr>
          <w:rFonts w:ascii="Book Antiqua" w:hAnsi="Book Antiqua" w:cs="Arial"/>
        </w:rPr>
        <w:t xml:space="preserve"> the </w:t>
      </w:r>
      <w:r w:rsidR="006B21F8">
        <w:rPr>
          <w:rFonts w:ascii="Book Antiqua" w:hAnsi="Book Antiqua" w:cs="Arial"/>
        </w:rPr>
        <w:t>reason</w:t>
      </w:r>
      <w:r w:rsidR="00B35E75">
        <w:rPr>
          <w:rFonts w:ascii="Book Antiqua" w:hAnsi="Book Antiqua" w:cs="Arial"/>
        </w:rPr>
        <w:t xml:space="preserve"> for refusing the adjournment, (namely that</w:t>
      </w:r>
      <w:r w:rsidR="006B21F8">
        <w:rPr>
          <w:rFonts w:ascii="Book Antiqua" w:hAnsi="Book Antiqua" w:cs="Arial"/>
        </w:rPr>
        <w:t xml:space="preserve"> </w:t>
      </w:r>
      <w:r>
        <w:rPr>
          <w:rFonts w:ascii="Book Antiqua" w:hAnsi="Book Antiqua" w:cs="Arial"/>
        </w:rPr>
        <w:t xml:space="preserve">it is considered that the appellant’s witness is not required to attend when </w:t>
      </w:r>
      <w:r w:rsidR="00B35E75">
        <w:rPr>
          <w:rFonts w:ascii="Book Antiqua" w:hAnsi="Book Antiqua" w:cs="Arial"/>
        </w:rPr>
        <w:lastRenderedPageBreak/>
        <w:t>he</w:t>
      </w:r>
      <w:r>
        <w:rPr>
          <w:rFonts w:ascii="Book Antiqua" w:hAnsi="Book Antiqua" w:cs="Arial"/>
        </w:rPr>
        <w:t xml:space="preserve"> </w:t>
      </w:r>
      <w:r w:rsidR="00B35E75">
        <w:rPr>
          <w:rFonts w:ascii="Book Antiqua" w:hAnsi="Book Antiqua" w:cs="Arial"/>
        </w:rPr>
        <w:t xml:space="preserve">can provide a witness statement) </w:t>
      </w:r>
      <w:r>
        <w:rPr>
          <w:rFonts w:ascii="Book Antiqua" w:hAnsi="Book Antiqua" w:cs="Arial"/>
        </w:rPr>
        <w:t>was misleading</w:t>
      </w:r>
      <w:r w:rsidR="00B35E75">
        <w:rPr>
          <w:rFonts w:ascii="Book Antiqua" w:hAnsi="Book Antiqua" w:cs="Arial"/>
        </w:rPr>
        <w:t xml:space="preserve">.  It </w:t>
      </w:r>
      <w:r>
        <w:rPr>
          <w:rFonts w:ascii="Book Antiqua" w:hAnsi="Book Antiqua" w:cs="Arial"/>
        </w:rPr>
        <w:t xml:space="preserve">meant </w:t>
      </w:r>
      <w:r w:rsidR="00B35E75">
        <w:rPr>
          <w:rFonts w:ascii="Book Antiqua" w:hAnsi="Book Antiqua" w:cs="Arial"/>
        </w:rPr>
        <w:t xml:space="preserve">(or represented) </w:t>
      </w:r>
      <w:r>
        <w:rPr>
          <w:rFonts w:ascii="Book Antiqua" w:hAnsi="Book Antiqua" w:cs="Arial"/>
        </w:rPr>
        <w:t xml:space="preserve">that </w:t>
      </w:r>
      <w:r w:rsidR="00B35E75">
        <w:rPr>
          <w:rFonts w:ascii="Book Antiqua" w:hAnsi="Book Antiqua" w:cs="Arial"/>
        </w:rPr>
        <w:t>a</w:t>
      </w:r>
      <w:r>
        <w:rPr>
          <w:rFonts w:ascii="Book Antiqua" w:hAnsi="Book Antiqua" w:cs="Arial"/>
        </w:rPr>
        <w:t xml:space="preserve"> witness statement, if provided, was going to be accepted as truthful.  That cannot possibly be the correct </w:t>
      </w:r>
      <w:r w:rsidR="00B35E75">
        <w:rPr>
          <w:rFonts w:ascii="Book Antiqua" w:hAnsi="Book Antiqua" w:cs="Arial"/>
        </w:rPr>
        <w:t>interpretation</w:t>
      </w:r>
      <w:r>
        <w:rPr>
          <w:rFonts w:ascii="Book Antiqua" w:hAnsi="Book Antiqua" w:cs="Arial"/>
        </w:rPr>
        <w:t xml:space="preserve"> of that statement in the refusal decision.  First of all there was no</w:t>
      </w:r>
      <w:r w:rsidR="00B35E75">
        <w:rPr>
          <w:rFonts w:ascii="Book Antiqua" w:hAnsi="Book Antiqua" w:cs="Arial"/>
        </w:rPr>
        <w:t xml:space="preserve"> copy of the witness statement </w:t>
      </w:r>
      <w:r>
        <w:rPr>
          <w:rFonts w:ascii="Book Antiqua" w:hAnsi="Book Antiqua" w:cs="Arial"/>
        </w:rPr>
        <w:t>before the Tribunal member who decided the application for an adjournment</w:t>
      </w:r>
      <w:r w:rsidR="00B35E75">
        <w:rPr>
          <w:rFonts w:ascii="Book Antiqua" w:hAnsi="Book Antiqua" w:cs="Arial"/>
        </w:rPr>
        <w:t>.  S</w:t>
      </w:r>
      <w:r>
        <w:rPr>
          <w:rFonts w:ascii="Book Antiqua" w:hAnsi="Book Antiqua" w:cs="Arial"/>
        </w:rPr>
        <w:t>econdly, the witness statement was prepared on 21 September 2017</w:t>
      </w:r>
      <w:r w:rsidR="00B35E75">
        <w:rPr>
          <w:rFonts w:ascii="Book Antiqua" w:hAnsi="Book Antiqua" w:cs="Arial"/>
        </w:rPr>
        <w:t>.  M</w:t>
      </w:r>
      <w:r>
        <w:rPr>
          <w:rFonts w:ascii="Book Antiqua" w:hAnsi="Book Antiqua" w:cs="Arial"/>
        </w:rPr>
        <w:t xml:space="preserve">erely making a witness statement and </w:t>
      </w:r>
      <w:r w:rsidR="00B35E75">
        <w:rPr>
          <w:rFonts w:ascii="Book Antiqua" w:hAnsi="Book Antiqua" w:cs="Arial"/>
        </w:rPr>
        <w:t xml:space="preserve">the maker </w:t>
      </w:r>
      <w:r>
        <w:rPr>
          <w:rFonts w:ascii="Book Antiqua" w:hAnsi="Book Antiqua" w:cs="Arial"/>
        </w:rPr>
        <w:t>not being subject to cross-examination cannot</w:t>
      </w:r>
      <w:r w:rsidR="00B35E75">
        <w:rPr>
          <w:rFonts w:ascii="Book Antiqua" w:hAnsi="Book Antiqua" w:cs="Arial"/>
        </w:rPr>
        <w:t>,</w:t>
      </w:r>
      <w:r>
        <w:rPr>
          <w:rFonts w:ascii="Book Antiqua" w:hAnsi="Book Antiqua" w:cs="Arial"/>
        </w:rPr>
        <w:t xml:space="preserve"> as a matter of law</w:t>
      </w:r>
      <w:r w:rsidR="00B35E75">
        <w:rPr>
          <w:rFonts w:ascii="Book Antiqua" w:hAnsi="Book Antiqua" w:cs="Arial"/>
        </w:rPr>
        <w:t>,</w:t>
      </w:r>
      <w:r>
        <w:rPr>
          <w:rFonts w:ascii="Book Antiqua" w:hAnsi="Book Antiqua" w:cs="Arial"/>
        </w:rPr>
        <w:t xml:space="preserve"> </w:t>
      </w:r>
      <w:r w:rsidR="00D813C0">
        <w:rPr>
          <w:rFonts w:ascii="Book Antiqua" w:hAnsi="Book Antiqua" w:cs="Arial"/>
        </w:rPr>
        <w:t>oblige</w:t>
      </w:r>
      <w:r>
        <w:rPr>
          <w:rFonts w:ascii="Book Antiqua" w:hAnsi="Book Antiqua" w:cs="Arial"/>
        </w:rPr>
        <w:t xml:space="preserve"> the court to accept </w:t>
      </w:r>
      <w:r w:rsidR="00D813C0">
        <w:rPr>
          <w:rFonts w:ascii="Book Antiqua" w:hAnsi="Book Antiqua" w:cs="Arial"/>
        </w:rPr>
        <w:t xml:space="preserve">its contents </w:t>
      </w:r>
      <w:r>
        <w:rPr>
          <w:rFonts w:ascii="Book Antiqua" w:hAnsi="Book Antiqua" w:cs="Arial"/>
        </w:rPr>
        <w:t>as authentic and genuine</w:t>
      </w:r>
      <w:r w:rsidR="00D813C0">
        <w:rPr>
          <w:rFonts w:ascii="Book Antiqua" w:hAnsi="Book Antiqua" w:cs="Arial"/>
        </w:rPr>
        <w:t>.  O</w:t>
      </w:r>
      <w:r>
        <w:rPr>
          <w:rFonts w:ascii="Book Antiqua" w:hAnsi="Book Antiqua" w:cs="Arial"/>
        </w:rPr>
        <w:t xml:space="preserve">therwise there would be no purpose in anybody calling live witnesses and a mere statement would establish the case even though the individual maker does not attend.  </w:t>
      </w:r>
    </w:p>
    <w:p w14:paraId="2141B18D" w14:textId="77777777" w:rsidR="006B21F8" w:rsidRDefault="00FC5531" w:rsidP="0057609C">
      <w:pPr>
        <w:numPr>
          <w:ilvl w:val="0"/>
          <w:numId w:val="3"/>
        </w:numPr>
        <w:spacing w:before="240"/>
        <w:jc w:val="both"/>
        <w:rPr>
          <w:rFonts w:ascii="Book Antiqua" w:hAnsi="Book Antiqua" w:cs="Arial"/>
        </w:rPr>
      </w:pPr>
      <w:r>
        <w:rPr>
          <w:rFonts w:ascii="Book Antiqua" w:hAnsi="Book Antiqua" w:cs="Arial"/>
        </w:rPr>
        <w:t>The true position must be that</w:t>
      </w:r>
      <w:r w:rsidR="00D813C0">
        <w:rPr>
          <w:rFonts w:ascii="Book Antiqua" w:hAnsi="Book Antiqua" w:cs="Arial"/>
        </w:rPr>
        <w:t>,</w:t>
      </w:r>
      <w:r>
        <w:rPr>
          <w:rFonts w:ascii="Book Antiqua" w:hAnsi="Book Antiqua" w:cs="Arial"/>
        </w:rPr>
        <w:t xml:space="preserve"> where it is intended to establish a relationship, a relationship which is a homosexual relationship in the </w:t>
      </w:r>
      <w:smartTag w:uri="urn:schemas-microsoft-com:office:smarttags" w:element="country-region">
        <w:smartTag w:uri="urn:schemas-microsoft-com:office:smarttags" w:element="place">
          <w:r>
            <w:rPr>
              <w:rFonts w:ascii="Book Antiqua" w:hAnsi="Book Antiqua" w:cs="Arial"/>
            </w:rPr>
            <w:t>United Kingdom</w:t>
          </w:r>
        </w:smartTag>
      </w:smartTag>
      <w:r w:rsidR="006B21F8">
        <w:rPr>
          <w:rFonts w:ascii="Book Antiqua" w:hAnsi="Book Antiqua" w:cs="Arial"/>
        </w:rPr>
        <w:t>,</w:t>
      </w:r>
      <w:r>
        <w:rPr>
          <w:rFonts w:ascii="Book Antiqua" w:hAnsi="Book Antiqua" w:cs="Arial"/>
        </w:rPr>
        <w:t xml:space="preserve"> both parties are clearly required to attend to give evidence</w:t>
      </w:r>
      <w:r w:rsidR="00D813C0">
        <w:rPr>
          <w:rFonts w:ascii="Book Antiqua" w:hAnsi="Book Antiqua" w:cs="Arial"/>
        </w:rPr>
        <w:t>, not as a requirement in law but as a simple matter of evidence.  T</w:t>
      </w:r>
      <w:r>
        <w:rPr>
          <w:rFonts w:ascii="Book Antiqua" w:hAnsi="Book Antiqua" w:cs="Arial"/>
        </w:rPr>
        <w:t xml:space="preserve">he failure to do so is likely to be fatal unless a very good explanation is given for the non-appearance.  </w:t>
      </w:r>
    </w:p>
    <w:p w14:paraId="70453D1F" w14:textId="30074CE4" w:rsidR="00D813C0" w:rsidRDefault="00FC5531" w:rsidP="0057609C">
      <w:pPr>
        <w:numPr>
          <w:ilvl w:val="0"/>
          <w:numId w:val="3"/>
        </w:numPr>
        <w:spacing w:before="240"/>
        <w:jc w:val="both"/>
        <w:rPr>
          <w:rFonts w:ascii="Book Antiqua" w:hAnsi="Book Antiqua" w:cs="Arial"/>
        </w:rPr>
      </w:pPr>
      <w:r>
        <w:rPr>
          <w:rFonts w:ascii="Book Antiqua" w:hAnsi="Book Antiqua" w:cs="Arial"/>
        </w:rPr>
        <w:t xml:space="preserve">At the hearing itself no application to renew the adjournment application was made.  Judge </w:t>
      </w:r>
      <w:proofErr w:type="spellStart"/>
      <w:r>
        <w:rPr>
          <w:rFonts w:ascii="Book Antiqua" w:hAnsi="Book Antiqua" w:cs="Arial"/>
        </w:rPr>
        <w:t>Widdup</w:t>
      </w:r>
      <w:proofErr w:type="spellEnd"/>
      <w:r>
        <w:rPr>
          <w:rFonts w:ascii="Book Antiqua" w:hAnsi="Book Antiqua" w:cs="Arial"/>
        </w:rPr>
        <w:t xml:space="preserve"> therefore was in the position where there was </w:t>
      </w:r>
      <w:r w:rsidR="00D813C0">
        <w:rPr>
          <w:rFonts w:ascii="Book Antiqua" w:hAnsi="Book Antiqua" w:cs="Arial"/>
        </w:rPr>
        <w:t xml:space="preserve">on file and </w:t>
      </w:r>
      <w:r>
        <w:rPr>
          <w:rFonts w:ascii="Book Antiqua" w:hAnsi="Book Antiqua" w:cs="Arial"/>
        </w:rPr>
        <w:t>in writing an earlier refusal</w:t>
      </w:r>
      <w:r w:rsidR="00D813C0">
        <w:rPr>
          <w:rFonts w:ascii="Book Antiqua" w:hAnsi="Book Antiqua" w:cs="Arial"/>
        </w:rPr>
        <w:t xml:space="preserve">.  Unless the application was renewed before him, </w:t>
      </w:r>
      <w:r>
        <w:rPr>
          <w:rFonts w:ascii="Book Antiqua" w:hAnsi="Book Antiqua" w:cs="Arial"/>
        </w:rPr>
        <w:t>it was not for him to re-open it.  Apparently it was drawn to the attention of the judge that the reason for the witness’s non-attendance was because he either had to sign on or he had a medical appointment.  That was dealt with by the judge in paragraph 23</w:t>
      </w:r>
      <w:r w:rsidR="00D813C0">
        <w:rPr>
          <w:rFonts w:ascii="Book Antiqua" w:hAnsi="Book Antiqua" w:cs="Arial"/>
        </w:rPr>
        <w:t>.  I</w:t>
      </w:r>
      <w:r>
        <w:rPr>
          <w:rFonts w:ascii="Book Antiqua" w:hAnsi="Book Antiqua" w:cs="Arial"/>
        </w:rPr>
        <w:t xml:space="preserve">t was said there he, Mr </w:t>
      </w:r>
      <w:r w:rsidR="00B85A96">
        <w:rPr>
          <w:rFonts w:ascii="Book Antiqua" w:hAnsi="Book Antiqua" w:cs="Arial"/>
        </w:rPr>
        <w:t>[MA]</w:t>
      </w:r>
      <w:r w:rsidR="00D813C0">
        <w:rPr>
          <w:rFonts w:ascii="Book Antiqua" w:hAnsi="Book Antiqua" w:cs="Arial"/>
        </w:rPr>
        <w:t>,</w:t>
      </w:r>
      <w:r>
        <w:rPr>
          <w:rFonts w:ascii="Book Antiqua" w:hAnsi="Book Antiqua" w:cs="Arial"/>
        </w:rPr>
        <w:t xml:space="preserve"> could not come to the Tribunal because he ha</w:t>
      </w:r>
      <w:r w:rsidR="00D813C0">
        <w:rPr>
          <w:rFonts w:ascii="Book Antiqua" w:hAnsi="Book Antiqua" w:cs="Arial"/>
        </w:rPr>
        <w:t>d</w:t>
      </w:r>
      <w:r>
        <w:rPr>
          <w:rFonts w:ascii="Book Antiqua" w:hAnsi="Book Antiqua" w:cs="Arial"/>
        </w:rPr>
        <w:t xml:space="preserve"> a doctor’s appointment and need</w:t>
      </w:r>
      <w:r w:rsidR="00D813C0">
        <w:rPr>
          <w:rFonts w:ascii="Book Antiqua" w:hAnsi="Book Antiqua" w:cs="Arial"/>
        </w:rPr>
        <w:t>ed</w:t>
      </w:r>
      <w:r>
        <w:rPr>
          <w:rFonts w:ascii="Book Antiqua" w:hAnsi="Book Antiqua" w:cs="Arial"/>
        </w:rPr>
        <w:t xml:space="preserve"> to sign on.  They had asked for an adjournment and he had asked </w:t>
      </w:r>
      <w:r w:rsidR="006B21F8">
        <w:rPr>
          <w:rFonts w:ascii="Book Antiqua" w:hAnsi="Book Antiqua" w:cs="Arial"/>
        </w:rPr>
        <w:t xml:space="preserve">Mr </w:t>
      </w:r>
      <w:r w:rsidR="00B85A96">
        <w:rPr>
          <w:rFonts w:ascii="Book Antiqua" w:hAnsi="Book Antiqua" w:cs="Arial"/>
        </w:rPr>
        <w:t>[MA]</w:t>
      </w:r>
      <w:r>
        <w:rPr>
          <w:rFonts w:ascii="Book Antiqua" w:hAnsi="Book Antiqua" w:cs="Arial"/>
        </w:rPr>
        <w:t xml:space="preserve"> if he could rearrange his appointment but he could not do so.  </w:t>
      </w:r>
    </w:p>
    <w:p w14:paraId="2B46B25E" w14:textId="77777777" w:rsidR="00D813C0" w:rsidRDefault="00FC5531" w:rsidP="0057609C">
      <w:pPr>
        <w:numPr>
          <w:ilvl w:val="0"/>
          <w:numId w:val="3"/>
        </w:numPr>
        <w:spacing w:before="240"/>
        <w:jc w:val="both"/>
        <w:rPr>
          <w:rFonts w:ascii="Book Antiqua" w:hAnsi="Book Antiqua" w:cs="Arial"/>
        </w:rPr>
      </w:pPr>
      <w:r>
        <w:rPr>
          <w:rFonts w:ascii="Book Antiqua" w:hAnsi="Book Antiqua" w:cs="Arial"/>
        </w:rPr>
        <w:t xml:space="preserve">As I said there was no </w:t>
      </w:r>
      <w:r w:rsidR="00D813C0">
        <w:rPr>
          <w:rFonts w:ascii="Book Antiqua" w:hAnsi="Book Antiqua" w:cs="Arial"/>
        </w:rPr>
        <w:t xml:space="preserve">further </w:t>
      </w:r>
      <w:r>
        <w:rPr>
          <w:rFonts w:ascii="Book Antiqua" w:hAnsi="Book Antiqua" w:cs="Arial"/>
        </w:rPr>
        <w:t>application to adjourn but</w:t>
      </w:r>
      <w:r w:rsidR="00D813C0">
        <w:rPr>
          <w:rFonts w:ascii="Book Antiqua" w:hAnsi="Book Antiqua" w:cs="Arial"/>
        </w:rPr>
        <w:t>,</w:t>
      </w:r>
      <w:r>
        <w:rPr>
          <w:rFonts w:ascii="Book Antiqua" w:hAnsi="Book Antiqua" w:cs="Arial"/>
        </w:rPr>
        <w:t xml:space="preserve"> had there been one</w:t>
      </w:r>
      <w:r w:rsidR="00D813C0">
        <w:rPr>
          <w:rFonts w:ascii="Book Antiqua" w:hAnsi="Book Antiqua" w:cs="Arial"/>
        </w:rPr>
        <w:t>,</w:t>
      </w:r>
      <w:r>
        <w:rPr>
          <w:rFonts w:ascii="Book Antiqua" w:hAnsi="Book Antiqua" w:cs="Arial"/>
        </w:rPr>
        <w:t xml:space="preserve"> I am certain that on th</w:t>
      </w:r>
      <w:r w:rsidR="00D813C0">
        <w:rPr>
          <w:rFonts w:ascii="Book Antiqua" w:hAnsi="Book Antiqua" w:cs="Arial"/>
        </w:rPr>
        <w:t>is</w:t>
      </w:r>
      <w:r>
        <w:rPr>
          <w:rFonts w:ascii="Book Antiqua" w:hAnsi="Book Antiqua" w:cs="Arial"/>
        </w:rPr>
        <w:t xml:space="preserve"> material</w:t>
      </w:r>
      <w:r w:rsidR="00D813C0">
        <w:rPr>
          <w:rFonts w:ascii="Book Antiqua" w:hAnsi="Book Antiqua" w:cs="Arial"/>
        </w:rPr>
        <w:t>,</w:t>
      </w:r>
      <w:r>
        <w:rPr>
          <w:rFonts w:ascii="Book Antiqua" w:hAnsi="Book Antiqua" w:cs="Arial"/>
        </w:rPr>
        <w:t xml:space="preserve"> no adjournment would have been granted.  </w:t>
      </w:r>
    </w:p>
    <w:p w14:paraId="52358D66" w14:textId="42D4AFDA" w:rsidR="00694FAE" w:rsidRDefault="00FC5531" w:rsidP="0057609C">
      <w:pPr>
        <w:numPr>
          <w:ilvl w:val="0"/>
          <w:numId w:val="3"/>
        </w:numPr>
        <w:spacing w:before="240"/>
        <w:jc w:val="both"/>
        <w:rPr>
          <w:rFonts w:ascii="Book Antiqua" w:hAnsi="Book Antiqua" w:cs="Arial"/>
        </w:rPr>
      </w:pPr>
      <w:r>
        <w:rPr>
          <w:rFonts w:ascii="Book Antiqua" w:hAnsi="Book Antiqua" w:cs="Arial"/>
        </w:rPr>
        <w:t xml:space="preserve">It is simply not good enough for an individual to say that he has a doctor’s appointment and that prevents him from attending unless there is some form of medical evidence to suggest that this doctor’s appointment </w:t>
      </w:r>
      <w:r w:rsidR="00D813C0">
        <w:rPr>
          <w:rFonts w:ascii="Book Antiqua" w:hAnsi="Book Antiqua" w:cs="Arial"/>
        </w:rPr>
        <w:t>was</w:t>
      </w:r>
      <w:r>
        <w:rPr>
          <w:rFonts w:ascii="Book Antiqua" w:hAnsi="Book Antiqua" w:cs="Arial"/>
        </w:rPr>
        <w:t xml:space="preserve"> particularly crucial.  It may have been that it was merely an appointment to see a GP and that </w:t>
      </w:r>
      <w:r w:rsidR="00D813C0">
        <w:rPr>
          <w:rFonts w:ascii="Book Antiqua" w:hAnsi="Book Antiqua" w:cs="Arial"/>
        </w:rPr>
        <w:t>it</w:t>
      </w:r>
      <w:r>
        <w:rPr>
          <w:rFonts w:ascii="Book Antiqua" w:hAnsi="Book Antiqua" w:cs="Arial"/>
        </w:rPr>
        <w:t xml:space="preserve"> could be rearranged at a future date.  There is nothing therefore to suggest that a doctor’s appointment and no more was sufficient for Mr </w:t>
      </w:r>
      <w:r w:rsidR="00B85A96">
        <w:rPr>
          <w:rFonts w:ascii="Book Antiqua" w:hAnsi="Book Antiqua" w:cs="Arial"/>
        </w:rPr>
        <w:t>[MA]</w:t>
      </w:r>
      <w:r>
        <w:rPr>
          <w:rFonts w:ascii="Book Antiqua" w:hAnsi="Book Antiqua" w:cs="Arial"/>
        </w:rPr>
        <w:t xml:space="preserve"> not to attend.  </w:t>
      </w:r>
    </w:p>
    <w:p w14:paraId="6B7E664E" w14:textId="4DB0A9FB" w:rsidR="00754AD4" w:rsidRDefault="00FC5531" w:rsidP="0057609C">
      <w:pPr>
        <w:numPr>
          <w:ilvl w:val="0"/>
          <w:numId w:val="3"/>
        </w:numPr>
        <w:spacing w:before="240"/>
        <w:jc w:val="both"/>
        <w:rPr>
          <w:rFonts w:ascii="Book Antiqua" w:hAnsi="Book Antiqua" w:cs="Arial"/>
        </w:rPr>
      </w:pPr>
      <w:r>
        <w:rPr>
          <w:rFonts w:ascii="Book Antiqua" w:hAnsi="Book Antiqua" w:cs="Arial"/>
        </w:rPr>
        <w:t xml:space="preserve">Furthermore, it said that Mr </w:t>
      </w:r>
      <w:r w:rsidR="00B85A96">
        <w:rPr>
          <w:rFonts w:ascii="Book Antiqua" w:hAnsi="Book Antiqua" w:cs="Arial"/>
        </w:rPr>
        <w:t>[MA]</w:t>
      </w:r>
      <w:r>
        <w:rPr>
          <w:rFonts w:ascii="Book Antiqua" w:hAnsi="Book Antiqua" w:cs="Arial"/>
        </w:rPr>
        <w:t xml:space="preserve"> needed to sign on.  There again, my understanding is that if an individual is to be relieved of the requi</w:t>
      </w:r>
      <w:r w:rsidR="00D813C0">
        <w:rPr>
          <w:rFonts w:ascii="Book Antiqua" w:hAnsi="Book Antiqua" w:cs="Arial"/>
        </w:rPr>
        <w:t xml:space="preserve">rement to sign on, </w:t>
      </w:r>
      <w:r>
        <w:rPr>
          <w:rFonts w:ascii="Book Antiqua" w:hAnsi="Book Antiqua" w:cs="Arial"/>
        </w:rPr>
        <w:t xml:space="preserve">he has to provide a reason for doing so and it would have been possible for the appellant and his solicitors to have written to the authorities and to have said that he </w:t>
      </w:r>
      <w:r w:rsidR="00D813C0">
        <w:rPr>
          <w:rFonts w:ascii="Book Antiqua" w:hAnsi="Book Antiqua" w:cs="Arial"/>
        </w:rPr>
        <w:t xml:space="preserve">needed </w:t>
      </w:r>
      <w:r>
        <w:rPr>
          <w:rFonts w:ascii="Book Antiqua" w:hAnsi="Book Antiqua" w:cs="Arial"/>
        </w:rPr>
        <w:t>to attend a hearing</w:t>
      </w:r>
      <w:r w:rsidR="00D813C0">
        <w:rPr>
          <w:rFonts w:ascii="Book Antiqua" w:hAnsi="Book Antiqua" w:cs="Arial"/>
        </w:rPr>
        <w:t>.  I</w:t>
      </w:r>
      <w:r>
        <w:rPr>
          <w:rFonts w:ascii="Book Antiqua" w:hAnsi="Book Antiqua" w:cs="Arial"/>
        </w:rPr>
        <w:t xml:space="preserve">f that had not been accepted then it would have been open to the </w:t>
      </w:r>
      <w:r w:rsidR="00D813C0">
        <w:rPr>
          <w:rFonts w:ascii="Book Antiqua" w:hAnsi="Book Antiqua" w:cs="Arial"/>
        </w:rPr>
        <w:t xml:space="preserve">solicitors to ask the </w:t>
      </w:r>
      <w:r>
        <w:rPr>
          <w:rFonts w:ascii="Book Antiqua" w:hAnsi="Book Antiqua" w:cs="Arial"/>
        </w:rPr>
        <w:t xml:space="preserve">court to indicate that he was required </w:t>
      </w:r>
      <w:r w:rsidR="002E5966">
        <w:rPr>
          <w:rFonts w:ascii="Book Antiqua" w:hAnsi="Book Antiqua" w:cs="Arial"/>
        </w:rPr>
        <w:t>to be at court</w:t>
      </w:r>
      <w:r w:rsidR="00D813C0">
        <w:rPr>
          <w:rFonts w:ascii="Book Antiqua" w:hAnsi="Book Antiqua" w:cs="Arial"/>
        </w:rPr>
        <w:t xml:space="preserve"> for the purposes of </w:t>
      </w:r>
      <w:r w:rsidR="002E5966">
        <w:rPr>
          <w:rFonts w:ascii="Book Antiqua" w:hAnsi="Book Antiqua" w:cs="Arial"/>
        </w:rPr>
        <w:t>the hearing</w:t>
      </w:r>
      <w:r w:rsidR="00754AD4">
        <w:rPr>
          <w:rFonts w:ascii="Book Antiqua" w:hAnsi="Book Antiqua" w:cs="Arial"/>
        </w:rPr>
        <w:t xml:space="preserve">.  </w:t>
      </w:r>
      <w:r w:rsidR="002E5966">
        <w:rPr>
          <w:rFonts w:ascii="Book Antiqua" w:hAnsi="Book Antiqua" w:cs="Arial"/>
        </w:rPr>
        <w:t xml:space="preserve">I therefore do not </w:t>
      </w:r>
      <w:r w:rsidR="00754AD4">
        <w:rPr>
          <w:rFonts w:ascii="Book Antiqua" w:hAnsi="Book Antiqua" w:cs="Arial"/>
        </w:rPr>
        <w:t xml:space="preserve">accept </w:t>
      </w:r>
      <w:r w:rsidR="002E5966">
        <w:rPr>
          <w:rFonts w:ascii="Book Antiqua" w:hAnsi="Book Antiqua" w:cs="Arial"/>
        </w:rPr>
        <w:t xml:space="preserve">that the fact that an individual </w:t>
      </w:r>
      <w:r w:rsidR="00754AD4">
        <w:rPr>
          <w:rFonts w:ascii="Book Antiqua" w:hAnsi="Book Antiqua" w:cs="Arial"/>
        </w:rPr>
        <w:t>says he needs</w:t>
      </w:r>
      <w:r w:rsidR="002E5966">
        <w:rPr>
          <w:rFonts w:ascii="Book Antiqua" w:hAnsi="Book Antiqua" w:cs="Arial"/>
        </w:rPr>
        <w:t xml:space="preserve"> to sign on </w:t>
      </w:r>
      <w:r w:rsidR="00754AD4">
        <w:rPr>
          <w:rFonts w:ascii="Book Antiqua" w:hAnsi="Book Antiqua" w:cs="Arial"/>
        </w:rPr>
        <w:t>is</w:t>
      </w:r>
      <w:r w:rsidR="002E5966">
        <w:rPr>
          <w:rFonts w:ascii="Book Antiqua" w:hAnsi="Book Antiqua" w:cs="Arial"/>
        </w:rPr>
        <w:t xml:space="preserve"> a sufficient reason for not </w:t>
      </w:r>
      <w:r w:rsidR="00754AD4">
        <w:rPr>
          <w:rFonts w:ascii="Book Antiqua" w:hAnsi="Book Antiqua" w:cs="Arial"/>
        </w:rPr>
        <w:t>attending</w:t>
      </w:r>
      <w:r w:rsidR="002E5966">
        <w:rPr>
          <w:rFonts w:ascii="Book Antiqua" w:hAnsi="Book Antiqua" w:cs="Arial"/>
        </w:rPr>
        <w:t xml:space="preserve">.  There would of course have been a notice of hearing and that notice of hearing would have been served some time in advance when these matters could have been </w:t>
      </w:r>
      <w:r w:rsidR="00754AD4">
        <w:rPr>
          <w:rFonts w:ascii="Book Antiqua" w:hAnsi="Book Antiqua" w:cs="Arial"/>
        </w:rPr>
        <w:t>resolved</w:t>
      </w:r>
      <w:r w:rsidR="002E5966">
        <w:rPr>
          <w:rFonts w:ascii="Book Antiqua" w:hAnsi="Book Antiqua" w:cs="Arial"/>
        </w:rPr>
        <w:t xml:space="preserve">.  As it was, a written statement was </w:t>
      </w:r>
      <w:r w:rsidR="002E5966">
        <w:rPr>
          <w:rFonts w:ascii="Book Antiqua" w:hAnsi="Book Antiqua" w:cs="Arial"/>
        </w:rPr>
        <w:lastRenderedPageBreak/>
        <w:t xml:space="preserve">provided very late in the day and which was inadequate to deal with the issue of sexuality which the appellant himself raised.  </w:t>
      </w:r>
    </w:p>
    <w:p w14:paraId="6B27BFE2" w14:textId="7F0212C7" w:rsidR="00754AD4" w:rsidRDefault="00754AD4" w:rsidP="0057609C">
      <w:pPr>
        <w:numPr>
          <w:ilvl w:val="0"/>
          <w:numId w:val="3"/>
        </w:numPr>
        <w:spacing w:before="240"/>
        <w:jc w:val="both"/>
        <w:rPr>
          <w:rFonts w:ascii="Book Antiqua" w:hAnsi="Book Antiqua" w:cs="Arial"/>
        </w:rPr>
      </w:pPr>
      <w:r>
        <w:rPr>
          <w:rFonts w:ascii="Book Antiqua" w:hAnsi="Book Antiqua" w:cs="Arial"/>
        </w:rPr>
        <w:t>The appellant’s</w:t>
      </w:r>
      <w:r w:rsidR="002E5966">
        <w:rPr>
          <w:rFonts w:ascii="Book Antiqua" w:hAnsi="Book Antiqua" w:cs="Arial"/>
        </w:rPr>
        <w:t xml:space="preserve"> own evidence was dealt with</w:t>
      </w:r>
      <w:r>
        <w:rPr>
          <w:rFonts w:ascii="Book Antiqua" w:hAnsi="Book Antiqua" w:cs="Arial"/>
        </w:rPr>
        <w:t>.  It w</w:t>
      </w:r>
      <w:r w:rsidR="002E5966">
        <w:rPr>
          <w:rFonts w:ascii="Book Antiqua" w:hAnsi="Book Antiqua" w:cs="Arial"/>
        </w:rPr>
        <w:t>as considered by the judge</w:t>
      </w:r>
      <w:r>
        <w:rPr>
          <w:rFonts w:ascii="Book Antiqua" w:hAnsi="Book Antiqua" w:cs="Arial"/>
        </w:rPr>
        <w:t>.  Th</w:t>
      </w:r>
      <w:r w:rsidR="002E5966">
        <w:rPr>
          <w:rFonts w:ascii="Book Antiqua" w:hAnsi="Book Antiqua" w:cs="Arial"/>
        </w:rPr>
        <w:t>e judge was able to take into account</w:t>
      </w:r>
      <w:r>
        <w:rPr>
          <w:rFonts w:ascii="Book Antiqua" w:hAnsi="Book Antiqua" w:cs="Arial"/>
        </w:rPr>
        <w:t xml:space="preserve"> the fact</w:t>
      </w:r>
      <w:r w:rsidR="002E5966">
        <w:rPr>
          <w:rFonts w:ascii="Book Antiqua" w:hAnsi="Book Antiqua" w:cs="Arial"/>
        </w:rPr>
        <w:t xml:space="preserve"> that the appellant ha</w:t>
      </w:r>
      <w:r>
        <w:rPr>
          <w:rFonts w:ascii="Book Antiqua" w:hAnsi="Book Antiqua" w:cs="Arial"/>
        </w:rPr>
        <w:t>d</w:t>
      </w:r>
      <w:r w:rsidR="002E5966">
        <w:rPr>
          <w:rFonts w:ascii="Book Antiqua" w:hAnsi="Book Antiqua" w:cs="Arial"/>
        </w:rPr>
        <w:t xml:space="preserve"> not called witnesses who would or could have supported his claim.  His reasons for not doing so were not, in my judgment</w:t>
      </w:r>
      <w:r>
        <w:rPr>
          <w:rFonts w:ascii="Book Antiqua" w:hAnsi="Book Antiqua" w:cs="Arial"/>
        </w:rPr>
        <w:t>,</w:t>
      </w:r>
      <w:r w:rsidR="002E5966">
        <w:rPr>
          <w:rFonts w:ascii="Book Antiqua" w:hAnsi="Book Antiqua" w:cs="Arial"/>
        </w:rPr>
        <w:t xml:space="preserve"> satisfactory</w:t>
      </w:r>
      <w:r>
        <w:rPr>
          <w:rFonts w:ascii="Book Antiqua" w:hAnsi="Book Antiqua" w:cs="Arial"/>
        </w:rPr>
        <w:t>.  T</w:t>
      </w:r>
      <w:r w:rsidR="002E5966">
        <w:rPr>
          <w:rFonts w:ascii="Book Antiqua" w:hAnsi="Book Antiqua" w:cs="Arial"/>
        </w:rPr>
        <w:t xml:space="preserve">hat goes back to what is said in paragraph 23 as to Mr </w:t>
      </w:r>
      <w:r w:rsidR="00B85A96">
        <w:rPr>
          <w:rFonts w:ascii="Book Antiqua" w:hAnsi="Book Antiqua" w:cs="Arial"/>
        </w:rPr>
        <w:t>[MA]</w:t>
      </w:r>
      <w:r w:rsidR="002E5966">
        <w:rPr>
          <w:rFonts w:ascii="Book Antiqua" w:hAnsi="Book Antiqua" w:cs="Arial"/>
        </w:rPr>
        <w:t xml:space="preserve">’s need to attend a doctor’s appointment and/or to sign on.  So </w:t>
      </w:r>
      <w:r>
        <w:rPr>
          <w:rFonts w:ascii="Book Antiqua" w:hAnsi="Book Antiqua" w:cs="Arial"/>
        </w:rPr>
        <w:t xml:space="preserve">there </w:t>
      </w:r>
      <w:r w:rsidR="002E5966">
        <w:rPr>
          <w:rFonts w:ascii="Book Antiqua" w:hAnsi="Book Antiqua" w:cs="Arial"/>
        </w:rPr>
        <w:t xml:space="preserve">was no error made </w:t>
      </w:r>
      <w:r>
        <w:rPr>
          <w:rFonts w:ascii="Book Antiqua" w:hAnsi="Book Antiqua" w:cs="Arial"/>
        </w:rPr>
        <w:t>giving rise to</w:t>
      </w:r>
      <w:r w:rsidR="002E5966">
        <w:rPr>
          <w:rFonts w:ascii="Book Antiqua" w:hAnsi="Book Antiqua" w:cs="Arial"/>
        </w:rPr>
        <w:t xml:space="preserve"> procedural unfairness.  </w:t>
      </w:r>
    </w:p>
    <w:p w14:paraId="6EF9438D" w14:textId="77777777" w:rsidR="002E5966" w:rsidRDefault="002E5966" w:rsidP="0057609C">
      <w:pPr>
        <w:numPr>
          <w:ilvl w:val="0"/>
          <w:numId w:val="3"/>
        </w:numPr>
        <w:spacing w:before="240"/>
        <w:jc w:val="both"/>
        <w:rPr>
          <w:rFonts w:ascii="Book Antiqua" w:hAnsi="Book Antiqua" w:cs="Arial"/>
        </w:rPr>
      </w:pPr>
      <w:r>
        <w:rPr>
          <w:rFonts w:ascii="Book Antiqua" w:hAnsi="Book Antiqua" w:cs="Arial"/>
        </w:rPr>
        <w:t xml:space="preserve">It may have been the case that there was not a sufficient realisation that the absence of </w:t>
      </w:r>
      <w:r w:rsidR="00754AD4">
        <w:rPr>
          <w:rFonts w:ascii="Book Antiqua" w:hAnsi="Book Antiqua" w:cs="Arial"/>
        </w:rPr>
        <w:t>the</w:t>
      </w:r>
      <w:r>
        <w:rPr>
          <w:rFonts w:ascii="Book Antiqua" w:hAnsi="Book Antiqua" w:cs="Arial"/>
        </w:rPr>
        <w:t xml:space="preserve"> witness was going to be relied upon by the judge in reaching his conclusion</w:t>
      </w:r>
      <w:r w:rsidR="00754AD4">
        <w:rPr>
          <w:rFonts w:ascii="Book Antiqua" w:hAnsi="Book Antiqua" w:cs="Arial"/>
        </w:rPr>
        <w:t>.</w:t>
      </w:r>
      <w:r>
        <w:rPr>
          <w:rFonts w:ascii="Book Antiqua" w:hAnsi="Book Antiqua" w:cs="Arial"/>
        </w:rPr>
        <w:t xml:space="preserve"> </w:t>
      </w:r>
      <w:r w:rsidR="00754AD4">
        <w:rPr>
          <w:rFonts w:ascii="Book Antiqua" w:hAnsi="Book Antiqua" w:cs="Arial"/>
        </w:rPr>
        <w:t>However, where r</w:t>
      </w:r>
      <w:r>
        <w:rPr>
          <w:rFonts w:ascii="Book Antiqua" w:hAnsi="Book Antiqua" w:cs="Arial"/>
        </w:rPr>
        <w:t>elationships are concerned</w:t>
      </w:r>
      <w:r w:rsidR="00754AD4">
        <w:rPr>
          <w:rFonts w:ascii="Book Antiqua" w:hAnsi="Book Antiqua" w:cs="Arial"/>
        </w:rPr>
        <w:t>,</w:t>
      </w:r>
      <w:r>
        <w:rPr>
          <w:rFonts w:ascii="Book Antiqua" w:hAnsi="Book Antiqua" w:cs="Arial"/>
        </w:rPr>
        <w:t xml:space="preserve"> it is unlikely that weight will be attached </w:t>
      </w:r>
      <w:r w:rsidR="00754AD4">
        <w:rPr>
          <w:rFonts w:ascii="Book Antiqua" w:hAnsi="Book Antiqua" w:cs="Arial"/>
        </w:rPr>
        <w:t xml:space="preserve">to the individual’s own </w:t>
      </w:r>
      <w:r>
        <w:rPr>
          <w:rFonts w:ascii="Book Antiqua" w:hAnsi="Book Antiqua" w:cs="Arial"/>
        </w:rPr>
        <w:t xml:space="preserve">evidence about </w:t>
      </w:r>
      <w:r w:rsidR="00754AD4">
        <w:rPr>
          <w:rFonts w:ascii="Book Antiqua" w:hAnsi="Book Antiqua" w:cs="Arial"/>
        </w:rPr>
        <w:t>his</w:t>
      </w:r>
      <w:r>
        <w:rPr>
          <w:rFonts w:ascii="Book Antiqua" w:hAnsi="Book Antiqua" w:cs="Arial"/>
        </w:rPr>
        <w:t xml:space="preserve"> sexuality </w:t>
      </w:r>
      <w:r w:rsidR="00754AD4">
        <w:rPr>
          <w:rFonts w:ascii="Book Antiqua" w:hAnsi="Book Antiqua" w:cs="Arial"/>
        </w:rPr>
        <w:t>unless additional material is supplied</w:t>
      </w:r>
      <w:r>
        <w:rPr>
          <w:rFonts w:ascii="Book Antiqua" w:hAnsi="Book Antiqua" w:cs="Arial"/>
        </w:rPr>
        <w:t xml:space="preserve">.  </w:t>
      </w:r>
    </w:p>
    <w:p w14:paraId="6BA15B33" w14:textId="77777777" w:rsidR="00FC5531" w:rsidRDefault="002E5966" w:rsidP="0057609C">
      <w:pPr>
        <w:numPr>
          <w:ilvl w:val="0"/>
          <w:numId w:val="3"/>
        </w:numPr>
        <w:spacing w:before="240"/>
        <w:jc w:val="both"/>
        <w:rPr>
          <w:rFonts w:ascii="Book Antiqua" w:hAnsi="Book Antiqua" w:cs="Arial"/>
        </w:rPr>
      </w:pPr>
      <w:r>
        <w:rPr>
          <w:rFonts w:ascii="Book Antiqua" w:hAnsi="Book Antiqua" w:cs="Arial"/>
        </w:rPr>
        <w:t>There is also a somewhat brief challenge to the findings of fact and it centres on paragraph 69.  Paragraph 69 is in these terms:</w:t>
      </w:r>
    </w:p>
    <w:p w14:paraId="2834B1C9" w14:textId="77777777" w:rsidR="002E5966" w:rsidRPr="00B85A96" w:rsidRDefault="002E5966" w:rsidP="00B85A96">
      <w:pPr>
        <w:spacing w:before="120" w:after="120"/>
        <w:ind w:left="1134" w:right="567"/>
        <w:jc w:val="both"/>
        <w:rPr>
          <w:rFonts w:ascii="Book Antiqua" w:hAnsi="Book Antiqua" w:cs="Arial"/>
          <w:sz w:val="22"/>
          <w:szCs w:val="22"/>
        </w:rPr>
      </w:pPr>
      <w:r w:rsidRPr="00B85A96">
        <w:rPr>
          <w:rFonts w:ascii="Book Antiqua" w:hAnsi="Book Antiqua" w:cs="Arial"/>
          <w:sz w:val="22"/>
          <w:szCs w:val="22"/>
        </w:rPr>
        <w:t>“I have considered all the evidence in the round.  I accept that the Appellant was in a brief relationship in 2003 with his teacher.  It was abusive because of the Appellant’s age and vulnerability and lack of consent when it started.  He cannot fairly be criticised for concealing what happened at that time or later.  I note that the decision letter attached little weight to that relationship because it was one-sided and not indicative of sexuality.  I agree with that comment.”</w:t>
      </w:r>
    </w:p>
    <w:p w14:paraId="0895220C" w14:textId="77777777" w:rsidR="00E62685" w:rsidRDefault="002E5966" w:rsidP="0057609C">
      <w:pPr>
        <w:numPr>
          <w:ilvl w:val="0"/>
          <w:numId w:val="3"/>
        </w:numPr>
        <w:spacing w:before="240"/>
        <w:jc w:val="both"/>
        <w:rPr>
          <w:rFonts w:ascii="Book Antiqua" w:hAnsi="Book Antiqua" w:cs="Arial"/>
        </w:rPr>
      </w:pPr>
      <w:r>
        <w:rPr>
          <w:rFonts w:ascii="Book Antiqua" w:hAnsi="Book Antiqua" w:cs="Arial"/>
        </w:rPr>
        <w:t xml:space="preserve">In my judgment the First-tier Tribunal Judge was entitled to approach that evidence in exactly that way.  The claim was that the appellant whilst a minor and at school had been assaulted by a teacher in 2003.  That was something which shed no light on the appellant’s sexuality.  It was merely the abusive conduct of a teacher and did not take the matter further.  </w:t>
      </w:r>
    </w:p>
    <w:p w14:paraId="5C47D869" w14:textId="77777777" w:rsidR="00E62685" w:rsidRDefault="002E5966" w:rsidP="0057609C">
      <w:pPr>
        <w:numPr>
          <w:ilvl w:val="0"/>
          <w:numId w:val="3"/>
        </w:numPr>
        <w:spacing w:before="240"/>
        <w:jc w:val="both"/>
        <w:rPr>
          <w:rFonts w:ascii="Book Antiqua" w:hAnsi="Book Antiqua" w:cs="Arial"/>
        </w:rPr>
      </w:pPr>
      <w:r>
        <w:rPr>
          <w:rFonts w:ascii="Book Antiqua" w:hAnsi="Book Antiqua" w:cs="Arial"/>
        </w:rPr>
        <w:t xml:space="preserve">It said that the appellant himself at first objected </w:t>
      </w:r>
      <w:r w:rsidR="008F332E">
        <w:rPr>
          <w:rFonts w:ascii="Book Antiqua" w:hAnsi="Book Antiqua" w:cs="Arial"/>
        </w:rPr>
        <w:t>to his teacher’s conduct b</w:t>
      </w:r>
      <w:r>
        <w:rPr>
          <w:rFonts w:ascii="Book Antiqua" w:hAnsi="Book Antiqua" w:cs="Arial"/>
        </w:rPr>
        <w:t>ut then he realised that he did not object</w:t>
      </w:r>
      <w:r w:rsidR="00E62685">
        <w:rPr>
          <w:rFonts w:ascii="Book Antiqua" w:hAnsi="Book Antiqua" w:cs="Arial"/>
        </w:rPr>
        <w:t>.  In</w:t>
      </w:r>
      <w:r>
        <w:rPr>
          <w:rFonts w:ascii="Book Antiqua" w:hAnsi="Book Antiqua" w:cs="Arial"/>
        </w:rPr>
        <w:t xml:space="preserve"> paragraph 41</w:t>
      </w:r>
      <w:r w:rsidR="00E62685">
        <w:rPr>
          <w:rFonts w:ascii="Book Antiqua" w:hAnsi="Book Antiqua" w:cs="Arial"/>
        </w:rPr>
        <w:t>, the judge records:</w:t>
      </w:r>
    </w:p>
    <w:p w14:paraId="4B461ADF" w14:textId="251E17F9" w:rsidR="00E62685" w:rsidRPr="00B85A96" w:rsidRDefault="00B85A96" w:rsidP="00B85A96">
      <w:pPr>
        <w:spacing w:before="120" w:after="120"/>
        <w:ind w:left="1134" w:right="567"/>
        <w:jc w:val="both"/>
        <w:rPr>
          <w:rFonts w:ascii="Book Antiqua" w:hAnsi="Book Antiqua" w:cs="Arial"/>
          <w:sz w:val="22"/>
          <w:szCs w:val="22"/>
        </w:rPr>
      </w:pPr>
      <w:r w:rsidRPr="00B85A96">
        <w:rPr>
          <w:rFonts w:ascii="Book Antiqua" w:hAnsi="Book Antiqua" w:cs="Arial"/>
          <w:sz w:val="22"/>
          <w:szCs w:val="22"/>
        </w:rPr>
        <w:t>“</w:t>
      </w:r>
      <w:r w:rsidR="00E62685" w:rsidRPr="00B85A96">
        <w:rPr>
          <w:rFonts w:ascii="Book Antiqua" w:hAnsi="Book Antiqua" w:cs="Arial"/>
          <w:sz w:val="22"/>
          <w:szCs w:val="22"/>
        </w:rPr>
        <w:t>H</w:t>
      </w:r>
      <w:r w:rsidR="002E5966" w:rsidRPr="00B85A96">
        <w:rPr>
          <w:rFonts w:ascii="Book Antiqua" w:hAnsi="Book Antiqua" w:cs="Arial"/>
          <w:sz w:val="22"/>
          <w:szCs w:val="22"/>
        </w:rPr>
        <w:t>e was 17 when he was with the teacher</w:t>
      </w:r>
      <w:r w:rsidR="006B21F8" w:rsidRPr="00B85A96">
        <w:rPr>
          <w:rFonts w:ascii="Book Antiqua" w:hAnsi="Book Antiqua" w:cs="Arial"/>
          <w:sz w:val="22"/>
          <w:szCs w:val="22"/>
        </w:rPr>
        <w:t>. He had never said no to him and i</w:t>
      </w:r>
      <w:r w:rsidR="00E62685" w:rsidRPr="00B85A96">
        <w:rPr>
          <w:rFonts w:ascii="Book Antiqua" w:hAnsi="Book Antiqua" w:cs="Arial"/>
          <w:sz w:val="22"/>
          <w:szCs w:val="22"/>
        </w:rPr>
        <w:t>t was something he wanted later</w:t>
      </w:r>
      <w:r w:rsidR="006B21F8" w:rsidRPr="00B85A96">
        <w:rPr>
          <w:rFonts w:ascii="Book Antiqua" w:hAnsi="Book Antiqua" w:cs="Arial"/>
          <w:sz w:val="22"/>
          <w:szCs w:val="22"/>
        </w:rPr>
        <w:t>.</w:t>
      </w:r>
      <w:r w:rsidRPr="00B85A96">
        <w:rPr>
          <w:rFonts w:ascii="Book Antiqua" w:hAnsi="Book Antiqua" w:cs="Arial"/>
          <w:sz w:val="22"/>
          <w:szCs w:val="22"/>
        </w:rPr>
        <w:t>”</w:t>
      </w:r>
      <w:r w:rsidR="006B21F8" w:rsidRPr="00B85A96">
        <w:rPr>
          <w:rFonts w:ascii="Book Antiqua" w:hAnsi="Book Antiqua" w:cs="Arial"/>
          <w:sz w:val="22"/>
          <w:szCs w:val="22"/>
        </w:rPr>
        <w:t xml:space="preserve">  </w:t>
      </w:r>
    </w:p>
    <w:p w14:paraId="5B81B7F9" w14:textId="77777777" w:rsidR="00E62685" w:rsidRPr="008F332E" w:rsidRDefault="006B21F8" w:rsidP="0057609C">
      <w:pPr>
        <w:numPr>
          <w:ilvl w:val="0"/>
          <w:numId w:val="3"/>
        </w:numPr>
        <w:spacing w:before="240"/>
        <w:jc w:val="both"/>
        <w:rPr>
          <w:rFonts w:ascii="Book Antiqua" w:hAnsi="Book Antiqua" w:cs="Arial"/>
        </w:rPr>
      </w:pPr>
      <w:r>
        <w:rPr>
          <w:rFonts w:ascii="Book Antiqua" w:hAnsi="Book Antiqua" w:cs="Arial"/>
        </w:rPr>
        <w:t xml:space="preserve">That does not </w:t>
      </w:r>
      <w:r w:rsidR="00E62685">
        <w:rPr>
          <w:rFonts w:ascii="Book Antiqua" w:hAnsi="Book Antiqua" w:cs="Arial"/>
        </w:rPr>
        <w:t>materially a</w:t>
      </w:r>
      <w:r>
        <w:rPr>
          <w:rFonts w:ascii="Book Antiqua" w:hAnsi="Book Antiqua" w:cs="Arial"/>
        </w:rPr>
        <w:t>dd to his claim</w:t>
      </w:r>
      <w:r w:rsidR="00E62685">
        <w:rPr>
          <w:rFonts w:ascii="Book Antiqua" w:hAnsi="Book Antiqua" w:cs="Arial"/>
        </w:rPr>
        <w:t>.  I</w:t>
      </w:r>
      <w:r>
        <w:rPr>
          <w:rFonts w:ascii="Book Antiqua" w:hAnsi="Book Antiqua" w:cs="Arial"/>
        </w:rPr>
        <w:t>t is merely another example of his saying that he was gay</w:t>
      </w:r>
      <w:r w:rsidR="00E62685">
        <w:rPr>
          <w:rFonts w:ascii="Book Antiqua" w:hAnsi="Book Antiqua" w:cs="Arial"/>
        </w:rPr>
        <w:t>.  T</w:t>
      </w:r>
      <w:r>
        <w:rPr>
          <w:rFonts w:ascii="Book Antiqua" w:hAnsi="Book Antiqua" w:cs="Arial"/>
        </w:rPr>
        <w:t xml:space="preserve">hat alone was not going to establish his case or did not </w:t>
      </w:r>
      <w:r w:rsidR="00E62685">
        <w:rPr>
          <w:rFonts w:ascii="Book Antiqua" w:hAnsi="Book Antiqua" w:cs="Arial"/>
        </w:rPr>
        <w:t xml:space="preserve">do so </w:t>
      </w:r>
      <w:r>
        <w:rPr>
          <w:rFonts w:ascii="Book Antiqua" w:hAnsi="Book Antiqua" w:cs="Arial"/>
        </w:rPr>
        <w:t xml:space="preserve">in the </w:t>
      </w:r>
      <w:r w:rsidRPr="008F332E">
        <w:rPr>
          <w:rFonts w:ascii="Book Antiqua" w:hAnsi="Book Antiqua" w:cs="Arial"/>
        </w:rPr>
        <w:t xml:space="preserve">circumstances of this particular case.  </w:t>
      </w:r>
    </w:p>
    <w:p w14:paraId="1A7BB8EE" w14:textId="01AA9290" w:rsidR="00E62685" w:rsidRPr="00E62685" w:rsidRDefault="008F332E" w:rsidP="00E62685">
      <w:pPr>
        <w:numPr>
          <w:ilvl w:val="0"/>
          <w:numId w:val="3"/>
        </w:numPr>
        <w:spacing w:before="240"/>
        <w:jc w:val="both"/>
        <w:rPr>
          <w:rFonts w:ascii="Book Antiqua" w:hAnsi="Book Antiqua" w:cs="Arial"/>
          <w:b/>
          <w:u w:val="single"/>
        </w:rPr>
      </w:pPr>
      <w:r>
        <w:rPr>
          <w:rFonts w:ascii="Book Antiqua" w:hAnsi="Book Antiqua" w:cs="Arial"/>
        </w:rPr>
        <w:t>For these reasons, I</w:t>
      </w:r>
      <w:r w:rsidR="006B21F8" w:rsidRPr="008F332E">
        <w:rPr>
          <w:rFonts w:ascii="Book Antiqua" w:hAnsi="Book Antiqua" w:cs="Arial"/>
        </w:rPr>
        <w:t xml:space="preserve"> do not consider that there was a procedural error on the part of the judge.  He had before him the very limited witness evidence of Mr </w:t>
      </w:r>
      <w:r w:rsidR="00B85A96">
        <w:rPr>
          <w:rFonts w:ascii="Book Antiqua" w:hAnsi="Book Antiqua" w:cs="Arial"/>
        </w:rPr>
        <w:t>[MA]</w:t>
      </w:r>
      <w:r w:rsidR="006B21F8" w:rsidRPr="008F332E">
        <w:rPr>
          <w:rFonts w:ascii="Book Antiqua" w:hAnsi="Book Antiqua" w:cs="Arial"/>
        </w:rPr>
        <w:t xml:space="preserve"> and the evidence which he did not consider entirely satisfactory from the appellant</w:t>
      </w:r>
      <w:r w:rsidR="00E62685" w:rsidRPr="008F332E">
        <w:rPr>
          <w:rFonts w:ascii="Book Antiqua" w:hAnsi="Book Antiqua" w:cs="Arial"/>
        </w:rPr>
        <w:t>.  H</w:t>
      </w:r>
      <w:r w:rsidR="006B21F8" w:rsidRPr="008F332E">
        <w:rPr>
          <w:rFonts w:ascii="Book Antiqua" w:hAnsi="Book Antiqua" w:cs="Arial"/>
        </w:rPr>
        <w:t>e reached a conclusion that was properly open to him.</w:t>
      </w:r>
      <w:r w:rsidR="006B21F8">
        <w:rPr>
          <w:rFonts w:ascii="Book Antiqua" w:hAnsi="Book Antiqua" w:cs="Arial"/>
        </w:rPr>
        <w:t xml:space="preserve">  </w:t>
      </w:r>
    </w:p>
    <w:p w14:paraId="6E855BB1" w14:textId="77777777" w:rsidR="00B85A96" w:rsidRDefault="00B85A96" w:rsidP="00E62685">
      <w:pPr>
        <w:spacing w:before="240"/>
        <w:jc w:val="both"/>
        <w:rPr>
          <w:rFonts w:ascii="Book Antiqua" w:hAnsi="Book Antiqua" w:cs="Arial"/>
          <w:u w:val="single"/>
        </w:rPr>
      </w:pPr>
    </w:p>
    <w:p w14:paraId="728BD257" w14:textId="77777777" w:rsidR="00B85A96" w:rsidRDefault="00B85A96" w:rsidP="00E62685">
      <w:pPr>
        <w:spacing w:before="240"/>
        <w:jc w:val="both"/>
        <w:rPr>
          <w:rFonts w:ascii="Book Antiqua" w:hAnsi="Book Antiqua" w:cs="Arial"/>
          <w:u w:val="single"/>
        </w:rPr>
      </w:pPr>
    </w:p>
    <w:p w14:paraId="17724467" w14:textId="0D1B7CB5" w:rsidR="00AE38E7" w:rsidRPr="00AB2ECD" w:rsidRDefault="00AE38E7" w:rsidP="00E62685">
      <w:pPr>
        <w:spacing w:before="240"/>
        <w:jc w:val="both"/>
        <w:rPr>
          <w:rFonts w:ascii="Book Antiqua" w:hAnsi="Book Antiqua" w:cs="Arial"/>
          <w:b/>
          <w:u w:val="single"/>
        </w:rPr>
      </w:pPr>
      <w:r w:rsidRPr="00AB2ECD">
        <w:rPr>
          <w:rFonts w:ascii="Book Antiqua" w:hAnsi="Book Antiqua" w:cs="Arial"/>
          <w:u w:val="single"/>
        </w:rPr>
        <w:lastRenderedPageBreak/>
        <w:t>DECISION</w:t>
      </w:r>
    </w:p>
    <w:p w14:paraId="2178EB36" w14:textId="77777777" w:rsidR="00E62685" w:rsidRPr="00F5664C" w:rsidRDefault="00E62685" w:rsidP="00E62685">
      <w:pPr>
        <w:spacing w:before="240"/>
        <w:jc w:val="both"/>
        <w:rPr>
          <w:rFonts w:ascii="Book Antiqua" w:hAnsi="Book Antiqua" w:cs="Arial"/>
        </w:rPr>
      </w:pPr>
      <w:r>
        <w:rPr>
          <w:rFonts w:ascii="Book Antiqua" w:hAnsi="Book Antiqua" w:cs="Arial"/>
        </w:rPr>
        <w:t xml:space="preserve">The determination of the First-tier Tribunal Judge discloses no error of law and his determination of the appeal shall stand.   </w:t>
      </w:r>
    </w:p>
    <w:p w14:paraId="36E4406C" w14:textId="77777777" w:rsidR="00463ECF" w:rsidRPr="00463ECF" w:rsidRDefault="00463ECF" w:rsidP="00463ECF">
      <w:pPr>
        <w:jc w:val="both"/>
        <w:rPr>
          <w:rFonts w:ascii="Book Antiqua" w:hAnsi="Book Antiqua" w:cs="Arial"/>
        </w:rPr>
      </w:pPr>
    </w:p>
    <w:p w14:paraId="6D8845D9" w14:textId="77777777" w:rsidR="008F332E" w:rsidRDefault="008F332E" w:rsidP="007B1F49">
      <w:pPr>
        <w:tabs>
          <w:tab w:val="left" w:pos="2520"/>
        </w:tabs>
        <w:jc w:val="right"/>
        <w:rPr>
          <w:rFonts w:ascii="Book Antiqua" w:hAnsi="Book Antiqua" w:cs="Arial"/>
        </w:rPr>
      </w:pPr>
    </w:p>
    <w:p w14:paraId="1FEC9523" w14:textId="77777777" w:rsidR="008F332E" w:rsidRDefault="008F332E" w:rsidP="007B1F49">
      <w:pPr>
        <w:tabs>
          <w:tab w:val="left" w:pos="2520"/>
        </w:tabs>
        <w:jc w:val="right"/>
        <w:rPr>
          <w:rFonts w:ascii="Book Antiqua" w:hAnsi="Book Antiqua" w:cs="Arial"/>
        </w:rPr>
      </w:pPr>
    </w:p>
    <w:p w14:paraId="52222A91" w14:textId="77777777" w:rsidR="008F332E" w:rsidRDefault="008F332E" w:rsidP="007B1F49">
      <w:pPr>
        <w:tabs>
          <w:tab w:val="left" w:pos="2520"/>
        </w:tabs>
        <w:jc w:val="right"/>
        <w:rPr>
          <w:rFonts w:ascii="Book Antiqua" w:hAnsi="Book Antiqua" w:cs="Arial"/>
        </w:rPr>
      </w:pPr>
    </w:p>
    <w:p w14:paraId="03C7E820" w14:textId="77777777" w:rsidR="008F332E" w:rsidRDefault="008F332E" w:rsidP="007B1F49">
      <w:pPr>
        <w:tabs>
          <w:tab w:val="left" w:pos="2520"/>
        </w:tabs>
        <w:jc w:val="right"/>
        <w:rPr>
          <w:rFonts w:ascii="Book Antiqua" w:hAnsi="Book Antiqua" w:cs="Arial"/>
        </w:rPr>
      </w:pPr>
    </w:p>
    <w:p w14:paraId="2720D93C" w14:textId="77777777" w:rsidR="007B1F49" w:rsidRDefault="007B1F49" w:rsidP="0088076A">
      <w:pPr>
        <w:tabs>
          <w:tab w:val="left" w:pos="2520"/>
        </w:tabs>
        <w:rPr>
          <w:rFonts w:ascii="Book Antiqua" w:hAnsi="Book Antiqua" w:cs="Arial"/>
        </w:rPr>
      </w:pPr>
      <w:r>
        <w:rPr>
          <w:rFonts w:ascii="Book Antiqua" w:hAnsi="Book Antiqua" w:cs="Arial"/>
        </w:rPr>
        <w:t>ANDREW JORDAN</w:t>
      </w:r>
      <w:r w:rsidR="0088076A">
        <w:rPr>
          <w:rFonts w:ascii="Book Antiqua" w:hAnsi="Book Antiqua" w:cs="Arial"/>
        </w:rPr>
        <w:t xml:space="preserve"> </w:t>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r>
      <w:r w:rsidR="0088076A">
        <w:rPr>
          <w:rFonts w:ascii="Book Antiqua" w:hAnsi="Book Antiqua" w:cs="Arial"/>
        </w:rPr>
        <w:tab/>
        <w:t xml:space="preserve">   16 May 2018</w:t>
      </w:r>
    </w:p>
    <w:p w14:paraId="323AA2D2" w14:textId="77777777" w:rsidR="007B1F49" w:rsidRDefault="007B1F49" w:rsidP="0088076A">
      <w:pPr>
        <w:tabs>
          <w:tab w:val="left" w:pos="2520"/>
        </w:tabs>
        <w:rPr>
          <w:rFonts w:ascii="Book Antiqua" w:hAnsi="Book Antiqua" w:cs="Arial"/>
        </w:rPr>
      </w:pPr>
      <w:r>
        <w:rPr>
          <w:rFonts w:ascii="Book Antiqua" w:hAnsi="Book Antiqua" w:cs="Arial"/>
        </w:rPr>
        <w:t>JUDGE OF THE UPPER TRIBUNAL</w:t>
      </w:r>
    </w:p>
    <w:p w14:paraId="0E852BD5" w14:textId="77777777" w:rsidR="005B7789" w:rsidRPr="00F5664C" w:rsidRDefault="005B7789" w:rsidP="009B2843">
      <w:pPr>
        <w:outlineLvl w:val="0"/>
        <w:rPr>
          <w:rFonts w:ascii="Book Antiqua" w:hAnsi="Book Antiqua" w:cs="Arial"/>
        </w:rPr>
      </w:pPr>
    </w:p>
    <w:p w14:paraId="25EF402E" w14:textId="77777777" w:rsidR="005B7789" w:rsidRPr="00F5664C" w:rsidRDefault="005B7789" w:rsidP="005B7789">
      <w:pPr>
        <w:tabs>
          <w:tab w:val="left" w:pos="2520"/>
        </w:tabs>
        <w:ind w:left="540" w:hanging="540"/>
        <w:jc w:val="both"/>
        <w:rPr>
          <w:rFonts w:ascii="Book Antiqua" w:hAnsi="Book Antiqua" w:cs="Arial"/>
        </w:rPr>
      </w:pPr>
    </w:p>
    <w:p w14:paraId="667DE838"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E4F86" w14:textId="77777777" w:rsidR="008872E0" w:rsidRDefault="008872E0">
      <w:r>
        <w:separator/>
      </w:r>
    </w:p>
  </w:endnote>
  <w:endnote w:type="continuationSeparator" w:id="0">
    <w:p w14:paraId="71343287" w14:textId="77777777" w:rsidR="008872E0" w:rsidRDefault="0088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99060" w14:textId="77777777" w:rsidR="00A80973" w:rsidRPr="00F5664C" w:rsidRDefault="00A80973"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43529">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4036" w14:textId="77777777" w:rsidR="00A80973" w:rsidRPr="00F5664C" w:rsidRDefault="00A80973"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AD4A6" w14:textId="77777777" w:rsidR="008872E0" w:rsidRDefault="008872E0">
      <w:r>
        <w:separator/>
      </w:r>
    </w:p>
  </w:footnote>
  <w:footnote w:type="continuationSeparator" w:id="0">
    <w:p w14:paraId="40C1E9D7" w14:textId="77777777" w:rsidR="008872E0" w:rsidRDefault="00887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6752F" w14:textId="77777777" w:rsidR="00A80973" w:rsidRPr="00F5664C" w:rsidRDefault="00A8097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PA/08247/2017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533B" w14:textId="77777777" w:rsidR="00A80973" w:rsidRPr="00F5664C" w:rsidRDefault="00A8097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876AD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F51586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C84ADB"/>
    <w:multiLevelType w:val="multilevel"/>
    <w:tmpl w:val="B228471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C4"/>
    <w:rsid w:val="00000621"/>
    <w:rsid w:val="000036C2"/>
    <w:rsid w:val="000246B5"/>
    <w:rsid w:val="00033D3D"/>
    <w:rsid w:val="000369F5"/>
    <w:rsid w:val="00071A7E"/>
    <w:rsid w:val="000746C0"/>
    <w:rsid w:val="00074D1D"/>
    <w:rsid w:val="00092580"/>
    <w:rsid w:val="000B2A21"/>
    <w:rsid w:val="000B479B"/>
    <w:rsid w:val="000D5D94"/>
    <w:rsid w:val="000F19E2"/>
    <w:rsid w:val="001165A7"/>
    <w:rsid w:val="00151BB7"/>
    <w:rsid w:val="0016457F"/>
    <w:rsid w:val="00167D3A"/>
    <w:rsid w:val="001A1E2C"/>
    <w:rsid w:val="001F2716"/>
    <w:rsid w:val="0020133A"/>
    <w:rsid w:val="00207617"/>
    <w:rsid w:val="00237104"/>
    <w:rsid w:val="00243AE8"/>
    <w:rsid w:val="00283659"/>
    <w:rsid w:val="002C4E73"/>
    <w:rsid w:val="002D68BF"/>
    <w:rsid w:val="002E5966"/>
    <w:rsid w:val="002F5824"/>
    <w:rsid w:val="00321F6D"/>
    <w:rsid w:val="00336CBF"/>
    <w:rsid w:val="003534A3"/>
    <w:rsid w:val="003546C8"/>
    <w:rsid w:val="003A7CF2"/>
    <w:rsid w:val="003B0789"/>
    <w:rsid w:val="003C5CE5"/>
    <w:rsid w:val="003E267B"/>
    <w:rsid w:val="003E7CD1"/>
    <w:rsid w:val="00402B9E"/>
    <w:rsid w:val="00423932"/>
    <w:rsid w:val="004249CB"/>
    <w:rsid w:val="0044127D"/>
    <w:rsid w:val="004448DB"/>
    <w:rsid w:val="00446C9A"/>
    <w:rsid w:val="004620AE"/>
    <w:rsid w:val="00463ECF"/>
    <w:rsid w:val="00477193"/>
    <w:rsid w:val="00494E71"/>
    <w:rsid w:val="004A1848"/>
    <w:rsid w:val="004A7C65"/>
    <w:rsid w:val="004D1A51"/>
    <w:rsid w:val="004F235C"/>
    <w:rsid w:val="004F7249"/>
    <w:rsid w:val="00507FEC"/>
    <w:rsid w:val="00510F0E"/>
    <w:rsid w:val="00511B8F"/>
    <w:rsid w:val="005479E1"/>
    <w:rsid w:val="005570FD"/>
    <w:rsid w:val="005575EA"/>
    <w:rsid w:val="00575B53"/>
    <w:rsid w:val="0057609C"/>
    <w:rsid w:val="0057790C"/>
    <w:rsid w:val="00593795"/>
    <w:rsid w:val="005A75FF"/>
    <w:rsid w:val="005B7789"/>
    <w:rsid w:val="005D538D"/>
    <w:rsid w:val="0060701A"/>
    <w:rsid w:val="00612787"/>
    <w:rsid w:val="0065791C"/>
    <w:rsid w:val="00690B8A"/>
    <w:rsid w:val="00694FAE"/>
    <w:rsid w:val="006B21F8"/>
    <w:rsid w:val="006D1DFA"/>
    <w:rsid w:val="006D506B"/>
    <w:rsid w:val="006E3C90"/>
    <w:rsid w:val="00704B61"/>
    <w:rsid w:val="0071591B"/>
    <w:rsid w:val="00740641"/>
    <w:rsid w:val="00742A8D"/>
    <w:rsid w:val="00745BE0"/>
    <w:rsid w:val="00754AD4"/>
    <w:rsid w:val="007552A9"/>
    <w:rsid w:val="00761858"/>
    <w:rsid w:val="00767D59"/>
    <w:rsid w:val="00776E97"/>
    <w:rsid w:val="00780FD7"/>
    <w:rsid w:val="007912AD"/>
    <w:rsid w:val="007A1F28"/>
    <w:rsid w:val="007B0824"/>
    <w:rsid w:val="007B1F49"/>
    <w:rsid w:val="007E5A2D"/>
    <w:rsid w:val="008070E8"/>
    <w:rsid w:val="008222C6"/>
    <w:rsid w:val="008303B8"/>
    <w:rsid w:val="00833DCE"/>
    <w:rsid w:val="00842418"/>
    <w:rsid w:val="0085376B"/>
    <w:rsid w:val="00871D34"/>
    <w:rsid w:val="0088076A"/>
    <w:rsid w:val="008872E0"/>
    <w:rsid w:val="008A1A16"/>
    <w:rsid w:val="008B270C"/>
    <w:rsid w:val="008C1C17"/>
    <w:rsid w:val="008C3D3D"/>
    <w:rsid w:val="008D4131"/>
    <w:rsid w:val="008F1932"/>
    <w:rsid w:val="008F294D"/>
    <w:rsid w:val="008F332E"/>
    <w:rsid w:val="00921062"/>
    <w:rsid w:val="0093083E"/>
    <w:rsid w:val="00937986"/>
    <w:rsid w:val="009435ED"/>
    <w:rsid w:val="00943D62"/>
    <w:rsid w:val="0095411D"/>
    <w:rsid w:val="00966ECF"/>
    <w:rsid w:val="009727A3"/>
    <w:rsid w:val="00987774"/>
    <w:rsid w:val="009A11E8"/>
    <w:rsid w:val="009A44AE"/>
    <w:rsid w:val="009B2843"/>
    <w:rsid w:val="009B2E11"/>
    <w:rsid w:val="009D74BF"/>
    <w:rsid w:val="009E4E62"/>
    <w:rsid w:val="009F0D99"/>
    <w:rsid w:val="009F5220"/>
    <w:rsid w:val="009F7C4D"/>
    <w:rsid w:val="00A11528"/>
    <w:rsid w:val="00A15234"/>
    <w:rsid w:val="00A201AB"/>
    <w:rsid w:val="00A30793"/>
    <w:rsid w:val="00A31C8B"/>
    <w:rsid w:val="00A80973"/>
    <w:rsid w:val="00A845DC"/>
    <w:rsid w:val="00A97AEE"/>
    <w:rsid w:val="00AB2ECD"/>
    <w:rsid w:val="00AC5CF6"/>
    <w:rsid w:val="00AE38E7"/>
    <w:rsid w:val="00AF4D4A"/>
    <w:rsid w:val="00B010D5"/>
    <w:rsid w:val="00B144FA"/>
    <w:rsid w:val="00B16F58"/>
    <w:rsid w:val="00B30648"/>
    <w:rsid w:val="00B3524D"/>
    <w:rsid w:val="00B35E75"/>
    <w:rsid w:val="00B40F69"/>
    <w:rsid w:val="00B44566"/>
    <w:rsid w:val="00B46616"/>
    <w:rsid w:val="00B610E3"/>
    <w:rsid w:val="00B61205"/>
    <w:rsid w:val="00B617C4"/>
    <w:rsid w:val="00B626FA"/>
    <w:rsid w:val="00B7040A"/>
    <w:rsid w:val="00B85A96"/>
    <w:rsid w:val="00B96FA0"/>
    <w:rsid w:val="00BB7873"/>
    <w:rsid w:val="00BC6062"/>
    <w:rsid w:val="00BD4196"/>
    <w:rsid w:val="00BF22CA"/>
    <w:rsid w:val="00C0501A"/>
    <w:rsid w:val="00C1610D"/>
    <w:rsid w:val="00C26032"/>
    <w:rsid w:val="00C265B0"/>
    <w:rsid w:val="00C321B5"/>
    <w:rsid w:val="00C345E1"/>
    <w:rsid w:val="00C527C4"/>
    <w:rsid w:val="00C52B56"/>
    <w:rsid w:val="00C977BA"/>
    <w:rsid w:val="00CB6E35"/>
    <w:rsid w:val="00CD238D"/>
    <w:rsid w:val="00CE1A46"/>
    <w:rsid w:val="00CE1C16"/>
    <w:rsid w:val="00CF253F"/>
    <w:rsid w:val="00CF56B4"/>
    <w:rsid w:val="00D20F09"/>
    <w:rsid w:val="00D22636"/>
    <w:rsid w:val="00D37288"/>
    <w:rsid w:val="00D40FD9"/>
    <w:rsid w:val="00D43529"/>
    <w:rsid w:val="00D53769"/>
    <w:rsid w:val="00D70775"/>
    <w:rsid w:val="00D75E49"/>
    <w:rsid w:val="00D813C0"/>
    <w:rsid w:val="00D85C13"/>
    <w:rsid w:val="00D91289"/>
    <w:rsid w:val="00D91BE3"/>
    <w:rsid w:val="00D94AFC"/>
    <w:rsid w:val="00DB70AE"/>
    <w:rsid w:val="00DB7231"/>
    <w:rsid w:val="00DB7CE1"/>
    <w:rsid w:val="00DB7D8A"/>
    <w:rsid w:val="00DC3838"/>
    <w:rsid w:val="00DD28B3"/>
    <w:rsid w:val="00DD5071"/>
    <w:rsid w:val="00DD5C39"/>
    <w:rsid w:val="00DD60C7"/>
    <w:rsid w:val="00DE26AF"/>
    <w:rsid w:val="00DE7DB7"/>
    <w:rsid w:val="00E00A0A"/>
    <w:rsid w:val="00E07F57"/>
    <w:rsid w:val="00E1212D"/>
    <w:rsid w:val="00E50BCE"/>
    <w:rsid w:val="00E57504"/>
    <w:rsid w:val="00E61292"/>
    <w:rsid w:val="00E62685"/>
    <w:rsid w:val="00E76309"/>
    <w:rsid w:val="00E77C4D"/>
    <w:rsid w:val="00E81D01"/>
    <w:rsid w:val="00EE0DB7"/>
    <w:rsid w:val="00EE45D8"/>
    <w:rsid w:val="00EE7140"/>
    <w:rsid w:val="00EF0057"/>
    <w:rsid w:val="00F004CD"/>
    <w:rsid w:val="00F22EDA"/>
    <w:rsid w:val="00F3224D"/>
    <w:rsid w:val="00F337F0"/>
    <w:rsid w:val="00F33E0E"/>
    <w:rsid w:val="00F421CF"/>
    <w:rsid w:val="00F5664C"/>
    <w:rsid w:val="00F60D99"/>
    <w:rsid w:val="00F9260B"/>
    <w:rsid w:val="00F963D2"/>
    <w:rsid w:val="00FB7E80"/>
    <w:rsid w:val="00FC0D76"/>
    <w:rsid w:val="00FC5531"/>
    <w:rsid w:val="00FD2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A98FE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DocumentMap">
    <w:name w:val="Document Map"/>
    <w:basedOn w:val="Normal"/>
    <w:semiHidden/>
    <w:rsid w:val="00463ECF"/>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2018-06-15T13:14:00Z</dcterms:created>
  <dcterms:modified xsi:type="dcterms:W3CDTF">2018-06-15T13:15:00Z</dcterms:modified>
</cp:coreProperties>
</file>