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27DDF"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B631AF" w:rsidRPr="00736900" w:rsidRDefault="00C321B5" w:rsidP="00736900">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217D3">
        <w:rPr>
          <w:rFonts w:ascii="Book Antiqua" w:hAnsi="Book Antiqua" w:cs="Arial"/>
          <w:b/>
        </w:rPr>
        <w:t xml:space="preserve">   </w:t>
      </w:r>
      <w:proofErr w:type="gramEnd"/>
      <w:r w:rsidR="008217D3">
        <w:rPr>
          <w:rFonts w:ascii="Book Antiqua" w:hAnsi="Book Antiqua" w:cs="Arial"/>
          <w:b/>
        </w:rPr>
        <w:t xml:space="preserve">                       </w:t>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r w:rsidR="00C75454">
        <w:rPr>
          <w:rFonts w:ascii="Book Antiqua" w:hAnsi="Book Antiqua" w:cs="Arial"/>
          <w:b/>
          <w:caps/>
        </w:rPr>
        <w:t>PA</w:t>
      </w:r>
      <w:r w:rsidR="001B67F3" w:rsidRPr="00490CFA">
        <w:rPr>
          <w:rFonts w:ascii="Book Antiqua" w:hAnsi="Book Antiqua" w:cs="Arial"/>
          <w:b/>
          <w:caps/>
        </w:rPr>
        <w:t>/</w:t>
      </w:r>
      <w:r w:rsidR="004B791B">
        <w:rPr>
          <w:rFonts w:ascii="Book Antiqua" w:hAnsi="Book Antiqua" w:cs="Arial"/>
          <w:b/>
          <w:caps/>
        </w:rPr>
        <w:t>08493</w:t>
      </w:r>
      <w:r w:rsidR="00FB050B" w:rsidRPr="00490CFA">
        <w:rPr>
          <w:rFonts w:ascii="Book Antiqua" w:hAnsi="Book Antiqua" w:cs="Arial"/>
          <w:b/>
          <w:caps/>
        </w:rPr>
        <w:t>/</w:t>
      </w:r>
      <w:r w:rsidR="0035753A">
        <w:rPr>
          <w:rFonts w:ascii="Book Antiqua" w:hAnsi="Book Antiqua" w:cs="Arial"/>
          <w:b/>
          <w:caps/>
        </w:rPr>
        <w:t>201</w:t>
      </w:r>
      <w:r w:rsidR="00C75454">
        <w:rPr>
          <w:rFonts w:ascii="Book Antiqua" w:hAnsi="Book Antiqua" w:cs="Arial"/>
          <w:b/>
          <w:caps/>
        </w:rPr>
        <w:t>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363"/>
        <w:gridCol w:w="3888"/>
      </w:tblGrid>
      <w:tr w:rsidR="00D22636" w:rsidRPr="00337EBB" w:rsidTr="008217D3">
        <w:tc>
          <w:tcPr>
            <w:tcW w:w="5387"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C75454">
              <w:rPr>
                <w:rFonts w:ascii="Book Antiqua" w:hAnsi="Book Antiqua" w:cs="Arial"/>
                <w:b/>
              </w:rPr>
              <w:t>Liverpool</w:t>
            </w:r>
            <w:r w:rsidR="001B67F3" w:rsidRPr="00337EBB">
              <w:rPr>
                <w:rFonts w:ascii="Book Antiqua" w:hAnsi="Book Antiqua" w:cs="Arial"/>
                <w:b/>
              </w:rPr>
              <w:t xml:space="preserve"> </w:t>
            </w:r>
          </w:p>
        </w:tc>
        <w:tc>
          <w:tcPr>
            <w:tcW w:w="4251" w:type="dxa"/>
            <w:gridSpan w:val="2"/>
            <w:shd w:val="clear" w:color="auto" w:fill="auto"/>
          </w:tcPr>
          <w:p w:rsidR="00D22636" w:rsidRPr="00337EBB" w:rsidRDefault="008217D3"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8217D3">
        <w:tc>
          <w:tcPr>
            <w:tcW w:w="5387"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C75454">
              <w:rPr>
                <w:rFonts w:ascii="Book Antiqua" w:hAnsi="Book Antiqua" w:cs="Arial"/>
                <w:b/>
              </w:rPr>
              <w:t>June 7</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4251" w:type="dxa"/>
            <w:gridSpan w:val="2"/>
            <w:shd w:val="clear" w:color="auto" w:fill="auto"/>
          </w:tcPr>
          <w:p w:rsidR="00D22636" w:rsidRPr="00337EBB" w:rsidRDefault="008217D3" w:rsidP="00337EBB">
            <w:pPr>
              <w:jc w:val="both"/>
              <w:rPr>
                <w:rFonts w:ascii="Book Antiqua" w:hAnsi="Book Antiqua" w:cs="Arial"/>
                <w:b/>
              </w:rPr>
            </w:pPr>
            <w:r>
              <w:rPr>
                <w:rFonts w:ascii="Book Antiqua" w:hAnsi="Book Antiqua" w:cs="Arial"/>
                <w:b/>
              </w:rPr>
              <w:t xml:space="preserve"> </w:t>
            </w:r>
            <w:r w:rsidR="009428CC">
              <w:rPr>
                <w:rFonts w:ascii="Book Antiqua" w:hAnsi="Book Antiqua" w:cs="Arial"/>
                <w:b/>
              </w:rPr>
              <w:t xml:space="preserve">On June 12, 2018 </w:t>
            </w:r>
          </w:p>
        </w:tc>
      </w:tr>
      <w:tr w:rsidR="00D22636" w:rsidRPr="00337EBB" w:rsidTr="008217D3">
        <w:tc>
          <w:tcPr>
            <w:tcW w:w="5750" w:type="dxa"/>
            <w:gridSpan w:val="2"/>
            <w:shd w:val="clear" w:color="auto" w:fill="auto"/>
          </w:tcPr>
          <w:p w:rsidR="00D22636" w:rsidRPr="00337EBB" w:rsidRDefault="00D22636" w:rsidP="00337EBB">
            <w:pPr>
              <w:jc w:val="both"/>
              <w:rPr>
                <w:rFonts w:ascii="Book Antiqua" w:hAnsi="Book Antiqua" w:cs="Arial"/>
                <w:b/>
              </w:rPr>
            </w:pPr>
          </w:p>
        </w:tc>
        <w:tc>
          <w:tcPr>
            <w:tcW w:w="3888"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4B791B" w:rsidRDefault="004B791B" w:rsidP="004B791B">
      <w:pPr>
        <w:jc w:val="center"/>
        <w:rPr>
          <w:rFonts w:ascii="Book Antiqua" w:hAnsi="Book Antiqua" w:cs="Arial"/>
          <w:b/>
        </w:rPr>
      </w:pPr>
      <w:r>
        <w:rPr>
          <w:rFonts w:ascii="Book Antiqua" w:hAnsi="Book Antiqua" w:cs="Arial"/>
          <w:b/>
        </w:rPr>
        <w:t xml:space="preserve">MS </w:t>
      </w:r>
      <w:r w:rsidR="00D76818">
        <w:rPr>
          <w:rFonts w:ascii="Book Antiqua" w:hAnsi="Book Antiqua" w:cs="Arial"/>
          <w:b/>
        </w:rPr>
        <w:t xml:space="preserve">P N R </w:t>
      </w:r>
    </w:p>
    <w:p w:rsidR="00B631AF" w:rsidRPr="008217D3" w:rsidRDefault="00B631AF" w:rsidP="00A15234">
      <w:pPr>
        <w:jc w:val="center"/>
        <w:rPr>
          <w:rFonts w:ascii="Book Antiqua" w:hAnsi="Book Antiqua" w:cs="Arial"/>
        </w:rPr>
      </w:pPr>
      <w:r w:rsidRPr="008217D3">
        <w:rPr>
          <w:rFonts w:ascii="Book Antiqua" w:hAnsi="Book Antiqua" w:cs="Arial"/>
        </w:rPr>
        <w:t>(ANONYMITY DIRECTION MADE)</w:t>
      </w:r>
    </w:p>
    <w:p w:rsidR="006D1DFA" w:rsidRPr="00B631AF" w:rsidRDefault="00704B61" w:rsidP="00B631AF">
      <w:pPr>
        <w:jc w:val="right"/>
        <w:rPr>
          <w:rFonts w:ascii="Book Antiqua" w:hAnsi="Book Antiqua" w:cs="Arial"/>
          <w:u w:val="single"/>
        </w:rPr>
      </w:pPr>
      <w:r w:rsidRPr="00F5664C">
        <w:rPr>
          <w:rFonts w:ascii="Book Antiqua" w:hAnsi="Book Antiqua" w:cs="Arial"/>
          <w:u w:val="single"/>
        </w:rPr>
        <w:t>Appellant</w:t>
      </w:r>
    </w:p>
    <w:p w:rsidR="008217D3" w:rsidRDefault="008217D3"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FF4BA6" w:rsidRPr="00F5664C" w:rsidRDefault="00B631AF" w:rsidP="00FF4BA6">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6E40CB">
      <w:pPr>
        <w:tabs>
          <w:tab w:val="left" w:pos="2520"/>
        </w:tabs>
        <w:rPr>
          <w:rFonts w:ascii="Book Antiqua" w:hAnsi="Book Antiqua" w:cs="Arial"/>
        </w:rPr>
      </w:pPr>
      <w:r w:rsidRPr="00F5664C">
        <w:rPr>
          <w:rFonts w:ascii="Book Antiqua" w:hAnsi="Book Antiqua" w:cs="Arial"/>
        </w:rPr>
        <w:t>For the Appellant:</w:t>
      </w:r>
      <w:r w:rsidR="00C139A6">
        <w:rPr>
          <w:rFonts w:ascii="Book Antiqua" w:hAnsi="Book Antiqua" w:cs="Arial"/>
        </w:rPr>
        <w:tab/>
      </w:r>
      <w:r w:rsidR="00D76818">
        <w:rPr>
          <w:rFonts w:ascii="Book Antiqua" w:hAnsi="Book Antiqua" w:cs="Arial"/>
        </w:rPr>
        <w:t>Mr Nicholson, Counsel, instructed by GMAIU</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76818">
        <w:rPr>
          <w:rFonts w:ascii="Book Antiqua" w:hAnsi="Book Antiqua" w:cs="Arial"/>
        </w:rPr>
        <w:t xml:space="preserve">Mr </w:t>
      </w:r>
      <w:proofErr w:type="spellStart"/>
      <w:r w:rsidR="00D76818">
        <w:rPr>
          <w:rFonts w:ascii="Book Antiqua" w:hAnsi="Book Antiqua" w:cs="Arial"/>
        </w:rPr>
        <w:t>Diwnycz</w:t>
      </w:r>
      <w:proofErr w:type="spellEnd"/>
      <w:r w:rsidR="005C666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31AF" w:rsidRDefault="00D76818" w:rsidP="00911478">
      <w:pPr>
        <w:numPr>
          <w:ilvl w:val="0"/>
          <w:numId w:val="3"/>
        </w:numPr>
        <w:spacing w:before="240"/>
        <w:jc w:val="both"/>
        <w:rPr>
          <w:rFonts w:ascii="Book Antiqua" w:hAnsi="Book Antiqua" w:cs="Arial"/>
        </w:rPr>
      </w:pPr>
      <w:r>
        <w:rPr>
          <w:rFonts w:ascii="Book Antiqua" w:hAnsi="Book Antiqua" w:cs="Arial"/>
        </w:rPr>
        <w:t xml:space="preserve">Pursuant to </w:t>
      </w:r>
      <w:r w:rsidRPr="00664F04">
        <w:rPr>
          <w:rFonts w:ascii="Book Antiqua" w:hAnsi="Book Antiqua"/>
        </w:rPr>
        <w:t xml:space="preserve">Rule 14(1) of the Tribunal Procedure (Upper Tribunal) Rules 2008 (the UT Procedure Rules) </w:t>
      </w:r>
      <w:r>
        <w:rPr>
          <w:rFonts w:ascii="Book Antiqua" w:hAnsi="Book Antiqua"/>
        </w:rPr>
        <w:t xml:space="preserve">I make an order </w:t>
      </w:r>
      <w:r w:rsidRPr="00664F04">
        <w:rPr>
          <w:rFonts w:ascii="Book Antiqua" w:hAnsi="Book Antiqua"/>
        </w:rPr>
        <w:t>prohibiting the disclosure or publication of specified documents or information relating to the proceedings or of any matter likely to lead members of the public to identify any person whom the Upper Tribunal considers should not be identified. The effect of such an “anonymity order” may therefore be to prohibit anyone (not merely the parties in the case) from disclosing relevant information. Breach of the order may be punishable as a contempt of court</w:t>
      </w:r>
      <w:r>
        <w:rPr>
          <w:rFonts w:ascii="Book Antiqua" w:hAnsi="Book Antiqua"/>
        </w:rPr>
        <w:t>.</w:t>
      </w:r>
    </w:p>
    <w:p w:rsidR="00573DD5" w:rsidRDefault="004B791B" w:rsidP="00C139A6">
      <w:pPr>
        <w:numPr>
          <w:ilvl w:val="0"/>
          <w:numId w:val="3"/>
        </w:numPr>
        <w:spacing w:before="240"/>
        <w:jc w:val="both"/>
        <w:rPr>
          <w:rFonts w:ascii="Book Antiqua" w:hAnsi="Book Antiqua" w:cs="Arial"/>
        </w:rPr>
      </w:pPr>
      <w:r>
        <w:rPr>
          <w:rFonts w:ascii="Book Antiqua" w:hAnsi="Book Antiqua" w:cs="Arial"/>
        </w:rPr>
        <w:t xml:space="preserve">The appellant entered the United Kingdom on February 20, 2011 with leave as a Tier 4 (student) migrant visa and this allowed her to remain here until June 1, 2013. On May 11, 2012 she applied and was subsequently granted leave to remain as a Tier 1 </w:t>
      </w:r>
      <w:r>
        <w:rPr>
          <w:rFonts w:ascii="Book Antiqua" w:hAnsi="Book Antiqua" w:cs="Arial"/>
        </w:rPr>
        <w:lastRenderedPageBreak/>
        <w:t>(entrepreneur) migrant and she was granted leave to remain along with her de</w:t>
      </w:r>
      <w:bookmarkStart w:id="0" w:name="_GoBack"/>
      <w:bookmarkEnd w:id="0"/>
      <w:r>
        <w:rPr>
          <w:rFonts w:ascii="Book Antiqua" w:hAnsi="Book Antiqua" w:cs="Arial"/>
        </w:rPr>
        <w:t>pendent spouse and child until December 5, 2015. On December 21, 2015 she applied for leave to remain on family and private life grounds but this was rejected by the respondent on January 30, 2017.</w:t>
      </w:r>
    </w:p>
    <w:p w:rsidR="004B791B" w:rsidRDefault="004B791B" w:rsidP="00C139A6">
      <w:pPr>
        <w:numPr>
          <w:ilvl w:val="0"/>
          <w:numId w:val="3"/>
        </w:numPr>
        <w:spacing w:before="240"/>
        <w:jc w:val="both"/>
        <w:rPr>
          <w:rFonts w:ascii="Book Antiqua" w:hAnsi="Book Antiqua" w:cs="Arial"/>
        </w:rPr>
      </w:pPr>
      <w:r>
        <w:rPr>
          <w:rFonts w:ascii="Book Antiqua" w:hAnsi="Book Antiqua" w:cs="Arial"/>
        </w:rPr>
        <w:t>On March 15, 2017 the appellant lodged an application for asylum but this was refused by the respondent on August 18, 2017 under paragraphs 336 and 339M/339F HC 395</w:t>
      </w:r>
    </w:p>
    <w:p w:rsidR="00DF612A" w:rsidRDefault="00DF612A" w:rsidP="00C139A6">
      <w:pPr>
        <w:numPr>
          <w:ilvl w:val="0"/>
          <w:numId w:val="3"/>
        </w:numPr>
        <w:spacing w:before="240"/>
        <w:jc w:val="both"/>
        <w:rPr>
          <w:rFonts w:ascii="Book Antiqua" w:hAnsi="Book Antiqua" w:cs="Arial"/>
        </w:rPr>
      </w:pPr>
      <w:r>
        <w:rPr>
          <w:rFonts w:ascii="Book Antiqua" w:hAnsi="Book Antiqua" w:cs="Arial"/>
        </w:rPr>
        <w:t xml:space="preserve">The appellant appealed that decision on </w:t>
      </w:r>
      <w:r w:rsidR="004B791B">
        <w:rPr>
          <w:rFonts w:ascii="Book Antiqua" w:hAnsi="Book Antiqua" w:cs="Arial"/>
        </w:rPr>
        <w:t>September 4</w:t>
      </w:r>
      <w:r>
        <w:rPr>
          <w:rFonts w:ascii="Book Antiqua" w:hAnsi="Book Antiqua" w:cs="Arial"/>
        </w:rPr>
        <w:t xml:space="preserve">, 2017 and </w:t>
      </w:r>
      <w:r w:rsidR="00D76818">
        <w:rPr>
          <w:rFonts w:ascii="Book Antiqua" w:hAnsi="Book Antiqua" w:cs="Arial"/>
        </w:rPr>
        <w:t xml:space="preserve">her appeal </w:t>
      </w:r>
      <w:r>
        <w:rPr>
          <w:rFonts w:ascii="Book Antiqua" w:hAnsi="Book Antiqua" w:cs="Arial"/>
        </w:rPr>
        <w:t xml:space="preserve">was </w:t>
      </w:r>
      <w:r w:rsidR="00C75454">
        <w:rPr>
          <w:rFonts w:ascii="Book Antiqua" w:hAnsi="Book Antiqua" w:cs="Arial"/>
        </w:rPr>
        <w:t>heard</w:t>
      </w:r>
      <w:r>
        <w:rPr>
          <w:rFonts w:ascii="Book Antiqua" w:hAnsi="Book Antiqua" w:cs="Arial"/>
        </w:rPr>
        <w:t xml:space="preserve"> by Judge of the First-tier Tribunal </w:t>
      </w:r>
      <w:r w:rsidR="004B791B">
        <w:rPr>
          <w:rFonts w:ascii="Book Antiqua" w:hAnsi="Book Antiqua" w:cs="Arial"/>
        </w:rPr>
        <w:t>Tobin</w:t>
      </w:r>
      <w:r>
        <w:rPr>
          <w:rFonts w:ascii="Book Antiqua" w:hAnsi="Book Antiqua" w:cs="Arial"/>
        </w:rPr>
        <w:t xml:space="preserve"> on </w:t>
      </w:r>
      <w:r w:rsidR="00C75454">
        <w:rPr>
          <w:rFonts w:ascii="Book Antiqua" w:hAnsi="Book Antiqua" w:cs="Arial"/>
        </w:rPr>
        <w:t xml:space="preserve">January </w:t>
      </w:r>
      <w:r w:rsidR="004B791B">
        <w:rPr>
          <w:rFonts w:ascii="Book Antiqua" w:hAnsi="Book Antiqua" w:cs="Arial"/>
        </w:rPr>
        <w:t>12</w:t>
      </w:r>
      <w:r>
        <w:rPr>
          <w:rFonts w:ascii="Book Antiqua" w:hAnsi="Book Antiqua" w:cs="Arial"/>
        </w:rPr>
        <w:t>, 201</w:t>
      </w:r>
      <w:r w:rsidR="00C75454">
        <w:rPr>
          <w:rFonts w:ascii="Book Antiqua" w:hAnsi="Book Antiqua" w:cs="Arial"/>
        </w:rPr>
        <w:t>8</w:t>
      </w:r>
      <w:r>
        <w:rPr>
          <w:rFonts w:ascii="Book Antiqua" w:hAnsi="Book Antiqua" w:cs="Arial"/>
        </w:rPr>
        <w:t xml:space="preserve"> who</w:t>
      </w:r>
      <w:r w:rsidR="00C75454">
        <w:rPr>
          <w:rFonts w:ascii="Book Antiqua" w:hAnsi="Book Antiqua" w:cs="Arial"/>
        </w:rPr>
        <w:t xml:space="preserve"> in a decision promulgated on February </w:t>
      </w:r>
      <w:r w:rsidR="004B791B">
        <w:rPr>
          <w:rFonts w:ascii="Book Antiqua" w:hAnsi="Book Antiqua" w:cs="Arial"/>
        </w:rPr>
        <w:t>15</w:t>
      </w:r>
      <w:r w:rsidR="00C75454">
        <w:rPr>
          <w:rFonts w:ascii="Book Antiqua" w:hAnsi="Book Antiqua" w:cs="Arial"/>
        </w:rPr>
        <w:t xml:space="preserve">, 2018 </w:t>
      </w:r>
      <w:r w:rsidR="004B791B">
        <w:rPr>
          <w:rFonts w:ascii="Book Antiqua" w:hAnsi="Book Antiqua" w:cs="Arial"/>
        </w:rPr>
        <w:t xml:space="preserve">dismissed </w:t>
      </w:r>
      <w:r w:rsidR="00C75454">
        <w:rPr>
          <w:rFonts w:ascii="Book Antiqua" w:hAnsi="Book Antiqua" w:cs="Arial"/>
        </w:rPr>
        <w:t>the appeal</w:t>
      </w:r>
      <w:r w:rsidR="004B791B">
        <w:rPr>
          <w:rFonts w:ascii="Book Antiqua" w:hAnsi="Book Antiqua" w:cs="Arial"/>
        </w:rPr>
        <w:t xml:space="preserve"> on all grounds.</w:t>
      </w:r>
    </w:p>
    <w:p w:rsidR="00C75454" w:rsidRDefault="00C75454" w:rsidP="00C139A6">
      <w:pPr>
        <w:numPr>
          <w:ilvl w:val="0"/>
          <w:numId w:val="3"/>
        </w:numPr>
        <w:spacing w:before="240"/>
        <w:jc w:val="both"/>
        <w:rPr>
          <w:rFonts w:ascii="Book Antiqua" w:hAnsi="Book Antiqua" w:cs="Arial"/>
        </w:rPr>
      </w:pPr>
      <w:r>
        <w:rPr>
          <w:rFonts w:ascii="Book Antiqua" w:hAnsi="Book Antiqua" w:cs="Arial"/>
        </w:rPr>
        <w:t xml:space="preserve">The appellant appealed that decision on or around February </w:t>
      </w:r>
      <w:r w:rsidR="004B791B">
        <w:rPr>
          <w:rFonts w:ascii="Book Antiqua" w:hAnsi="Book Antiqua" w:cs="Arial"/>
        </w:rPr>
        <w:t>21</w:t>
      </w:r>
      <w:r>
        <w:rPr>
          <w:rFonts w:ascii="Book Antiqua" w:hAnsi="Book Antiqua" w:cs="Arial"/>
        </w:rPr>
        <w:t>, 2018 and Judge of the First-tier Tribunal</w:t>
      </w:r>
      <w:r w:rsidR="004B791B">
        <w:rPr>
          <w:rFonts w:ascii="Book Antiqua" w:hAnsi="Book Antiqua" w:cs="Arial"/>
        </w:rPr>
        <w:t xml:space="preserve"> Hodgkinson </w:t>
      </w:r>
      <w:r>
        <w:rPr>
          <w:rFonts w:ascii="Book Antiqua" w:hAnsi="Book Antiqua" w:cs="Arial"/>
        </w:rPr>
        <w:t xml:space="preserve">found </w:t>
      </w:r>
      <w:r w:rsidR="00D76818">
        <w:rPr>
          <w:rFonts w:ascii="Book Antiqua" w:hAnsi="Book Antiqua" w:cs="Arial"/>
        </w:rPr>
        <w:t xml:space="preserve">on March 7, 2018 </w:t>
      </w:r>
      <w:r>
        <w:rPr>
          <w:rFonts w:ascii="Book Antiqua" w:hAnsi="Book Antiqua" w:cs="Arial"/>
        </w:rPr>
        <w:t>there was an arguable error of law</w:t>
      </w:r>
      <w:r w:rsidR="004B791B">
        <w:rPr>
          <w:rFonts w:ascii="Book Antiqua" w:hAnsi="Book Antiqua" w:cs="Arial"/>
        </w:rPr>
        <w:t xml:space="preserve"> on article 8 ECHR grounds only</w:t>
      </w:r>
      <w:r>
        <w:rPr>
          <w:rFonts w:ascii="Book Antiqua" w:hAnsi="Book Antiqua" w:cs="Arial"/>
        </w:rPr>
        <w:t>.</w:t>
      </w:r>
    </w:p>
    <w:p w:rsidR="001311AC" w:rsidRDefault="00D76818" w:rsidP="00911478">
      <w:pPr>
        <w:numPr>
          <w:ilvl w:val="0"/>
          <w:numId w:val="3"/>
        </w:numPr>
        <w:spacing w:before="240"/>
        <w:jc w:val="both"/>
        <w:rPr>
          <w:rFonts w:ascii="Book Antiqua" w:hAnsi="Book Antiqua" w:cs="Arial"/>
        </w:rPr>
      </w:pPr>
      <w:r>
        <w:rPr>
          <w:rFonts w:ascii="Book Antiqua" w:hAnsi="Book Antiqua" w:cs="Arial"/>
        </w:rPr>
        <w:t xml:space="preserve">There had been no Rule 24 response filed in this matter but Mr </w:t>
      </w:r>
      <w:proofErr w:type="spellStart"/>
      <w:r>
        <w:rPr>
          <w:rFonts w:ascii="Book Antiqua" w:hAnsi="Book Antiqua" w:cs="Arial"/>
        </w:rPr>
        <w:t>Diwnycz</w:t>
      </w:r>
      <w:proofErr w:type="spellEnd"/>
      <w:r>
        <w:rPr>
          <w:rFonts w:ascii="Book Antiqua" w:hAnsi="Book Antiqua" w:cs="Arial"/>
        </w:rPr>
        <w:t xml:space="preserve"> conceded that the Judge’s assessment of the article 8 claim was lacking and there was, in his view, an error in law.</w:t>
      </w:r>
    </w:p>
    <w:p w:rsidR="00D76818" w:rsidRDefault="00D76818" w:rsidP="00911478">
      <w:pPr>
        <w:numPr>
          <w:ilvl w:val="0"/>
          <w:numId w:val="3"/>
        </w:numPr>
        <w:spacing w:before="240"/>
        <w:jc w:val="both"/>
        <w:rPr>
          <w:rFonts w:ascii="Book Antiqua" w:hAnsi="Book Antiqua" w:cs="Arial"/>
        </w:rPr>
      </w:pPr>
      <w:r>
        <w:rPr>
          <w:rFonts w:ascii="Book Antiqua" w:hAnsi="Book Antiqua" w:cs="Arial"/>
        </w:rPr>
        <w:t xml:space="preserve">Having considered the Judge’s decision and </w:t>
      </w:r>
      <w:proofErr w:type="gramStart"/>
      <w:r>
        <w:rPr>
          <w:rFonts w:ascii="Book Antiqua" w:hAnsi="Book Antiqua" w:cs="Arial"/>
        </w:rPr>
        <w:t>in particular paragraphs</w:t>
      </w:r>
      <w:proofErr w:type="gramEnd"/>
      <w:r>
        <w:rPr>
          <w:rFonts w:ascii="Book Antiqua" w:hAnsi="Book Antiqua" w:cs="Arial"/>
        </w:rPr>
        <w:t xml:space="preserve"> 41 and 42 of that decision I am satisfied that the article 8 claim was not considered adequately and I therefore concur with the submissions of the representatives that there was an error of law on this issue only.</w:t>
      </w:r>
    </w:p>
    <w:p w:rsidR="00BA322F" w:rsidRPr="00BA322F" w:rsidRDefault="00D76818" w:rsidP="00BA322F">
      <w:pPr>
        <w:numPr>
          <w:ilvl w:val="0"/>
          <w:numId w:val="3"/>
        </w:numPr>
        <w:spacing w:before="240"/>
        <w:jc w:val="both"/>
        <w:rPr>
          <w:rFonts w:ascii="Book Antiqua" w:hAnsi="Book Antiqua" w:cs="Arial"/>
        </w:rPr>
      </w:pPr>
      <w:r>
        <w:rPr>
          <w:rFonts w:ascii="Book Antiqua" w:hAnsi="Book Antiqua" w:cs="Arial"/>
        </w:rPr>
        <w:t xml:space="preserve">Mr Nicholson indicated he did not intend to call any further evidence and invited me to allow the appeal. He stated that the appellant’s child had been born in February 2010 and had arrived in the United Kingdom in February 2011. The child therefore had lived in the United Kingdom not only for more than seven years but for almost all his life. </w:t>
      </w:r>
      <w:r w:rsidRPr="00BA322F">
        <w:rPr>
          <w:rFonts w:ascii="Book Antiqua" w:hAnsi="Book Antiqua" w:cs="Arial"/>
        </w:rPr>
        <w:t xml:space="preserve">The appellant had entered the United Kingdom legally and had remained here legally until her application, dated December 21, 2015, was refused on January 30, 2017 at which time she had lodged a protection claim. There was evidence before the Tribunal of ongoing family proceedings and the fact that the child’s father was no longer in their lives due to his abusive behaviour. </w:t>
      </w:r>
    </w:p>
    <w:p w:rsidR="00BA322F" w:rsidRPr="00BA322F" w:rsidRDefault="00D76818" w:rsidP="00911478">
      <w:pPr>
        <w:numPr>
          <w:ilvl w:val="0"/>
          <w:numId w:val="3"/>
        </w:numPr>
        <w:spacing w:before="240"/>
        <w:jc w:val="both"/>
        <w:rPr>
          <w:rFonts w:ascii="Book Antiqua" w:hAnsi="Book Antiqua" w:cs="Arial"/>
        </w:rPr>
      </w:pPr>
      <w:r>
        <w:rPr>
          <w:rFonts w:ascii="Book Antiqua" w:hAnsi="Book Antiqua" w:cs="Arial"/>
        </w:rPr>
        <w:t xml:space="preserve">Mr Nicholson pointed to the recent decision of </w:t>
      </w:r>
      <w:r w:rsidRPr="00D76818">
        <w:rPr>
          <w:rFonts w:ascii="Book Antiqua" w:hAnsi="Book Antiqua" w:cs="Arial"/>
          <w:color w:val="0B0C0C"/>
          <w:u w:val="single"/>
          <w:shd w:val="clear" w:color="auto" w:fill="FFFFFF"/>
        </w:rPr>
        <w:t>MT and ET (child's best interests; ex tempore pilot) Nigeria</w:t>
      </w:r>
      <w:r w:rsidRPr="00D76818">
        <w:rPr>
          <w:rFonts w:ascii="Book Antiqua" w:hAnsi="Book Antiqua" w:cs="Arial"/>
          <w:color w:val="0B0C0C"/>
          <w:shd w:val="clear" w:color="auto" w:fill="FFFFFF"/>
        </w:rPr>
        <w:t xml:space="preserve"> [2018] UKUT 00088(IAC)</w:t>
      </w:r>
      <w:r>
        <w:rPr>
          <w:rFonts w:ascii="Book Antiqua" w:hAnsi="Book Antiqua" w:cs="Arial"/>
          <w:color w:val="0B0C0C"/>
          <w:shd w:val="clear" w:color="auto" w:fill="FFFFFF"/>
        </w:rPr>
        <w:t xml:space="preserve"> in which the Tribunal made clea</w:t>
      </w:r>
      <w:r w:rsidRPr="00D76818">
        <w:rPr>
          <w:rFonts w:ascii="Book Antiqua" w:hAnsi="Book Antiqua" w:cs="Arial"/>
          <w:color w:val="0B0C0C"/>
          <w:shd w:val="clear" w:color="auto" w:fill="FFFFFF"/>
        </w:rPr>
        <w:t>r, “A very young child, who has not started school or who has only recently done so, will have difficulty in establishing that her Article 8 private and family life has a material element, which lies outside her need to live with her parent or parents, wherever that may be. This position, however, changes over time, with the result that an assessment of best interests must adopt a correspondingly wider focus, examining the child's position in the wider world, of which school will usually be an important part.”</w:t>
      </w:r>
      <w:r w:rsidR="00A75955">
        <w:rPr>
          <w:rFonts w:ascii="Book Antiqua" w:hAnsi="Book Antiqua" w:cs="Arial"/>
          <w:color w:val="0B0C0C"/>
          <w:shd w:val="clear" w:color="auto" w:fill="FFFFFF"/>
        </w:rPr>
        <w:t xml:space="preserve"> </w:t>
      </w:r>
    </w:p>
    <w:p w:rsidR="00D76818" w:rsidRPr="00A75955" w:rsidRDefault="00BA322F" w:rsidP="00911478">
      <w:pPr>
        <w:numPr>
          <w:ilvl w:val="0"/>
          <w:numId w:val="3"/>
        </w:numPr>
        <w:spacing w:before="240"/>
        <w:jc w:val="both"/>
        <w:rPr>
          <w:rFonts w:ascii="Book Antiqua" w:hAnsi="Book Antiqua" w:cs="Arial"/>
        </w:rPr>
      </w:pPr>
      <w:r>
        <w:rPr>
          <w:rFonts w:ascii="Book Antiqua" w:hAnsi="Book Antiqua" w:cs="Arial"/>
          <w:color w:val="0B0C0C"/>
          <w:shd w:val="clear" w:color="auto" w:fill="FFFFFF"/>
        </w:rPr>
        <w:t xml:space="preserve">Mr Nicholson </w:t>
      </w:r>
      <w:r w:rsidR="00A75955">
        <w:rPr>
          <w:rFonts w:ascii="Book Antiqua" w:hAnsi="Book Antiqua" w:cs="Arial"/>
          <w:color w:val="0B0C0C"/>
          <w:shd w:val="clear" w:color="auto" w:fill="FFFFFF"/>
        </w:rPr>
        <w:t>relied on the fact that the respondent’s own guidance, recently updated in February 201</w:t>
      </w:r>
      <w:r w:rsidR="00D34306">
        <w:rPr>
          <w:rFonts w:ascii="Book Antiqua" w:hAnsi="Book Antiqua" w:cs="Arial"/>
          <w:color w:val="0B0C0C"/>
          <w:shd w:val="clear" w:color="auto" w:fill="FFFFFF"/>
        </w:rPr>
        <w:t>8</w:t>
      </w:r>
      <w:r w:rsidR="00A75955">
        <w:rPr>
          <w:rFonts w:ascii="Book Antiqua" w:hAnsi="Book Antiqua" w:cs="Arial"/>
          <w:color w:val="0B0C0C"/>
          <w:shd w:val="clear" w:color="auto" w:fill="FFFFFF"/>
        </w:rPr>
        <w:t xml:space="preserve">, made it clear that where removal of the appellant would mean the child would be unable to remain in the United Kingdom then it was an issue of reasonableness as to whether the appellant should be removed. There was no “very poor immigration history” or criminal behaviour and in determining both the best </w:t>
      </w:r>
      <w:r w:rsidR="00A75955">
        <w:rPr>
          <w:rFonts w:ascii="Book Antiqua" w:hAnsi="Book Antiqua" w:cs="Arial"/>
          <w:color w:val="0B0C0C"/>
          <w:shd w:val="clear" w:color="auto" w:fill="FFFFFF"/>
        </w:rPr>
        <w:lastRenderedPageBreak/>
        <w:t>interests of the child and the reasonableness of removal the Tribunal must give significant weight to the fact that the child has lived in this country for over seven years. He invited me to allow the appeal.</w:t>
      </w:r>
    </w:p>
    <w:p w:rsidR="00A75955" w:rsidRDefault="00A75955" w:rsidP="00911478">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acknowledged the points made by Mr Nicholson and agreed there was little that he could put forward which contradicted the arguments that had been advanced before the Tribunal.</w:t>
      </w:r>
    </w:p>
    <w:p w:rsidR="00A75955" w:rsidRPr="00A75955" w:rsidRDefault="00A75955" w:rsidP="00A75955">
      <w:pPr>
        <w:spacing w:before="240"/>
        <w:ind w:left="567"/>
        <w:jc w:val="both"/>
        <w:rPr>
          <w:rFonts w:ascii="Book Antiqua" w:hAnsi="Book Antiqua" w:cs="Arial"/>
          <w:b/>
          <w:u w:val="single"/>
        </w:rPr>
      </w:pPr>
      <w:r>
        <w:rPr>
          <w:rFonts w:ascii="Book Antiqua" w:hAnsi="Book Antiqua" w:cs="Arial"/>
          <w:b/>
          <w:u w:val="single"/>
        </w:rPr>
        <w:t>FINDINGS</w:t>
      </w:r>
    </w:p>
    <w:p w:rsidR="00D34306" w:rsidRDefault="00A75955" w:rsidP="00911478">
      <w:pPr>
        <w:numPr>
          <w:ilvl w:val="0"/>
          <w:numId w:val="3"/>
        </w:numPr>
        <w:spacing w:before="240"/>
        <w:jc w:val="both"/>
        <w:rPr>
          <w:rFonts w:ascii="Book Antiqua" w:hAnsi="Book Antiqua" w:cs="Arial"/>
        </w:rPr>
      </w:pPr>
      <w:r>
        <w:rPr>
          <w:rFonts w:ascii="Book Antiqua" w:hAnsi="Book Antiqua" w:cs="Arial"/>
        </w:rPr>
        <w:t xml:space="preserve">I </w:t>
      </w:r>
      <w:r w:rsidR="00D34306">
        <w:rPr>
          <w:rFonts w:ascii="Book Antiqua" w:hAnsi="Book Antiqua" w:cs="Arial"/>
        </w:rPr>
        <w:t>am</w:t>
      </w:r>
      <w:r>
        <w:rPr>
          <w:rFonts w:ascii="Book Antiqua" w:hAnsi="Book Antiqua" w:cs="Arial"/>
        </w:rPr>
        <w:t xml:space="preserve"> concerned solely with an article 8 appeal having set aside the previous findings on this issue. It was agreed</w:t>
      </w:r>
      <w:r w:rsidR="00D34306">
        <w:rPr>
          <w:rFonts w:ascii="Book Antiqua" w:hAnsi="Book Antiqua" w:cs="Arial"/>
        </w:rPr>
        <w:t>:</w:t>
      </w:r>
    </w:p>
    <w:p w:rsidR="00D34306" w:rsidRDefault="00D34306" w:rsidP="00D34306">
      <w:pPr>
        <w:numPr>
          <w:ilvl w:val="1"/>
          <w:numId w:val="3"/>
        </w:numPr>
        <w:spacing w:before="240"/>
        <w:jc w:val="both"/>
        <w:rPr>
          <w:rFonts w:ascii="Book Antiqua" w:hAnsi="Book Antiqua" w:cs="Arial"/>
        </w:rPr>
      </w:pPr>
      <w:r w:rsidRPr="00D34306">
        <w:rPr>
          <w:rFonts w:ascii="Book Antiqua" w:hAnsi="Book Antiqua" w:cs="Arial"/>
        </w:rPr>
        <w:t>T</w:t>
      </w:r>
      <w:r w:rsidR="00A75955" w:rsidRPr="00D34306">
        <w:rPr>
          <w:rFonts w:ascii="Book Antiqua" w:hAnsi="Book Antiqua" w:cs="Arial"/>
        </w:rPr>
        <w:t>he appellant had entered the United Kingdom legally and her son had been living in the United Kingdom from around February 26, 2011. He had therefore been in this country for more than seven years.</w:t>
      </w:r>
    </w:p>
    <w:p w:rsidR="00D34306" w:rsidRDefault="00D34306" w:rsidP="00D34306">
      <w:pPr>
        <w:numPr>
          <w:ilvl w:val="1"/>
          <w:numId w:val="3"/>
        </w:numPr>
        <w:spacing w:before="240"/>
        <w:jc w:val="both"/>
        <w:rPr>
          <w:rFonts w:ascii="Book Antiqua" w:hAnsi="Book Antiqua" w:cs="Arial"/>
        </w:rPr>
      </w:pPr>
      <w:r>
        <w:rPr>
          <w:rFonts w:ascii="Book Antiqua" w:hAnsi="Book Antiqua" w:cs="Arial"/>
        </w:rPr>
        <w:t>T</w:t>
      </w:r>
      <w:r w:rsidR="00A75955" w:rsidRPr="00D34306">
        <w:rPr>
          <w:rFonts w:ascii="Book Antiqua" w:hAnsi="Book Antiqua" w:cs="Arial"/>
        </w:rPr>
        <w:t>here was no adverse immigration history and no suggestion that the appellant had engaged in any criminal activity.</w:t>
      </w:r>
      <w:r w:rsidR="00C600B1" w:rsidRPr="00D34306">
        <w:rPr>
          <w:rFonts w:ascii="Book Antiqua" w:hAnsi="Book Antiqua" w:cs="Arial"/>
        </w:rPr>
        <w:t xml:space="preserve"> </w:t>
      </w:r>
    </w:p>
    <w:p w:rsidR="00A75955" w:rsidRPr="00D34306" w:rsidRDefault="00D34306" w:rsidP="00D34306">
      <w:pPr>
        <w:numPr>
          <w:ilvl w:val="1"/>
          <w:numId w:val="3"/>
        </w:numPr>
        <w:spacing w:before="240"/>
        <w:jc w:val="both"/>
        <w:rPr>
          <w:rFonts w:ascii="Book Antiqua" w:hAnsi="Book Antiqua" w:cs="Arial"/>
        </w:rPr>
      </w:pPr>
      <w:r>
        <w:rPr>
          <w:rFonts w:ascii="Book Antiqua" w:hAnsi="Book Antiqua" w:cs="Arial"/>
        </w:rPr>
        <w:t xml:space="preserve">The appellant and her former husband were separated following domestic abuse. </w:t>
      </w:r>
      <w:r w:rsidR="00C600B1" w:rsidRPr="00D34306">
        <w:rPr>
          <w:rFonts w:ascii="Book Antiqua" w:hAnsi="Book Antiqua" w:cs="Arial"/>
        </w:rPr>
        <w:t>There are ongoing contested family proceedings in which the appellant opposes contact by her former husband to their child due to his abusive behaviour.</w:t>
      </w:r>
    </w:p>
    <w:p w:rsidR="00C600B1" w:rsidRDefault="00C600B1" w:rsidP="00911478">
      <w:pPr>
        <w:numPr>
          <w:ilvl w:val="0"/>
          <w:numId w:val="3"/>
        </w:numPr>
        <w:spacing w:before="240"/>
        <w:jc w:val="both"/>
        <w:rPr>
          <w:rFonts w:ascii="Book Antiqua" w:hAnsi="Book Antiqua" w:cs="Arial"/>
        </w:rPr>
      </w:pPr>
      <w:r>
        <w:rPr>
          <w:rFonts w:ascii="Book Antiqua" w:hAnsi="Book Antiqua" w:cs="Arial"/>
        </w:rPr>
        <w:t xml:space="preserve">In assessing the appellant’s appeal I have </w:t>
      </w:r>
      <w:r w:rsidR="00D34306">
        <w:rPr>
          <w:rFonts w:ascii="Book Antiqua" w:hAnsi="Book Antiqua" w:cs="Arial"/>
        </w:rPr>
        <w:t xml:space="preserve">had </w:t>
      </w:r>
      <w:r>
        <w:rPr>
          <w:rFonts w:ascii="Book Antiqua" w:hAnsi="Book Antiqua" w:cs="Arial"/>
        </w:rPr>
        <w:t xml:space="preserve">regard to the </w:t>
      </w:r>
      <w:r w:rsidR="00D34306">
        <w:rPr>
          <w:rFonts w:ascii="Book Antiqua" w:hAnsi="Book Antiqua" w:cs="Arial"/>
        </w:rPr>
        <w:t xml:space="preserve">fact </w:t>
      </w:r>
      <w:r>
        <w:rPr>
          <w:rFonts w:ascii="Book Antiqua" w:hAnsi="Book Antiqua" w:cs="Arial"/>
        </w:rPr>
        <w:t>the child is a qualifying child under section 117</w:t>
      </w:r>
      <w:proofErr w:type="gramStart"/>
      <w:r>
        <w:rPr>
          <w:rFonts w:ascii="Book Antiqua" w:hAnsi="Book Antiqua" w:cs="Arial"/>
        </w:rPr>
        <w:t>B(</w:t>
      </w:r>
      <w:proofErr w:type="gramEnd"/>
      <w:r>
        <w:rPr>
          <w:rFonts w:ascii="Book Antiqua" w:hAnsi="Book Antiqua" w:cs="Arial"/>
        </w:rPr>
        <w:t xml:space="preserve">6) of the 2002 Act because the appellant has a genuine and subsisting relationship with </w:t>
      </w:r>
      <w:r w:rsidR="00D34306">
        <w:rPr>
          <w:rFonts w:ascii="Book Antiqua" w:hAnsi="Book Antiqua" w:cs="Arial"/>
        </w:rPr>
        <w:t>him. S</w:t>
      </w:r>
      <w:r>
        <w:rPr>
          <w:rFonts w:ascii="Book Antiqua" w:hAnsi="Book Antiqua" w:cs="Arial"/>
        </w:rPr>
        <w:t xml:space="preserve">ection 117D(1)(b) of the 2002 Act </w:t>
      </w:r>
      <w:r w:rsidR="00D34306">
        <w:rPr>
          <w:rFonts w:ascii="Book Antiqua" w:hAnsi="Book Antiqua" w:cs="Arial"/>
        </w:rPr>
        <w:t xml:space="preserve">makes clear he </w:t>
      </w:r>
      <w:r>
        <w:rPr>
          <w:rFonts w:ascii="Book Antiqua" w:hAnsi="Book Antiqua" w:cs="Arial"/>
        </w:rPr>
        <w:t>is a qualifying child for the purposes of section 117</w:t>
      </w:r>
      <w:proofErr w:type="gramStart"/>
      <w:r>
        <w:rPr>
          <w:rFonts w:ascii="Book Antiqua" w:hAnsi="Book Antiqua" w:cs="Arial"/>
        </w:rPr>
        <w:t>B(</w:t>
      </w:r>
      <w:proofErr w:type="gramEnd"/>
      <w:r>
        <w:rPr>
          <w:rFonts w:ascii="Book Antiqua" w:hAnsi="Book Antiqua" w:cs="Arial"/>
        </w:rPr>
        <w:t xml:space="preserve">6) of the 2002 Act. </w:t>
      </w:r>
    </w:p>
    <w:p w:rsidR="00526BB7" w:rsidRPr="00D34306" w:rsidRDefault="00C600B1" w:rsidP="00510A14">
      <w:pPr>
        <w:numPr>
          <w:ilvl w:val="0"/>
          <w:numId w:val="3"/>
        </w:numPr>
        <w:spacing w:before="240"/>
        <w:jc w:val="both"/>
        <w:rPr>
          <w:rFonts w:ascii="Book Antiqua" w:hAnsi="Book Antiqua" w:cs="Arial"/>
        </w:rPr>
      </w:pPr>
      <w:r w:rsidRPr="00D34306">
        <w:rPr>
          <w:rFonts w:ascii="Book Antiqua" w:hAnsi="Book Antiqua" w:cs="Arial"/>
        </w:rPr>
        <w:t>I have also had regard to the Family Migration policy dated</w:t>
      </w:r>
      <w:r w:rsidR="00526BB7" w:rsidRPr="00D34306">
        <w:rPr>
          <w:rFonts w:ascii="Book Antiqua" w:hAnsi="Book Antiqua" w:cs="Arial"/>
        </w:rPr>
        <w:t xml:space="preserve"> February 21, 2018 which makes clear that only in circumstances where it was likely the child would have to leave the United Kingdom </w:t>
      </w:r>
      <w:proofErr w:type="gramStart"/>
      <w:r w:rsidR="00526BB7" w:rsidRPr="00D34306">
        <w:rPr>
          <w:rFonts w:ascii="Book Antiqua" w:hAnsi="Book Antiqua" w:cs="Arial"/>
        </w:rPr>
        <w:t>would</w:t>
      </w:r>
      <w:proofErr w:type="gramEnd"/>
      <w:r w:rsidR="00526BB7" w:rsidRPr="00D34306">
        <w:rPr>
          <w:rFonts w:ascii="Book Antiqua" w:hAnsi="Book Antiqua" w:cs="Arial"/>
        </w:rPr>
        <w:t xml:space="preserve"> Section EX.1 of Appendix FM of the Immigration Rules be engaged.</w:t>
      </w:r>
      <w:r w:rsidR="00D34306" w:rsidRPr="00D34306">
        <w:rPr>
          <w:rFonts w:ascii="Book Antiqua" w:hAnsi="Book Antiqua" w:cs="Arial"/>
        </w:rPr>
        <w:t xml:space="preserve"> </w:t>
      </w:r>
      <w:proofErr w:type="gramStart"/>
      <w:r w:rsidR="00526BB7" w:rsidRPr="00D34306">
        <w:rPr>
          <w:rFonts w:ascii="Book Antiqua" w:hAnsi="Book Antiqua" w:cs="Arial"/>
        </w:rPr>
        <w:t>Taking into account</w:t>
      </w:r>
      <w:proofErr w:type="gramEnd"/>
      <w:r w:rsidR="00526BB7" w:rsidRPr="00D34306">
        <w:rPr>
          <w:rFonts w:ascii="Book Antiqua" w:hAnsi="Book Antiqua" w:cs="Arial"/>
        </w:rPr>
        <w:t xml:space="preserve"> the background that was presented both to the First-tier Tribunal and this Tribunal it seems to me that this is a case where the child is residing with the appellant and he has had no contact with his father since 2015. Whilst the father seeks contact through the courts the position I am faced with is that if the appellant</w:t>
      </w:r>
      <w:r w:rsidR="00D0207D" w:rsidRPr="00D34306">
        <w:rPr>
          <w:rFonts w:ascii="Book Antiqua" w:hAnsi="Book Antiqua" w:cs="Arial"/>
        </w:rPr>
        <w:t xml:space="preserve"> was required to leave </w:t>
      </w:r>
      <w:r w:rsidR="00526BB7" w:rsidRPr="00D34306">
        <w:rPr>
          <w:rFonts w:ascii="Book Antiqua" w:hAnsi="Book Antiqua" w:cs="Arial"/>
        </w:rPr>
        <w:t xml:space="preserve">the United Kingdom then that would force that child to </w:t>
      </w:r>
      <w:r w:rsidR="00D34306">
        <w:rPr>
          <w:rFonts w:ascii="Book Antiqua" w:hAnsi="Book Antiqua" w:cs="Arial"/>
        </w:rPr>
        <w:t xml:space="preserve">also </w:t>
      </w:r>
      <w:proofErr w:type="gramStart"/>
      <w:r w:rsidR="00526BB7" w:rsidRPr="00D34306">
        <w:rPr>
          <w:rFonts w:ascii="Book Antiqua" w:hAnsi="Book Antiqua" w:cs="Arial"/>
        </w:rPr>
        <w:t>have to</w:t>
      </w:r>
      <w:proofErr w:type="gramEnd"/>
      <w:r w:rsidR="00526BB7" w:rsidRPr="00D34306">
        <w:rPr>
          <w:rFonts w:ascii="Book Antiqua" w:hAnsi="Book Antiqua" w:cs="Arial"/>
        </w:rPr>
        <w:t xml:space="preserve"> leave the United Kingdom</w:t>
      </w:r>
      <w:r w:rsidR="00D0207D" w:rsidRPr="00D34306">
        <w:rPr>
          <w:rFonts w:ascii="Book Antiqua" w:hAnsi="Book Antiqua" w:cs="Arial"/>
        </w:rPr>
        <w:t xml:space="preserve"> because there would be no one to effectively care for the child.</w:t>
      </w:r>
      <w:r w:rsidR="00D34306">
        <w:rPr>
          <w:rFonts w:ascii="Book Antiqua" w:hAnsi="Book Antiqua" w:cs="Arial"/>
        </w:rPr>
        <w:t xml:space="preserve"> </w:t>
      </w:r>
    </w:p>
    <w:p w:rsidR="00D0207D" w:rsidRDefault="00BA322F" w:rsidP="00911478">
      <w:pPr>
        <w:numPr>
          <w:ilvl w:val="0"/>
          <w:numId w:val="3"/>
        </w:numPr>
        <w:spacing w:before="240"/>
        <w:jc w:val="both"/>
        <w:rPr>
          <w:rFonts w:ascii="Book Antiqua" w:hAnsi="Book Antiqua" w:cs="Arial"/>
        </w:rPr>
      </w:pPr>
      <w:r>
        <w:rPr>
          <w:rFonts w:ascii="Book Antiqua" w:hAnsi="Book Antiqua" w:cs="Arial"/>
        </w:rPr>
        <w:t xml:space="preserve">The appellant does not have a poor immigration history. No negative factors under section 117B of the 2002 Act apply in this case and in considering the best interests of the child I place significant weight on the </w:t>
      </w:r>
      <w:r w:rsidR="00D34306">
        <w:rPr>
          <w:rFonts w:ascii="Book Antiqua" w:hAnsi="Book Antiqua" w:cs="Arial"/>
        </w:rPr>
        <w:t xml:space="preserve">above factors including the </w:t>
      </w:r>
      <w:r>
        <w:rPr>
          <w:rFonts w:ascii="Book Antiqua" w:hAnsi="Book Antiqua" w:cs="Arial"/>
        </w:rPr>
        <w:t xml:space="preserve">fact he has lived here virtually all his life, speaks English as his first language and applying the respondent’s own guidance there would appear to be no countervailing circumstances that would require </w:t>
      </w:r>
      <w:r w:rsidR="00D34306">
        <w:rPr>
          <w:rFonts w:ascii="Book Antiqua" w:hAnsi="Book Antiqua" w:cs="Arial"/>
        </w:rPr>
        <w:t xml:space="preserve">the appellant </w:t>
      </w:r>
      <w:r>
        <w:rPr>
          <w:rFonts w:ascii="Book Antiqua" w:hAnsi="Book Antiqua" w:cs="Arial"/>
        </w:rPr>
        <w:t xml:space="preserve">to </w:t>
      </w:r>
      <w:r w:rsidR="00D34306">
        <w:rPr>
          <w:rFonts w:ascii="Book Antiqua" w:hAnsi="Book Antiqua" w:cs="Arial"/>
        </w:rPr>
        <w:t xml:space="preserve">be removed from </w:t>
      </w:r>
      <w:r>
        <w:rPr>
          <w:rFonts w:ascii="Book Antiqua" w:hAnsi="Book Antiqua" w:cs="Arial"/>
        </w:rPr>
        <w:t>the United Kingdom.</w:t>
      </w:r>
    </w:p>
    <w:p w:rsidR="00D34306" w:rsidRDefault="00D34306" w:rsidP="00510A14">
      <w:pPr>
        <w:numPr>
          <w:ilvl w:val="0"/>
          <w:numId w:val="3"/>
        </w:numPr>
        <w:spacing w:before="240"/>
        <w:jc w:val="both"/>
        <w:rPr>
          <w:rFonts w:ascii="Book Antiqua" w:hAnsi="Book Antiqua" w:cs="Arial"/>
        </w:rPr>
      </w:pPr>
      <w:r>
        <w:rPr>
          <w:rFonts w:ascii="Book Antiqua" w:hAnsi="Book Antiqua" w:cs="Arial"/>
        </w:rPr>
        <w:t xml:space="preserve">The Higher </w:t>
      </w:r>
      <w:r w:rsidR="00BA322F" w:rsidRPr="00BA322F">
        <w:rPr>
          <w:rFonts w:ascii="Book Antiqua" w:hAnsi="Book Antiqua" w:cs="Arial"/>
        </w:rPr>
        <w:t xml:space="preserve">Courts have made </w:t>
      </w:r>
      <w:r>
        <w:rPr>
          <w:rFonts w:ascii="Book Antiqua" w:hAnsi="Book Antiqua" w:cs="Arial"/>
        </w:rPr>
        <w:t xml:space="preserve">it </w:t>
      </w:r>
      <w:r w:rsidR="00BA322F" w:rsidRPr="00BA322F">
        <w:rPr>
          <w:rFonts w:ascii="Book Antiqua" w:hAnsi="Book Antiqua" w:cs="Arial"/>
        </w:rPr>
        <w:t xml:space="preserve">clear that when carrying out any proportionality assessment significant weight must be given to the fact the child has been here for </w:t>
      </w:r>
      <w:r w:rsidR="00BA322F" w:rsidRPr="00BA322F">
        <w:rPr>
          <w:rFonts w:ascii="Book Antiqua" w:hAnsi="Book Antiqua" w:cs="Arial"/>
        </w:rPr>
        <w:lastRenderedPageBreak/>
        <w:t xml:space="preserve">more than seven years because of its relevance </w:t>
      </w:r>
      <w:r>
        <w:rPr>
          <w:rFonts w:ascii="Book Antiqua" w:hAnsi="Book Antiqua" w:cs="Arial"/>
        </w:rPr>
        <w:t>in</w:t>
      </w:r>
      <w:r w:rsidR="00BA322F" w:rsidRPr="00BA322F">
        <w:rPr>
          <w:rFonts w:ascii="Book Antiqua" w:hAnsi="Book Antiqua" w:cs="Arial"/>
        </w:rPr>
        <w:t xml:space="preserve"> determining the nature and strength of the child’s best interests and because it establishes as a starting point that leave should be granted unless there are powerful reasons to the contrary. </w:t>
      </w: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did not seek to persuade me from this approach.</w:t>
      </w:r>
    </w:p>
    <w:p w:rsidR="00BA322F" w:rsidRDefault="00BA322F" w:rsidP="00510A14">
      <w:pPr>
        <w:numPr>
          <w:ilvl w:val="0"/>
          <w:numId w:val="3"/>
        </w:numPr>
        <w:spacing w:before="240"/>
        <w:jc w:val="both"/>
        <w:rPr>
          <w:rFonts w:ascii="Book Antiqua" w:hAnsi="Book Antiqua" w:cs="Arial"/>
        </w:rPr>
      </w:pPr>
      <w:r w:rsidRPr="00BA322F">
        <w:rPr>
          <w:rFonts w:ascii="Book Antiqua" w:hAnsi="Book Antiqua" w:cs="Arial"/>
        </w:rPr>
        <w:t xml:space="preserve">The Tribunal recently in </w:t>
      </w:r>
      <w:r w:rsidRPr="00BA322F">
        <w:rPr>
          <w:rFonts w:ascii="Book Antiqua" w:hAnsi="Book Antiqua" w:cs="Arial"/>
          <w:u w:val="single"/>
        </w:rPr>
        <w:t>MT</w:t>
      </w:r>
      <w:r w:rsidRPr="00BA322F">
        <w:rPr>
          <w:rFonts w:ascii="Book Antiqua" w:hAnsi="Book Antiqua" w:cs="Arial"/>
        </w:rPr>
        <w:t xml:space="preserve"> reinforced this point</w:t>
      </w:r>
      <w:r>
        <w:rPr>
          <w:rFonts w:ascii="Book Antiqua" w:hAnsi="Book Antiqua" w:cs="Arial"/>
        </w:rPr>
        <w:t xml:space="preserve"> and this authority taken alongside </w:t>
      </w:r>
      <w:r>
        <w:rPr>
          <w:rFonts w:ascii="Book Antiqua" w:hAnsi="Book Antiqua" w:cs="Arial"/>
          <w:u w:val="single"/>
        </w:rPr>
        <w:t>MA (Pakistan)</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leads me to the </w:t>
      </w:r>
      <w:proofErr w:type="gramStart"/>
      <w:r>
        <w:rPr>
          <w:rFonts w:ascii="Book Antiqua" w:hAnsi="Book Antiqua" w:cs="Arial"/>
        </w:rPr>
        <w:t>ultimate conclusion</w:t>
      </w:r>
      <w:proofErr w:type="gramEnd"/>
      <w:r>
        <w:rPr>
          <w:rFonts w:ascii="Book Antiqua" w:hAnsi="Book Antiqua" w:cs="Arial"/>
        </w:rPr>
        <w:t xml:space="preserve"> that requiring the appellant to leave the United Kingdom</w:t>
      </w:r>
      <w:r w:rsidR="00D34306">
        <w:rPr>
          <w:rFonts w:ascii="Book Antiqua" w:hAnsi="Book Antiqua" w:cs="Arial"/>
        </w:rPr>
        <w:t xml:space="preserve">, </w:t>
      </w:r>
      <w:r>
        <w:rPr>
          <w:rFonts w:ascii="Book Antiqua" w:hAnsi="Book Antiqua" w:cs="Arial"/>
        </w:rPr>
        <w:t>on the facts before me</w:t>
      </w:r>
      <w:r w:rsidR="00D34306">
        <w:rPr>
          <w:rFonts w:ascii="Book Antiqua" w:hAnsi="Book Antiqua" w:cs="Arial"/>
        </w:rPr>
        <w:t xml:space="preserve">, </w:t>
      </w:r>
      <w:r>
        <w:rPr>
          <w:rFonts w:ascii="Book Antiqua" w:hAnsi="Book Antiqua" w:cs="Arial"/>
        </w:rPr>
        <w:t>would be disproportionate.</w:t>
      </w:r>
      <w:r w:rsidR="00D34306">
        <w:rPr>
          <w:rFonts w:ascii="Book Antiqua" w:hAnsi="Book Antiqua" w:cs="Arial"/>
        </w:rPr>
        <w:t xml:space="preserve"> </w:t>
      </w:r>
    </w:p>
    <w:p w:rsidR="009C37C7" w:rsidRPr="009C37C7" w:rsidRDefault="0048368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551B31" w:rsidRDefault="009C37C7" w:rsidP="00911478">
      <w:pPr>
        <w:numPr>
          <w:ilvl w:val="0"/>
          <w:numId w:val="3"/>
        </w:numPr>
        <w:spacing w:before="240"/>
        <w:jc w:val="both"/>
        <w:rPr>
          <w:rFonts w:ascii="Book Antiqua" w:hAnsi="Book Antiqua" w:cs="Arial"/>
        </w:rPr>
      </w:pPr>
      <w:r>
        <w:rPr>
          <w:rFonts w:ascii="Book Antiqua" w:hAnsi="Book Antiqua" w:cs="Arial"/>
        </w:rPr>
        <w:t>The making of the decision of the First-tier Tribunal did involve the making of an error on a point of law</w:t>
      </w:r>
      <w:r w:rsidR="00BA322F">
        <w:rPr>
          <w:rFonts w:ascii="Book Antiqua" w:hAnsi="Book Antiqua" w:cs="Arial"/>
        </w:rPr>
        <w:t xml:space="preserve"> in relation to article 8 ECHR. </w:t>
      </w:r>
    </w:p>
    <w:p w:rsidR="00736EFD" w:rsidRDefault="00483687" w:rsidP="00911478">
      <w:pPr>
        <w:numPr>
          <w:ilvl w:val="0"/>
          <w:numId w:val="3"/>
        </w:numPr>
        <w:spacing w:before="240"/>
        <w:jc w:val="both"/>
        <w:rPr>
          <w:rFonts w:ascii="Book Antiqua" w:hAnsi="Book Antiqua" w:cs="Arial"/>
        </w:rPr>
      </w:pPr>
      <w:r>
        <w:rPr>
          <w:rFonts w:ascii="Book Antiqua" w:hAnsi="Book Antiqua" w:cs="Arial"/>
        </w:rPr>
        <w:t>I set aside the decision</w:t>
      </w:r>
      <w:r w:rsidR="00BA322F">
        <w:rPr>
          <w:rFonts w:ascii="Book Antiqua" w:hAnsi="Book Antiqua" w:cs="Arial"/>
        </w:rPr>
        <w:t xml:space="preserve"> in relation to article 8 ECHR. </w:t>
      </w:r>
    </w:p>
    <w:p w:rsidR="00483687" w:rsidRDefault="001558E1" w:rsidP="00911478">
      <w:pPr>
        <w:numPr>
          <w:ilvl w:val="0"/>
          <w:numId w:val="3"/>
        </w:numPr>
        <w:spacing w:before="240"/>
        <w:jc w:val="both"/>
        <w:rPr>
          <w:rFonts w:ascii="Book Antiqua" w:hAnsi="Book Antiqua" w:cs="Arial"/>
        </w:rPr>
      </w:pPr>
      <w:r>
        <w:rPr>
          <w:rFonts w:ascii="Book Antiqua" w:hAnsi="Book Antiqua" w:cs="Arial"/>
        </w:rPr>
        <w:t xml:space="preserve">I </w:t>
      </w:r>
      <w:r w:rsidR="00BA322F">
        <w:rPr>
          <w:rFonts w:ascii="Book Antiqua" w:hAnsi="Book Antiqua" w:cs="Arial"/>
        </w:rPr>
        <w:t xml:space="preserve">remake </w:t>
      </w:r>
      <w:r>
        <w:rPr>
          <w:rFonts w:ascii="Book Antiqua" w:hAnsi="Book Antiqua" w:cs="Arial"/>
        </w:rPr>
        <w:t xml:space="preserve">the decision </w:t>
      </w:r>
      <w:r w:rsidR="00BA322F">
        <w:rPr>
          <w:rFonts w:ascii="Book Antiqua" w:hAnsi="Book Antiqua" w:cs="Arial"/>
        </w:rPr>
        <w:t xml:space="preserve">and allow the appeal under article 8 ECHR. </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1311AC">
        <w:rPr>
          <w:rFonts w:ascii="Book Antiqua" w:hAnsi="Book Antiqua" w:cs="Arial"/>
        </w:rPr>
        <w:t xml:space="preserve"> </w:t>
      </w:r>
      <w:r w:rsidR="00BA322F">
        <w:rPr>
          <w:rFonts w:ascii="Book Antiqua" w:hAnsi="Book Antiqua" w:cs="Arial"/>
        </w:rPr>
        <w:t>June 7</w:t>
      </w:r>
      <w:r w:rsidR="001311AC">
        <w:rPr>
          <w:rFonts w:ascii="Book Antiqua" w:hAnsi="Book Antiqua" w:cs="Arial"/>
        </w:rPr>
        <w:t>, 2018</w:t>
      </w:r>
    </w:p>
    <w:p w:rsidR="00864126" w:rsidRDefault="00864126" w:rsidP="00864126">
      <w:pPr>
        <w:tabs>
          <w:tab w:val="left" w:pos="2520"/>
        </w:tabs>
        <w:jc w:val="both"/>
        <w:rPr>
          <w:rFonts w:ascii="Book Antiqua" w:hAnsi="Book Antiqua" w:cs="Arial"/>
        </w:rPr>
      </w:pPr>
    </w:p>
    <w:p w:rsidR="00F90160" w:rsidRDefault="00727DDF"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2D5431" w:rsidRDefault="00864126" w:rsidP="001558E1">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A322F" w:rsidRDefault="00BA322F" w:rsidP="001558E1">
      <w:pPr>
        <w:tabs>
          <w:tab w:val="left" w:pos="2520"/>
        </w:tabs>
        <w:jc w:val="both"/>
        <w:rPr>
          <w:rFonts w:ascii="Book Antiqua" w:hAnsi="Book Antiqua" w:cs="Arial"/>
        </w:rPr>
      </w:pPr>
    </w:p>
    <w:p w:rsidR="00BA322F" w:rsidRDefault="00BA322F" w:rsidP="001558E1">
      <w:pPr>
        <w:tabs>
          <w:tab w:val="left" w:pos="2520"/>
        </w:tabs>
        <w:jc w:val="both"/>
        <w:rPr>
          <w:rFonts w:ascii="Book Antiqua" w:hAnsi="Book Antiqua" w:cs="Arial"/>
          <w:b/>
          <w:u w:val="single"/>
        </w:rPr>
      </w:pPr>
      <w:r>
        <w:rPr>
          <w:rFonts w:ascii="Book Antiqua" w:hAnsi="Book Antiqua" w:cs="Arial"/>
          <w:b/>
          <w:u w:val="single"/>
        </w:rPr>
        <w:t>TO THE RESPONDENT</w:t>
      </w:r>
    </w:p>
    <w:p w:rsidR="00BA322F" w:rsidRDefault="00BA322F" w:rsidP="001558E1">
      <w:pPr>
        <w:tabs>
          <w:tab w:val="left" w:pos="2520"/>
        </w:tabs>
        <w:jc w:val="both"/>
        <w:rPr>
          <w:rFonts w:ascii="Book Antiqua" w:hAnsi="Book Antiqua" w:cs="Arial"/>
        </w:rPr>
      </w:pPr>
      <w:r>
        <w:rPr>
          <w:rFonts w:ascii="Book Antiqua" w:hAnsi="Book Antiqua" w:cs="Arial"/>
          <w:b/>
          <w:u w:val="single"/>
        </w:rPr>
        <w:t>FEE AWARD</w:t>
      </w:r>
    </w:p>
    <w:p w:rsidR="00BA322F" w:rsidRDefault="00BA322F" w:rsidP="001558E1">
      <w:pPr>
        <w:tabs>
          <w:tab w:val="left" w:pos="2520"/>
        </w:tabs>
        <w:jc w:val="both"/>
        <w:rPr>
          <w:rFonts w:ascii="Book Antiqua" w:hAnsi="Book Antiqua" w:cs="Arial"/>
        </w:rPr>
      </w:pPr>
    </w:p>
    <w:p w:rsidR="00BA322F" w:rsidRDefault="00BA322F" w:rsidP="001558E1">
      <w:pPr>
        <w:tabs>
          <w:tab w:val="left" w:pos="2520"/>
        </w:tabs>
        <w:jc w:val="both"/>
        <w:rPr>
          <w:rFonts w:ascii="Book Antiqua" w:hAnsi="Book Antiqua" w:cs="Arial"/>
        </w:rPr>
      </w:pPr>
      <w:r>
        <w:rPr>
          <w:rFonts w:ascii="Book Antiqua" w:hAnsi="Book Antiqua" w:cs="Arial"/>
        </w:rPr>
        <w:t>I do not make a fee award as no fee was paid.</w:t>
      </w:r>
    </w:p>
    <w:p w:rsidR="00BA322F" w:rsidRDefault="00BA322F" w:rsidP="001558E1">
      <w:pPr>
        <w:tabs>
          <w:tab w:val="left" w:pos="2520"/>
        </w:tabs>
        <w:jc w:val="both"/>
        <w:rPr>
          <w:rFonts w:ascii="Book Antiqua" w:hAnsi="Book Antiqua" w:cs="Arial"/>
        </w:rPr>
      </w:pPr>
    </w:p>
    <w:p w:rsidR="00BA322F" w:rsidRDefault="00BA322F" w:rsidP="001558E1">
      <w:pPr>
        <w:tabs>
          <w:tab w:val="left" w:pos="2520"/>
        </w:tabs>
        <w:jc w:val="both"/>
        <w:rPr>
          <w:rFonts w:ascii="Book Antiqua" w:hAnsi="Book Antiqua" w:cs="Arial"/>
        </w:rPr>
      </w:pPr>
    </w:p>
    <w:p w:rsidR="00BA322F" w:rsidRPr="00F5664C" w:rsidRDefault="00BA322F" w:rsidP="00BA322F">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June 7, 2018</w:t>
      </w:r>
    </w:p>
    <w:p w:rsidR="00BA322F" w:rsidRDefault="00BA322F" w:rsidP="00BA322F">
      <w:pPr>
        <w:tabs>
          <w:tab w:val="left" w:pos="2520"/>
        </w:tabs>
        <w:jc w:val="both"/>
        <w:rPr>
          <w:rFonts w:ascii="Book Antiqua" w:hAnsi="Book Antiqua" w:cs="Arial"/>
        </w:rPr>
      </w:pPr>
    </w:p>
    <w:p w:rsidR="00BA322F" w:rsidRDefault="00727DDF" w:rsidP="00BA322F">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BA322F" w:rsidRPr="00BA322F" w:rsidRDefault="00BA322F" w:rsidP="00BA322F">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A322F" w:rsidRPr="00BA322F" w:rsidSect="008217D3">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A14" w:rsidRDefault="00510A14">
      <w:r>
        <w:separator/>
      </w:r>
    </w:p>
  </w:endnote>
  <w:endnote w:type="continuationSeparator" w:id="0">
    <w:p w:rsidR="00510A14" w:rsidRDefault="0051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8217D3" w:rsidRDefault="005C666C" w:rsidP="00593795">
    <w:pPr>
      <w:pStyle w:val="Footer"/>
      <w:jc w:val="center"/>
      <w:rPr>
        <w:rFonts w:ascii="Book Antiqua" w:hAnsi="Book Antiqua" w:cs="Arial"/>
      </w:rPr>
    </w:pPr>
    <w:r w:rsidRPr="008217D3">
      <w:rPr>
        <w:rStyle w:val="PageNumber"/>
        <w:rFonts w:ascii="Book Antiqua" w:hAnsi="Book Antiqua" w:cs="Arial"/>
      </w:rPr>
      <w:fldChar w:fldCharType="begin"/>
    </w:r>
    <w:r w:rsidRPr="008217D3">
      <w:rPr>
        <w:rStyle w:val="PageNumber"/>
        <w:rFonts w:ascii="Book Antiqua" w:hAnsi="Book Antiqua" w:cs="Arial"/>
      </w:rPr>
      <w:instrText xml:space="preserve"> PAGE </w:instrText>
    </w:r>
    <w:r w:rsidRPr="008217D3">
      <w:rPr>
        <w:rStyle w:val="PageNumber"/>
        <w:rFonts w:ascii="Book Antiqua" w:hAnsi="Book Antiqua" w:cs="Arial"/>
      </w:rPr>
      <w:fldChar w:fldCharType="separate"/>
    </w:r>
    <w:r w:rsidR="0055680A">
      <w:rPr>
        <w:rStyle w:val="PageNumber"/>
        <w:rFonts w:ascii="Book Antiqua" w:hAnsi="Book Antiqua" w:cs="Arial"/>
        <w:noProof/>
      </w:rPr>
      <w:t>4</w:t>
    </w:r>
    <w:r w:rsidRPr="008217D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A14" w:rsidRDefault="00510A14">
      <w:r>
        <w:separator/>
      </w:r>
    </w:p>
  </w:footnote>
  <w:footnote w:type="continuationSeparator" w:id="0">
    <w:p w:rsidR="00510A14" w:rsidRDefault="00510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Default="005C666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75454">
      <w:rPr>
        <w:rFonts w:ascii="Book Antiqua" w:hAnsi="Book Antiqua" w:cs="Arial"/>
        <w:sz w:val="16"/>
        <w:szCs w:val="16"/>
      </w:rPr>
      <w:t>PA</w:t>
    </w:r>
    <w:r w:rsidRPr="00D97AF0">
      <w:rPr>
        <w:rFonts w:ascii="Book Antiqua" w:hAnsi="Book Antiqua" w:cs="Arial"/>
        <w:sz w:val="16"/>
        <w:szCs w:val="16"/>
      </w:rPr>
      <w:t>/</w:t>
    </w:r>
    <w:r w:rsidR="004B791B">
      <w:rPr>
        <w:rFonts w:ascii="Book Antiqua" w:hAnsi="Book Antiqua" w:cs="Arial"/>
        <w:sz w:val="16"/>
        <w:szCs w:val="16"/>
      </w:rPr>
      <w:t>08493</w:t>
    </w:r>
    <w:r>
      <w:rPr>
        <w:rFonts w:ascii="Book Antiqua" w:hAnsi="Book Antiqua" w:cs="Arial"/>
        <w:sz w:val="16"/>
        <w:szCs w:val="16"/>
      </w:rPr>
      <w:t>/201</w:t>
    </w:r>
    <w:r w:rsidR="00C75454">
      <w:rPr>
        <w:rFonts w:ascii="Book Antiqua" w:hAnsi="Book Antiqua" w:cs="Arial"/>
        <w:sz w:val="16"/>
        <w:szCs w:val="16"/>
      </w:rPr>
      <w:t>7</w:t>
    </w:r>
  </w:p>
  <w:p w:rsidR="008217D3" w:rsidRPr="00D97AF0" w:rsidRDefault="008217D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12"/>
  </w:num>
  <w:num w:numId="20">
    <w:abstractNumId w:val="20"/>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4AA54BA-A328-4F2C-A9B5-8E970F2246EE}"/>
    <w:docVar w:name="dgnword-eventsink" w:val="2395509650160"/>
  </w:docVars>
  <w:rsids>
    <w:rsidRoot w:val="00A25C94"/>
    <w:rsid w:val="00000412"/>
    <w:rsid w:val="00000621"/>
    <w:rsid w:val="000036C2"/>
    <w:rsid w:val="0000577C"/>
    <w:rsid w:val="0000778D"/>
    <w:rsid w:val="00033D3D"/>
    <w:rsid w:val="000369F5"/>
    <w:rsid w:val="00060A81"/>
    <w:rsid w:val="00071A7E"/>
    <w:rsid w:val="000746C0"/>
    <w:rsid w:val="00074D1D"/>
    <w:rsid w:val="00087037"/>
    <w:rsid w:val="00087B4B"/>
    <w:rsid w:val="00092580"/>
    <w:rsid w:val="00095513"/>
    <w:rsid w:val="000A32A2"/>
    <w:rsid w:val="000D257C"/>
    <w:rsid w:val="000D5D94"/>
    <w:rsid w:val="000E483B"/>
    <w:rsid w:val="00106A5E"/>
    <w:rsid w:val="001165A7"/>
    <w:rsid w:val="001311AC"/>
    <w:rsid w:val="0014289A"/>
    <w:rsid w:val="00151BB7"/>
    <w:rsid w:val="001526DB"/>
    <w:rsid w:val="001558E1"/>
    <w:rsid w:val="001655EA"/>
    <w:rsid w:val="00167D3A"/>
    <w:rsid w:val="00186F53"/>
    <w:rsid w:val="00197BB7"/>
    <w:rsid w:val="001A1E2C"/>
    <w:rsid w:val="001A2421"/>
    <w:rsid w:val="001B67F3"/>
    <w:rsid w:val="001C1452"/>
    <w:rsid w:val="001E12F7"/>
    <w:rsid w:val="001F2716"/>
    <w:rsid w:val="001F4596"/>
    <w:rsid w:val="001F4C3C"/>
    <w:rsid w:val="0020133A"/>
    <w:rsid w:val="002015AA"/>
    <w:rsid w:val="00201C81"/>
    <w:rsid w:val="00207617"/>
    <w:rsid w:val="00254D56"/>
    <w:rsid w:val="0027148D"/>
    <w:rsid w:val="00274A62"/>
    <w:rsid w:val="00283659"/>
    <w:rsid w:val="00284E94"/>
    <w:rsid w:val="002865D5"/>
    <w:rsid w:val="00291D5E"/>
    <w:rsid w:val="002A16FD"/>
    <w:rsid w:val="002A1EC1"/>
    <w:rsid w:val="002A2720"/>
    <w:rsid w:val="002A2AFF"/>
    <w:rsid w:val="002A5F30"/>
    <w:rsid w:val="002B3060"/>
    <w:rsid w:val="002B46AE"/>
    <w:rsid w:val="002C4E73"/>
    <w:rsid w:val="002D5431"/>
    <w:rsid w:val="002D68BF"/>
    <w:rsid w:val="002E6FE4"/>
    <w:rsid w:val="002F05A0"/>
    <w:rsid w:val="00305FBC"/>
    <w:rsid w:val="0033030E"/>
    <w:rsid w:val="00334945"/>
    <w:rsid w:val="0033509F"/>
    <w:rsid w:val="00336CBF"/>
    <w:rsid w:val="00337EBB"/>
    <w:rsid w:val="00343030"/>
    <w:rsid w:val="0034604E"/>
    <w:rsid w:val="003546C8"/>
    <w:rsid w:val="0035753A"/>
    <w:rsid w:val="00364F67"/>
    <w:rsid w:val="003756EF"/>
    <w:rsid w:val="00376F8F"/>
    <w:rsid w:val="00392D87"/>
    <w:rsid w:val="003A5739"/>
    <w:rsid w:val="003A7CF2"/>
    <w:rsid w:val="003B669C"/>
    <w:rsid w:val="003B7242"/>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5231"/>
    <w:rsid w:val="0047406C"/>
    <w:rsid w:val="00477193"/>
    <w:rsid w:val="00483687"/>
    <w:rsid w:val="004852B5"/>
    <w:rsid w:val="0048547A"/>
    <w:rsid w:val="00490CFA"/>
    <w:rsid w:val="004A0EB5"/>
    <w:rsid w:val="004A1848"/>
    <w:rsid w:val="004B7003"/>
    <w:rsid w:val="004B7270"/>
    <w:rsid w:val="004B791B"/>
    <w:rsid w:val="004D0B09"/>
    <w:rsid w:val="004D25FF"/>
    <w:rsid w:val="004D65C0"/>
    <w:rsid w:val="004F2B90"/>
    <w:rsid w:val="004F5B34"/>
    <w:rsid w:val="00502F93"/>
    <w:rsid w:val="00507FEC"/>
    <w:rsid w:val="00510A14"/>
    <w:rsid w:val="00510F0E"/>
    <w:rsid w:val="005121D1"/>
    <w:rsid w:val="00516E48"/>
    <w:rsid w:val="00526BB7"/>
    <w:rsid w:val="005414DE"/>
    <w:rsid w:val="00541C31"/>
    <w:rsid w:val="00541D19"/>
    <w:rsid w:val="005479E1"/>
    <w:rsid w:val="00551B31"/>
    <w:rsid w:val="0055680A"/>
    <w:rsid w:val="005570FD"/>
    <w:rsid w:val="005575EA"/>
    <w:rsid w:val="005640E3"/>
    <w:rsid w:val="00564626"/>
    <w:rsid w:val="00564C2A"/>
    <w:rsid w:val="00573DD5"/>
    <w:rsid w:val="0057790C"/>
    <w:rsid w:val="00593795"/>
    <w:rsid w:val="00593C19"/>
    <w:rsid w:val="005952A8"/>
    <w:rsid w:val="00597BA8"/>
    <w:rsid w:val="005A28B9"/>
    <w:rsid w:val="005A75FF"/>
    <w:rsid w:val="005B4942"/>
    <w:rsid w:val="005B7789"/>
    <w:rsid w:val="005C3A83"/>
    <w:rsid w:val="005C666C"/>
    <w:rsid w:val="00601895"/>
    <w:rsid w:val="006059EF"/>
    <w:rsid w:val="00622725"/>
    <w:rsid w:val="00640E14"/>
    <w:rsid w:val="00641A27"/>
    <w:rsid w:val="0064774D"/>
    <w:rsid w:val="0065791C"/>
    <w:rsid w:val="00660394"/>
    <w:rsid w:val="006679AF"/>
    <w:rsid w:val="00677176"/>
    <w:rsid w:val="00690A43"/>
    <w:rsid w:val="00690B8A"/>
    <w:rsid w:val="006A206A"/>
    <w:rsid w:val="006A5EDB"/>
    <w:rsid w:val="006D1DFA"/>
    <w:rsid w:val="006D506B"/>
    <w:rsid w:val="006D5949"/>
    <w:rsid w:val="006D6384"/>
    <w:rsid w:val="006D79F6"/>
    <w:rsid w:val="006E3C90"/>
    <w:rsid w:val="006E40CB"/>
    <w:rsid w:val="006E6873"/>
    <w:rsid w:val="006F08DA"/>
    <w:rsid w:val="00704B61"/>
    <w:rsid w:val="00705827"/>
    <w:rsid w:val="007164CA"/>
    <w:rsid w:val="00722B7F"/>
    <w:rsid w:val="00727DDF"/>
    <w:rsid w:val="00732E1B"/>
    <w:rsid w:val="00736900"/>
    <w:rsid w:val="00736EFD"/>
    <w:rsid w:val="007418C8"/>
    <w:rsid w:val="00742A8D"/>
    <w:rsid w:val="00744B61"/>
    <w:rsid w:val="00747412"/>
    <w:rsid w:val="0075191E"/>
    <w:rsid w:val="00753A55"/>
    <w:rsid w:val="00753F5F"/>
    <w:rsid w:val="007552A9"/>
    <w:rsid w:val="00761858"/>
    <w:rsid w:val="007637F4"/>
    <w:rsid w:val="00767D59"/>
    <w:rsid w:val="00774A81"/>
    <w:rsid w:val="00776E97"/>
    <w:rsid w:val="00780FD7"/>
    <w:rsid w:val="00784869"/>
    <w:rsid w:val="007912AD"/>
    <w:rsid w:val="007A1F28"/>
    <w:rsid w:val="007B0824"/>
    <w:rsid w:val="007B0892"/>
    <w:rsid w:val="007C0EB5"/>
    <w:rsid w:val="007D39B9"/>
    <w:rsid w:val="0081272A"/>
    <w:rsid w:val="008217D3"/>
    <w:rsid w:val="008303B8"/>
    <w:rsid w:val="00833DCE"/>
    <w:rsid w:val="00836A93"/>
    <w:rsid w:val="00841581"/>
    <w:rsid w:val="00842418"/>
    <w:rsid w:val="00864126"/>
    <w:rsid w:val="0086492E"/>
    <w:rsid w:val="0087166E"/>
    <w:rsid w:val="00871D34"/>
    <w:rsid w:val="00886092"/>
    <w:rsid w:val="00894F69"/>
    <w:rsid w:val="008A5F40"/>
    <w:rsid w:val="008B270C"/>
    <w:rsid w:val="008B2770"/>
    <w:rsid w:val="008C3D3D"/>
    <w:rsid w:val="008D4131"/>
    <w:rsid w:val="008E65DE"/>
    <w:rsid w:val="008F1932"/>
    <w:rsid w:val="008F294D"/>
    <w:rsid w:val="00911478"/>
    <w:rsid w:val="00916A58"/>
    <w:rsid w:val="00921062"/>
    <w:rsid w:val="0093083E"/>
    <w:rsid w:val="009428CC"/>
    <w:rsid w:val="009451FF"/>
    <w:rsid w:val="009503A2"/>
    <w:rsid w:val="009553DD"/>
    <w:rsid w:val="00955B0E"/>
    <w:rsid w:val="00966B05"/>
    <w:rsid w:val="00966ECF"/>
    <w:rsid w:val="009727A3"/>
    <w:rsid w:val="00974D37"/>
    <w:rsid w:val="009820F9"/>
    <w:rsid w:val="00987774"/>
    <w:rsid w:val="009936D5"/>
    <w:rsid w:val="009A11E8"/>
    <w:rsid w:val="009A43A1"/>
    <w:rsid w:val="009C2F51"/>
    <w:rsid w:val="009C37C7"/>
    <w:rsid w:val="009C5D3A"/>
    <w:rsid w:val="009D1549"/>
    <w:rsid w:val="009E4E62"/>
    <w:rsid w:val="009F5220"/>
    <w:rsid w:val="009F7C4D"/>
    <w:rsid w:val="00A01A21"/>
    <w:rsid w:val="00A15234"/>
    <w:rsid w:val="00A17E24"/>
    <w:rsid w:val="00A201AB"/>
    <w:rsid w:val="00A25C94"/>
    <w:rsid w:val="00A31C8B"/>
    <w:rsid w:val="00A54733"/>
    <w:rsid w:val="00A75955"/>
    <w:rsid w:val="00A8150E"/>
    <w:rsid w:val="00A842B8"/>
    <w:rsid w:val="00A845DC"/>
    <w:rsid w:val="00A97AEE"/>
    <w:rsid w:val="00AA4472"/>
    <w:rsid w:val="00AB3C99"/>
    <w:rsid w:val="00AB4CC5"/>
    <w:rsid w:val="00AC5CF6"/>
    <w:rsid w:val="00AC7862"/>
    <w:rsid w:val="00AD217D"/>
    <w:rsid w:val="00B144FA"/>
    <w:rsid w:val="00B16F58"/>
    <w:rsid w:val="00B21A7C"/>
    <w:rsid w:val="00B225A0"/>
    <w:rsid w:val="00B30648"/>
    <w:rsid w:val="00B322F4"/>
    <w:rsid w:val="00B3524D"/>
    <w:rsid w:val="00B40F69"/>
    <w:rsid w:val="00B41E09"/>
    <w:rsid w:val="00B46616"/>
    <w:rsid w:val="00B54032"/>
    <w:rsid w:val="00B57A65"/>
    <w:rsid w:val="00B60E41"/>
    <w:rsid w:val="00B610E3"/>
    <w:rsid w:val="00B61205"/>
    <w:rsid w:val="00B617C4"/>
    <w:rsid w:val="00B626FA"/>
    <w:rsid w:val="00B62B27"/>
    <w:rsid w:val="00B631AF"/>
    <w:rsid w:val="00B66D87"/>
    <w:rsid w:val="00B7040A"/>
    <w:rsid w:val="00B729E6"/>
    <w:rsid w:val="00B76C2C"/>
    <w:rsid w:val="00B76EBC"/>
    <w:rsid w:val="00B808A4"/>
    <w:rsid w:val="00B947BF"/>
    <w:rsid w:val="00B96FA0"/>
    <w:rsid w:val="00BA322F"/>
    <w:rsid w:val="00BA35A4"/>
    <w:rsid w:val="00BA39E9"/>
    <w:rsid w:val="00BB2AA8"/>
    <w:rsid w:val="00BB2C7C"/>
    <w:rsid w:val="00BC0238"/>
    <w:rsid w:val="00BC68C0"/>
    <w:rsid w:val="00BD3817"/>
    <w:rsid w:val="00BD4196"/>
    <w:rsid w:val="00BD651E"/>
    <w:rsid w:val="00BE2210"/>
    <w:rsid w:val="00BE4FE1"/>
    <w:rsid w:val="00BE57DB"/>
    <w:rsid w:val="00BF22CA"/>
    <w:rsid w:val="00C139A6"/>
    <w:rsid w:val="00C26032"/>
    <w:rsid w:val="00C265B0"/>
    <w:rsid w:val="00C321B5"/>
    <w:rsid w:val="00C345E1"/>
    <w:rsid w:val="00C37D67"/>
    <w:rsid w:val="00C42C62"/>
    <w:rsid w:val="00C5263A"/>
    <w:rsid w:val="00C54587"/>
    <w:rsid w:val="00C5652A"/>
    <w:rsid w:val="00C600B1"/>
    <w:rsid w:val="00C672E4"/>
    <w:rsid w:val="00C74D85"/>
    <w:rsid w:val="00C75454"/>
    <w:rsid w:val="00C80361"/>
    <w:rsid w:val="00C8281B"/>
    <w:rsid w:val="00C9551E"/>
    <w:rsid w:val="00C977BA"/>
    <w:rsid w:val="00CA5339"/>
    <w:rsid w:val="00CB6E35"/>
    <w:rsid w:val="00CD4902"/>
    <w:rsid w:val="00CD4A69"/>
    <w:rsid w:val="00CD761B"/>
    <w:rsid w:val="00CE1A46"/>
    <w:rsid w:val="00CF253F"/>
    <w:rsid w:val="00CF4FCD"/>
    <w:rsid w:val="00CF56B4"/>
    <w:rsid w:val="00CF7E22"/>
    <w:rsid w:val="00D010E2"/>
    <w:rsid w:val="00D0207D"/>
    <w:rsid w:val="00D20F09"/>
    <w:rsid w:val="00D22636"/>
    <w:rsid w:val="00D24AD7"/>
    <w:rsid w:val="00D27EC6"/>
    <w:rsid w:val="00D34306"/>
    <w:rsid w:val="00D40FD9"/>
    <w:rsid w:val="00D42256"/>
    <w:rsid w:val="00D44088"/>
    <w:rsid w:val="00D53769"/>
    <w:rsid w:val="00D637C9"/>
    <w:rsid w:val="00D67604"/>
    <w:rsid w:val="00D73572"/>
    <w:rsid w:val="00D74CFD"/>
    <w:rsid w:val="00D76818"/>
    <w:rsid w:val="00D85C13"/>
    <w:rsid w:val="00D91BE3"/>
    <w:rsid w:val="00D94AFC"/>
    <w:rsid w:val="00D97AF0"/>
    <w:rsid w:val="00DA3B27"/>
    <w:rsid w:val="00DB70AE"/>
    <w:rsid w:val="00DB7231"/>
    <w:rsid w:val="00DC7975"/>
    <w:rsid w:val="00DD07FC"/>
    <w:rsid w:val="00DD5071"/>
    <w:rsid w:val="00DD5C39"/>
    <w:rsid w:val="00DE26AF"/>
    <w:rsid w:val="00DE714E"/>
    <w:rsid w:val="00DE7DB7"/>
    <w:rsid w:val="00DF612A"/>
    <w:rsid w:val="00E00A0A"/>
    <w:rsid w:val="00E07601"/>
    <w:rsid w:val="00E07F57"/>
    <w:rsid w:val="00E352ED"/>
    <w:rsid w:val="00E4586A"/>
    <w:rsid w:val="00E50456"/>
    <w:rsid w:val="00E50BCE"/>
    <w:rsid w:val="00E61292"/>
    <w:rsid w:val="00E649A1"/>
    <w:rsid w:val="00E76309"/>
    <w:rsid w:val="00E77C4D"/>
    <w:rsid w:val="00E81D01"/>
    <w:rsid w:val="00E82D7A"/>
    <w:rsid w:val="00E90C08"/>
    <w:rsid w:val="00EA0F11"/>
    <w:rsid w:val="00EA4F85"/>
    <w:rsid w:val="00EB62BE"/>
    <w:rsid w:val="00EC7BD3"/>
    <w:rsid w:val="00ED48D9"/>
    <w:rsid w:val="00EE1BF0"/>
    <w:rsid w:val="00EE3508"/>
    <w:rsid w:val="00EE45D8"/>
    <w:rsid w:val="00EF63DD"/>
    <w:rsid w:val="00F004CD"/>
    <w:rsid w:val="00F12507"/>
    <w:rsid w:val="00F22EDA"/>
    <w:rsid w:val="00F26555"/>
    <w:rsid w:val="00F3224D"/>
    <w:rsid w:val="00F33E0E"/>
    <w:rsid w:val="00F3723B"/>
    <w:rsid w:val="00F42F8D"/>
    <w:rsid w:val="00F472AE"/>
    <w:rsid w:val="00F5664C"/>
    <w:rsid w:val="00F64613"/>
    <w:rsid w:val="00F72B81"/>
    <w:rsid w:val="00F77A3E"/>
    <w:rsid w:val="00F77EEB"/>
    <w:rsid w:val="00F86626"/>
    <w:rsid w:val="00F90160"/>
    <w:rsid w:val="00F9182B"/>
    <w:rsid w:val="00F94876"/>
    <w:rsid w:val="00FA069B"/>
    <w:rsid w:val="00FA49A9"/>
    <w:rsid w:val="00FB050B"/>
    <w:rsid w:val="00FB7E80"/>
    <w:rsid w:val="00FE0AC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A8F9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qFormat/>
    <w:rsid w:val="002A1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1454</Words>
  <Characters>6996</Characters>
  <Application>Microsoft Office Word</Application>
  <DocSecurity>0</DocSecurity>
  <Lines>58</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2018-07-09T12:08:00Z</dcterms:created>
  <dcterms:modified xsi:type="dcterms:W3CDTF">2018-07-09T12:08:00Z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