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C5C" w:rsidRPr="009E1C5C" w:rsidRDefault="009E1C5C" w:rsidP="005565E0">
      <w:pPr>
        <w:jc w:val="center"/>
        <w:rPr>
          <w:rFonts w:ascii="Book Antiqua" w:hAnsi="Book Antiqua" w:cs="Arial"/>
          <w:lang w:val="en-GB"/>
        </w:rPr>
      </w:pPr>
    </w:p>
    <w:p w:rsidR="005565E0" w:rsidRPr="009E1C5C" w:rsidRDefault="005565E0" w:rsidP="005565E0">
      <w:pPr>
        <w:jc w:val="center"/>
        <w:rPr>
          <w:rFonts w:ascii="Book Antiqua" w:hAnsi="Book Antiqua" w:cs="Arial"/>
          <w:lang w:val="en-GB"/>
        </w:rPr>
      </w:pPr>
      <w:r w:rsidRPr="009E1C5C">
        <w:rPr>
          <w:rFonts w:ascii="Book Antiqua" w:hAnsi="Book Antiqua"/>
          <w:noProof/>
        </w:rPr>
        <w:drawing>
          <wp:inline distT="0" distB="0" distL="0" distR="0" wp14:anchorId="4CA672B4" wp14:editId="288B4001">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5565E0" w:rsidRPr="009E1C5C" w:rsidRDefault="005565E0" w:rsidP="009E1C5C">
      <w:pPr>
        <w:keepNext/>
        <w:outlineLvl w:val="1"/>
        <w:rPr>
          <w:rFonts w:ascii="Book Antiqua" w:hAnsi="Book Antiqua"/>
          <w:b/>
          <w:bCs/>
          <w:lang w:val="en-GB"/>
        </w:rPr>
      </w:pPr>
      <w:r w:rsidRPr="009E1C5C">
        <w:rPr>
          <w:rFonts w:ascii="Book Antiqua" w:hAnsi="Book Antiqua"/>
          <w:b/>
          <w:bCs/>
          <w:lang w:val="en-GB"/>
        </w:rPr>
        <w:t xml:space="preserve">Upper Tribunal                                                                                </w:t>
      </w:r>
    </w:p>
    <w:p w:rsidR="005565E0" w:rsidRPr="009E1C5C" w:rsidRDefault="005565E0" w:rsidP="005565E0">
      <w:pPr>
        <w:spacing w:after="120"/>
        <w:rPr>
          <w:rFonts w:ascii="Book Antiqua" w:hAnsi="Book Antiqua"/>
          <w:b/>
          <w:bCs/>
          <w:lang w:val="en-GB"/>
        </w:rPr>
      </w:pPr>
      <w:r w:rsidRPr="009E1C5C">
        <w:rPr>
          <w:rFonts w:ascii="Book Antiqua" w:hAnsi="Book Antiqua"/>
          <w:b/>
          <w:bCs/>
          <w:lang w:val="en-GB"/>
        </w:rPr>
        <w:t>Immigration and Asylum Chamber</w:t>
      </w:r>
      <w:r w:rsidR="009E1C5C" w:rsidRPr="009E1C5C">
        <w:rPr>
          <w:rFonts w:ascii="Book Antiqua" w:hAnsi="Book Antiqua"/>
          <w:lang w:val="en-GB"/>
        </w:rPr>
        <w:t>       </w:t>
      </w:r>
      <w:r w:rsidRPr="009E1C5C">
        <w:rPr>
          <w:rFonts w:ascii="Book Antiqua" w:hAnsi="Book Antiqua"/>
          <w:lang w:val="en-GB"/>
        </w:rPr>
        <w:t xml:space="preserve">           </w:t>
      </w:r>
      <w:bookmarkStart w:id="0" w:name="_Hlk518055438"/>
      <w:r w:rsidR="009E1C5C" w:rsidRPr="009E1C5C">
        <w:rPr>
          <w:rFonts w:ascii="Book Antiqua" w:hAnsi="Book Antiqua"/>
          <w:b/>
          <w:bCs/>
          <w:lang w:val="en-GB"/>
        </w:rPr>
        <w:t>Appeal Number: </w:t>
      </w:r>
      <w:r w:rsidR="00433875" w:rsidRPr="009E1C5C">
        <w:rPr>
          <w:rFonts w:ascii="Book Antiqua" w:hAnsi="Book Antiqua"/>
          <w:b/>
          <w:bCs/>
          <w:lang w:val="en-GB"/>
        </w:rPr>
        <w:t>P</w:t>
      </w:r>
      <w:r w:rsidRPr="009E1C5C">
        <w:rPr>
          <w:rFonts w:ascii="Book Antiqua" w:hAnsi="Book Antiqua"/>
          <w:b/>
          <w:bCs/>
          <w:lang w:val="en-GB"/>
        </w:rPr>
        <w:t>A/</w:t>
      </w:r>
      <w:r w:rsidR="00433875" w:rsidRPr="009E1C5C">
        <w:rPr>
          <w:rFonts w:ascii="Book Antiqua" w:hAnsi="Book Antiqua"/>
          <w:b/>
          <w:bCs/>
          <w:lang w:val="en-GB"/>
        </w:rPr>
        <w:t>08515</w:t>
      </w:r>
      <w:r w:rsidRPr="009E1C5C">
        <w:rPr>
          <w:rFonts w:ascii="Book Antiqua" w:hAnsi="Book Antiqua"/>
          <w:b/>
          <w:bCs/>
          <w:lang w:val="en-GB"/>
        </w:rPr>
        <w:t>/201</w:t>
      </w:r>
      <w:r w:rsidR="00433875" w:rsidRPr="009E1C5C">
        <w:rPr>
          <w:rFonts w:ascii="Book Antiqua" w:hAnsi="Book Antiqua"/>
          <w:b/>
          <w:bCs/>
          <w:lang w:val="en-GB"/>
        </w:rPr>
        <w:t>7</w:t>
      </w:r>
      <w:bookmarkEnd w:id="0"/>
    </w:p>
    <w:p w:rsidR="005565E0" w:rsidRPr="009E1C5C" w:rsidRDefault="005565E0" w:rsidP="009E1C5C">
      <w:pPr>
        <w:rPr>
          <w:rFonts w:ascii="Book Antiqua" w:hAnsi="Book Antiqua"/>
          <w:b/>
          <w:bCs/>
          <w:lang w:val="en-GB"/>
        </w:rPr>
      </w:pPr>
      <w:r w:rsidRPr="009E1C5C">
        <w:rPr>
          <w:rFonts w:ascii="Book Antiqua" w:hAnsi="Book Antiqua"/>
          <w:b/>
          <w:bCs/>
          <w:lang w:val="en-GB"/>
        </w:rPr>
        <w:t xml:space="preserve">                                                                         </w:t>
      </w:r>
    </w:p>
    <w:p w:rsidR="005565E0" w:rsidRPr="009E1C5C" w:rsidRDefault="005565E0" w:rsidP="005565E0">
      <w:pPr>
        <w:jc w:val="center"/>
        <w:rPr>
          <w:rFonts w:ascii="Book Antiqua" w:hAnsi="Book Antiqua" w:cs="Arial"/>
          <w:b/>
          <w:bCs/>
          <w:u w:val="single"/>
          <w:lang w:val="en-GB"/>
        </w:rPr>
      </w:pPr>
      <w:r w:rsidRPr="009E1C5C">
        <w:rPr>
          <w:rFonts w:ascii="Book Antiqua" w:hAnsi="Book Antiqua" w:cs="Arial"/>
          <w:b/>
          <w:bCs/>
          <w:u w:val="single"/>
          <w:lang w:val="en-GB"/>
        </w:rPr>
        <w:t>THE IMMIGRATION ACTS</w:t>
      </w:r>
    </w:p>
    <w:p w:rsidR="007D5EAE" w:rsidRPr="009E1C5C" w:rsidRDefault="007D5EAE" w:rsidP="005565E0">
      <w:pPr>
        <w:jc w:val="center"/>
        <w:rPr>
          <w:rFonts w:ascii="Book Antiqua" w:hAnsi="Book Antiqua" w:cs="Arial"/>
          <w:b/>
          <w:bCs/>
          <w:u w:val="single"/>
          <w:lang w:val="en-GB"/>
        </w:rPr>
      </w:pPr>
    </w:p>
    <w:p w:rsidR="007D5EAE" w:rsidRPr="009E1C5C" w:rsidRDefault="007D5EAE" w:rsidP="00394D83">
      <w:pPr>
        <w:rPr>
          <w:rFonts w:ascii="Book Antiqua" w:hAnsi="Book Antiqua" w:cs="Arial"/>
          <w:b/>
          <w:bCs/>
          <w:lang w:val="en-GB"/>
        </w:rPr>
      </w:pPr>
      <w:r w:rsidRPr="009E1C5C">
        <w:rPr>
          <w:rFonts w:ascii="Book Antiqua" w:hAnsi="Book Antiqua" w:cs="Arial"/>
          <w:b/>
          <w:bCs/>
          <w:lang w:val="en-GB"/>
        </w:rPr>
        <w:t xml:space="preserve"> Heard at Field House   </w:t>
      </w:r>
      <w:r w:rsidR="00394D83" w:rsidRPr="009E1C5C">
        <w:rPr>
          <w:rFonts w:ascii="Book Antiqua" w:hAnsi="Book Antiqua" w:cs="Arial"/>
          <w:b/>
          <w:bCs/>
          <w:lang w:val="en-GB"/>
        </w:rPr>
        <w:t xml:space="preserve">            </w:t>
      </w:r>
      <w:r w:rsidRPr="009E1C5C">
        <w:rPr>
          <w:rFonts w:ascii="Book Antiqua" w:hAnsi="Book Antiqua" w:cs="Arial"/>
          <w:b/>
          <w:bCs/>
          <w:lang w:val="en-GB"/>
        </w:rPr>
        <w:t xml:space="preserve">   </w:t>
      </w:r>
      <w:r w:rsidR="00394D83" w:rsidRPr="009E1C5C">
        <w:rPr>
          <w:rFonts w:ascii="Book Antiqua" w:hAnsi="Book Antiqua" w:cs="Arial"/>
          <w:b/>
          <w:bCs/>
          <w:lang w:val="en-GB"/>
        </w:rPr>
        <w:t xml:space="preserve">                   </w:t>
      </w:r>
      <w:r w:rsidRPr="009E1C5C">
        <w:rPr>
          <w:rFonts w:ascii="Book Antiqua" w:hAnsi="Book Antiqua" w:cs="Arial"/>
          <w:b/>
          <w:bCs/>
          <w:lang w:val="en-GB"/>
        </w:rPr>
        <w:t xml:space="preserve"> </w:t>
      </w:r>
      <w:r w:rsidR="009E1C5C" w:rsidRPr="009E1C5C">
        <w:rPr>
          <w:rFonts w:ascii="Book Antiqua" w:hAnsi="Book Antiqua" w:cs="Arial"/>
          <w:b/>
          <w:bCs/>
          <w:lang w:val="en-GB"/>
        </w:rPr>
        <w:t xml:space="preserve">    </w:t>
      </w:r>
      <w:r w:rsidRPr="009E1C5C">
        <w:rPr>
          <w:rFonts w:ascii="Book Antiqua" w:hAnsi="Book Antiqua" w:cs="Arial"/>
          <w:b/>
          <w:bCs/>
          <w:lang w:val="en-GB"/>
        </w:rPr>
        <w:t xml:space="preserve">Decision </w:t>
      </w:r>
      <w:r w:rsidR="00394D83" w:rsidRPr="009E1C5C">
        <w:rPr>
          <w:rFonts w:ascii="Book Antiqua" w:hAnsi="Book Antiqua" w:cs="Arial"/>
          <w:b/>
          <w:bCs/>
          <w:lang w:val="en-GB"/>
        </w:rPr>
        <w:t xml:space="preserve">&amp; Reasons Promulgated  </w:t>
      </w:r>
    </w:p>
    <w:tbl>
      <w:tblPr>
        <w:tblW w:w="10445" w:type="dxa"/>
        <w:tblCellMar>
          <w:left w:w="0" w:type="dxa"/>
          <w:right w:w="0" w:type="dxa"/>
        </w:tblCellMar>
        <w:tblLook w:val="0000" w:firstRow="0" w:lastRow="0" w:firstColumn="0" w:lastColumn="0" w:noHBand="0" w:noVBand="0"/>
      </w:tblPr>
      <w:tblGrid>
        <w:gridCol w:w="6804"/>
        <w:gridCol w:w="3641"/>
      </w:tblGrid>
      <w:tr w:rsidR="005565E0" w:rsidRPr="009E1C5C" w:rsidTr="009E1C5C">
        <w:trPr>
          <w:trHeight w:val="511"/>
        </w:trPr>
        <w:tc>
          <w:tcPr>
            <w:tcW w:w="6804" w:type="dxa"/>
            <w:tcMar>
              <w:top w:w="0" w:type="dxa"/>
              <w:left w:w="108" w:type="dxa"/>
              <w:bottom w:w="0" w:type="dxa"/>
              <w:right w:w="108" w:type="dxa"/>
            </w:tcMar>
          </w:tcPr>
          <w:p w:rsidR="005565E0" w:rsidRPr="009E1C5C" w:rsidRDefault="00394D83" w:rsidP="00AC69D0">
            <w:pPr>
              <w:jc w:val="both"/>
              <w:rPr>
                <w:rFonts w:ascii="Book Antiqua" w:hAnsi="Book Antiqua" w:cs="Arial"/>
                <w:b/>
                <w:bCs/>
              </w:rPr>
            </w:pPr>
            <w:r w:rsidRPr="009E1C5C">
              <w:rPr>
                <w:rFonts w:ascii="Book Antiqua" w:hAnsi="Book Antiqua" w:cs="Arial"/>
                <w:b/>
                <w:bCs/>
              </w:rPr>
              <w:t xml:space="preserve">On 28 June 2018                                               </w:t>
            </w:r>
            <w:r w:rsidR="009E1C5C" w:rsidRPr="009E1C5C">
              <w:rPr>
                <w:rFonts w:ascii="Book Antiqua" w:hAnsi="Book Antiqua" w:cs="Arial"/>
                <w:b/>
                <w:bCs/>
              </w:rPr>
              <w:t xml:space="preserve">    </w:t>
            </w:r>
            <w:r w:rsidRPr="009E1C5C">
              <w:rPr>
                <w:rFonts w:ascii="Book Antiqua" w:hAnsi="Book Antiqua" w:cs="Arial"/>
                <w:b/>
                <w:bCs/>
              </w:rPr>
              <w:t>On 2 July 2018</w:t>
            </w:r>
          </w:p>
        </w:tc>
        <w:tc>
          <w:tcPr>
            <w:tcW w:w="3641" w:type="dxa"/>
            <w:tcMar>
              <w:top w:w="0" w:type="dxa"/>
              <w:left w:w="108" w:type="dxa"/>
              <w:bottom w:w="0" w:type="dxa"/>
              <w:right w:w="108" w:type="dxa"/>
            </w:tcMar>
          </w:tcPr>
          <w:p w:rsidR="005565E0" w:rsidRPr="009E1C5C" w:rsidRDefault="005565E0" w:rsidP="00AC69D0">
            <w:pPr>
              <w:jc w:val="both"/>
              <w:rPr>
                <w:rFonts w:ascii="Book Antiqua" w:hAnsi="Book Antiqua" w:cs="Arial"/>
                <w:b/>
                <w:bCs/>
              </w:rPr>
            </w:pPr>
          </w:p>
        </w:tc>
      </w:tr>
      <w:tr w:rsidR="005565E0" w:rsidRPr="009E1C5C" w:rsidTr="009E1C5C">
        <w:trPr>
          <w:trHeight w:val="141"/>
        </w:trPr>
        <w:tc>
          <w:tcPr>
            <w:tcW w:w="6804" w:type="dxa"/>
            <w:tcMar>
              <w:top w:w="0" w:type="dxa"/>
              <w:left w:w="108" w:type="dxa"/>
              <w:bottom w:w="0" w:type="dxa"/>
              <w:right w:w="108" w:type="dxa"/>
            </w:tcMar>
          </w:tcPr>
          <w:p w:rsidR="005565E0" w:rsidRPr="009E1C5C" w:rsidRDefault="005565E0" w:rsidP="00AC69D0">
            <w:pPr>
              <w:jc w:val="both"/>
              <w:rPr>
                <w:rFonts w:ascii="Book Antiqua" w:hAnsi="Book Antiqua" w:cs="Arial"/>
                <w:b/>
                <w:bCs/>
              </w:rPr>
            </w:pPr>
          </w:p>
        </w:tc>
        <w:tc>
          <w:tcPr>
            <w:tcW w:w="3641" w:type="dxa"/>
            <w:tcMar>
              <w:top w:w="0" w:type="dxa"/>
              <w:left w:w="108" w:type="dxa"/>
              <w:bottom w:w="0" w:type="dxa"/>
              <w:right w:w="108" w:type="dxa"/>
            </w:tcMar>
          </w:tcPr>
          <w:p w:rsidR="005565E0" w:rsidRPr="009E1C5C" w:rsidRDefault="005565E0" w:rsidP="00AC69D0">
            <w:pPr>
              <w:jc w:val="both"/>
              <w:rPr>
                <w:rFonts w:ascii="Book Antiqua" w:hAnsi="Book Antiqua" w:cs="Arial"/>
                <w:b/>
                <w:bCs/>
              </w:rPr>
            </w:pPr>
          </w:p>
        </w:tc>
      </w:tr>
    </w:tbl>
    <w:p w:rsidR="009E1C5C" w:rsidRPr="009E1C5C" w:rsidRDefault="009E1C5C" w:rsidP="005565E0">
      <w:pPr>
        <w:jc w:val="center"/>
        <w:rPr>
          <w:rFonts w:ascii="Book Antiqua" w:hAnsi="Book Antiqua" w:cs="Arial"/>
          <w:b/>
          <w:bCs/>
          <w:lang w:val="en-GB"/>
        </w:rPr>
      </w:pPr>
    </w:p>
    <w:p w:rsidR="005565E0" w:rsidRPr="009E1C5C" w:rsidRDefault="005565E0" w:rsidP="005565E0">
      <w:pPr>
        <w:jc w:val="center"/>
        <w:rPr>
          <w:rFonts w:ascii="Book Antiqua" w:hAnsi="Book Antiqua" w:cs="Arial"/>
          <w:b/>
          <w:bCs/>
          <w:lang w:val="en-GB"/>
        </w:rPr>
      </w:pPr>
      <w:r w:rsidRPr="009E1C5C">
        <w:rPr>
          <w:rFonts w:ascii="Book Antiqua" w:hAnsi="Book Antiqua" w:cs="Arial"/>
          <w:b/>
          <w:bCs/>
          <w:lang w:val="en-GB"/>
        </w:rPr>
        <w:t>Before</w:t>
      </w:r>
    </w:p>
    <w:p w:rsidR="005565E0" w:rsidRPr="009E1C5C" w:rsidRDefault="005565E0" w:rsidP="005565E0">
      <w:pPr>
        <w:jc w:val="center"/>
        <w:rPr>
          <w:rFonts w:ascii="Book Antiqua" w:hAnsi="Book Antiqua" w:cs="Arial"/>
          <w:b/>
          <w:bCs/>
          <w:lang w:val="en-GB"/>
        </w:rPr>
      </w:pPr>
    </w:p>
    <w:p w:rsidR="005565E0" w:rsidRPr="009E1C5C" w:rsidRDefault="009E1C5C" w:rsidP="005565E0">
      <w:pPr>
        <w:jc w:val="center"/>
        <w:rPr>
          <w:rFonts w:ascii="Book Antiqua" w:hAnsi="Book Antiqua" w:cs="Arial"/>
          <w:b/>
          <w:bCs/>
          <w:lang w:val="en-GB"/>
        </w:rPr>
      </w:pPr>
      <w:bookmarkStart w:id="1" w:name="Text4"/>
      <w:bookmarkEnd w:id="1"/>
      <w:r w:rsidRPr="009E1C5C">
        <w:rPr>
          <w:rFonts w:ascii="Book Antiqua" w:hAnsi="Book Antiqua" w:cs="Arial"/>
          <w:b/>
          <w:bCs/>
          <w:lang w:val="en-GB"/>
        </w:rPr>
        <w:t>UPPER TRIBUNAL JUDGE KEKIĆ</w:t>
      </w:r>
    </w:p>
    <w:p w:rsidR="005565E0" w:rsidRPr="009E1C5C" w:rsidRDefault="005565E0" w:rsidP="005565E0">
      <w:pPr>
        <w:jc w:val="center"/>
        <w:rPr>
          <w:rFonts w:ascii="Book Antiqua" w:hAnsi="Book Antiqua" w:cs="Arial"/>
          <w:b/>
          <w:bCs/>
          <w:lang w:val="en-GB"/>
        </w:rPr>
      </w:pPr>
    </w:p>
    <w:p w:rsidR="005565E0" w:rsidRPr="009E1C5C" w:rsidRDefault="005565E0" w:rsidP="005565E0">
      <w:pPr>
        <w:jc w:val="center"/>
        <w:rPr>
          <w:rFonts w:ascii="Book Antiqua" w:hAnsi="Book Antiqua" w:cs="Arial"/>
          <w:b/>
          <w:bCs/>
          <w:lang w:val="en-GB"/>
        </w:rPr>
      </w:pPr>
      <w:r w:rsidRPr="009E1C5C">
        <w:rPr>
          <w:rFonts w:ascii="Book Antiqua" w:hAnsi="Book Antiqua" w:cs="Arial"/>
          <w:b/>
          <w:bCs/>
          <w:lang w:val="en-GB"/>
        </w:rPr>
        <w:t>Between</w:t>
      </w:r>
    </w:p>
    <w:p w:rsidR="005565E0" w:rsidRPr="009E1C5C" w:rsidRDefault="005565E0" w:rsidP="005565E0">
      <w:pPr>
        <w:rPr>
          <w:rFonts w:ascii="Book Antiqua" w:hAnsi="Book Antiqua" w:cs="Arial"/>
          <w:b/>
          <w:bCs/>
          <w:lang w:val="en-GB"/>
        </w:rPr>
      </w:pPr>
      <w:r w:rsidRPr="009E1C5C">
        <w:rPr>
          <w:rFonts w:ascii="Book Antiqua" w:hAnsi="Book Antiqua" w:cs="Arial"/>
          <w:b/>
          <w:bCs/>
          <w:lang w:val="en-GB"/>
        </w:rPr>
        <w:t xml:space="preserve">                                           </w:t>
      </w:r>
    </w:p>
    <w:p w:rsidR="005565E0" w:rsidRPr="009E1C5C" w:rsidRDefault="009E1C5C" w:rsidP="005565E0">
      <w:pPr>
        <w:jc w:val="center"/>
        <w:rPr>
          <w:rFonts w:ascii="Book Antiqua" w:hAnsi="Book Antiqua" w:cs="Arial"/>
          <w:b/>
          <w:bCs/>
          <w:lang w:val="en-GB"/>
        </w:rPr>
      </w:pPr>
      <w:r w:rsidRPr="009E1C5C">
        <w:rPr>
          <w:rFonts w:ascii="Book Antiqua" w:hAnsi="Book Antiqua" w:cs="Arial"/>
          <w:b/>
          <w:bCs/>
          <w:lang w:val="en-GB"/>
        </w:rPr>
        <w:t>KHALID MOHAMMED ABDULLAH</w:t>
      </w:r>
    </w:p>
    <w:p w:rsidR="005565E0" w:rsidRPr="009E1C5C" w:rsidRDefault="009E1C5C" w:rsidP="005565E0">
      <w:pPr>
        <w:jc w:val="center"/>
        <w:rPr>
          <w:rFonts w:ascii="Book Antiqua" w:hAnsi="Book Antiqua" w:cs="Arial"/>
          <w:bCs/>
          <w:lang w:val="en-GB"/>
        </w:rPr>
      </w:pPr>
      <w:r w:rsidRPr="009E1C5C">
        <w:rPr>
          <w:rFonts w:ascii="Book Antiqua" w:hAnsi="Book Antiqua" w:cs="Arial"/>
          <w:bCs/>
          <w:lang w:val="en-GB"/>
        </w:rPr>
        <w:t>(ANONYMITY ORDER NOT MADE)</w:t>
      </w:r>
    </w:p>
    <w:p w:rsidR="005565E0" w:rsidRPr="009E1C5C" w:rsidRDefault="005565E0" w:rsidP="005565E0">
      <w:pPr>
        <w:ind w:firstLine="6480"/>
        <w:jc w:val="center"/>
        <w:rPr>
          <w:rFonts w:ascii="Book Antiqua" w:hAnsi="Book Antiqua" w:cs="Arial"/>
          <w:bCs/>
          <w:lang w:val="en-GB"/>
        </w:rPr>
      </w:pPr>
      <w:r w:rsidRPr="009E1C5C">
        <w:rPr>
          <w:rFonts w:ascii="Book Antiqua" w:hAnsi="Book Antiqua" w:cs="Arial"/>
          <w:b/>
          <w:bCs/>
          <w:lang w:val="en-GB"/>
        </w:rPr>
        <w:t xml:space="preserve">           </w:t>
      </w:r>
      <w:r w:rsidRPr="009E1C5C">
        <w:rPr>
          <w:rFonts w:ascii="Book Antiqua" w:hAnsi="Book Antiqua" w:cs="Arial"/>
          <w:bCs/>
          <w:u w:val="single"/>
          <w:lang w:val="en-GB"/>
        </w:rPr>
        <w:t>Appellant</w:t>
      </w:r>
    </w:p>
    <w:p w:rsidR="005565E0" w:rsidRPr="009E1C5C" w:rsidRDefault="005565E0" w:rsidP="005565E0">
      <w:pPr>
        <w:jc w:val="center"/>
        <w:rPr>
          <w:rFonts w:ascii="Book Antiqua" w:hAnsi="Book Antiqua" w:cs="Arial"/>
          <w:b/>
          <w:bCs/>
          <w:lang w:val="en-GB"/>
        </w:rPr>
      </w:pPr>
      <w:r w:rsidRPr="009E1C5C">
        <w:rPr>
          <w:rFonts w:ascii="Book Antiqua" w:hAnsi="Book Antiqua" w:cs="Arial"/>
          <w:b/>
          <w:bCs/>
          <w:lang w:val="en-GB"/>
        </w:rPr>
        <w:t>and</w:t>
      </w:r>
    </w:p>
    <w:p w:rsidR="005565E0" w:rsidRPr="009E1C5C" w:rsidRDefault="005565E0" w:rsidP="005565E0">
      <w:pPr>
        <w:jc w:val="both"/>
        <w:rPr>
          <w:rFonts w:ascii="Book Antiqua" w:hAnsi="Book Antiqua" w:cs="Arial"/>
          <w:b/>
          <w:bCs/>
          <w:lang w:val="en-GB"/>
        </w:rPr>
      </w:pPr>
    </w:p>
    <w:p w:rsidR="005565E0" w:rsidRPr="009E1C5C" w:rsidRDefault="009E1C5C" w:rsidP="005565E0">
      <w:pPr>
        <w:jc w:val="center"/>
        <w:rPr>
          <w:rFonts w:ascii="Book Antiqua" w:hAnsi="Book Antiqua" w:cs="Arial"/>
          <w:b/>
          <w:bCs/>
          <w:lang w:val="en-GB"/>
        </w:rPr>
      </w:pPr>
      <w:r w:rsidRPr="009E1C5C">
        <w:rPr>
          <w:rFonts w:ascii="Book Antiqua" w:hAnsi="Book Antiqua" w:cs="Arial"/>
          <w:b/>
          <w:bCs/>
          <w:lang w:val="en-GB"/>
        </w:rPr>
        <w:t xml:space="preserve">SECRETARY OF STATE FOR THE HOME DEPARTMENT </w:t>
      </w:r>
    </w:p>
    <w:p w:rsidR="005565E0" w:rsidRPr="009E1C5C" w:rsidRDefault="005565E0" w:rsidP="009E1C5C">
      <w:pPr>
        <w:jc w:val="right"/>
        <w:rPr>
          <w:rFonts w:ascii="Book Antiqua" w:hAnsi="Book Antiqua" w:cs="Arial"/>
          <w:bCs/>
          <w:lang w:val="en-GB"/>
        </w:rPr>
      </w:pPr>
      <w:r w:rsidRPr="009E1C5C">
        <w:rPr>
          <w:rFonts w:ascii="Book Antiqua" w:hAnsi="Book Antiqua" w:cs="Arial"/>
          <w:b/>
          <w:bCs/>
          <w:lang w:val="en-GB"/>
        </w:rPr>
        <w:t xml:space="preserve">   </w:t>
      </w:r>
      <w:r w:rsidR="009E1C5C" w:rsidRPr="009E1C5C">
        <w:rPr>
          <w:rFonts w:ascii="Book Antiqua" w:hAnsi="Book Antiqua" w:cs="Arial"/>
          <w:b/>
          <w:bCs/>
          <w:lang w:val="en-GB"/>
        </w:rPr>
        <w:t xml:space="preserve">        </w:t>
      </w:r>
      <w:r w:rsidRPr="009E1C5C">
        <w:rPr>
          <w:rFonts w:ascii="Book Antiqua" w:hAnsi="Book Antiqua" w:cs="Arial"/>
          <w:b/>
          <w:bCs/>
          <w:lang w:val="en-GB"/>
        </w:rPr>
        <w:t xml:space="preserve"> </w:t>
      </w:r>
      <w:r w:rsidRPr="009E1C5C">
        <w:rPr>
          <w:rFonts w:ascii="Book Antiqua" w:hAnsi="Book Antiqua" w:cs="Arial"/>
          <w:bCs/>
          <w:u w:val="single"/>
          <w:lang w:val="en-GB"/>
        </w:rPr>
        <w:t>Respondent</w:t>
      </w:r>
      <w:r w:rsidRPr="009E1C5C">
        <w:rPr>
          <w:rFonts w:ascii="Book Antiqua" w:hAnsi="Book Antiqua" w:cs="Arial"/>
          <w:bCs/>
          <w:lang w:val="en-GB"/>
        </w:rPr>
        <w:t xml:space="preserve">     </w:t>
      </w:r>
    </w:p>
    <w:p w:rsidR="009E1C5C" w:rsidRPr="009E1C5C" w:rsidRDefault="009E1C5C" w:rsidP="005565E0">
      <w:pPr>
        <w:jc w:val="center"/>
        <w:rPr>
          <w:rFonts w:ascii="Book Antiqua" w:hAnsi="Book Antiqua" w:cs="Arial"/>
          <w:b/>
          <w:bCs/>
          <w:u w:val="single"/>
          <w:lang w:val="en-GB"/>
        </w:rPr>
      </w:pPr>
    </w:p>
    <w:p w:rsidR="009E1C5C" w:rsidRPr="009E1C5C" w:rsidRDefault="009E1C5C" w:rsidP="009E1C5C">
      <w:pPr>
        <w:jc w:val="both"/>
        <w:rPr>
          <w:rFonts w:ascii="Book Antiqua" w:hAnsi="Book Antiqua" w:cs="Arial"/>
          <w:b/>
          <w:bCs/>
          <w:u w:val="single"/>
          <w:lang w:val="en-GB"/>
        </w:rPr>
      </w:pPr>
      <w:r w:rsidRPr="009E1C5C">
        <w:rPr>
          <w:rFonts w:ascii="Book Antiqua" w:hAnsi="Book Antiqua" w:cs="Arial"/>
          <w:b/>
          <w:bCs/>
          <w:u w:val="single"/>
          <w:lang w:val="en-GB"/>
        </w:rPr>
        <w:t>Representation</w:t>
      </w:r>
    </w:p>
    <w:p w:rsidR="009E1C5C" w:rsidRPr="009E1C5C" w:rsidRDefault="009E1C5C" w:rsidP="009E1C5C">
      <w:pPr>
        <w:jc w:val="both"/>
        <w:rPr>
          <w:rFonts w:ascii="Book Antiqua" w:hAnsi="Book Antiqua" w:cs="Arial"/>
          <w:lang w:val="en-GB"/>
        </w:rPr>
      </w:pPr>
    </w:p>
    <w:p w:rsidR="009E1C5C" w:rsidRPr="009E1C5C" w:rsidRDefault="009E1C5C" w:rsidP="009E1C5C">
      <w:pPr>
        <w:ind w:left="2880" w:hanging="2880"/>
        <w:jc w:val="both"/>
        <w:rPr>
          <w:rFonts w:ascii="Book Antiqua" w:hAnsi="Book Antiqua" w:cs="Arial"/>
          <w:lang w:val="en-GB"/>
        </w:rPr>
      </w:pPr>
      <w:r w:rsidRPr="009E1C5C">
        <w:rPr>
          <w:rFonts w:ascii="Book Antiqua" w:hAnsi="Book Antiqua" w:cs="Arial"/>
          <w:lang w:val="en-GB"/>
        </w:rPr>
        <w:t xml:space="preserve">For the Appellant:            Ms K McCarthy, Counsel instructed by Lupins Solicitors  </w:t>
      </w:r>
    </w:p>
    <w:p w:rsidR="009E1C5C" w:rsidRPr="009E1C5C" w:rsidRDefault="009E1C5C" w:rsidP="009E1C5C">
      <w:pPr>
        <w:ind w:left="2880" w:hanging="2880"/>
        <w:jc w:val="both"/>
        <w:rPr>
          <w:rFonts w:ascii="Book Antiqua" w:hAnsi="Book Antiqua" w:cs="Arial"/>
          <w:lang w:val="en-GB"/>
        </w:rPr>
      </w:pPr>
      <w:r w:rsidRPr="009E1C5C">
        <w:rPr>
          <w:rFonts w:ascii="Book Antiqua" w:hAnsi="Book Antiqua" w:cs="Arial"/>
          <w:lang w:val="en-GB"/>
        </w:rPr>
        <w:t xml:space="preserve">For the Respondent:        Mr E </w:t>
      </w:r>
      <w:proofErr w:type="spellStart"/>
      <w:r w:rsidRPr="009E1C5C">
        <w:rPr>
          <w:rFonts w:ascii="Book Antiqua" w:hAnsi="Book Antiqua" w:cs="Arial"/>
          <w:lang w:val="en-GB"/>
        </w:rPr>
        <w:t>Tufan</w:t>
      </w:r>
      <w:proofErr w:type="spellEnd"/>
      <w:r w:rsidRPr="009E1C5C">
        <w:rPr>
          <w:rFonts w:ascii="Book Antiqua" w:hAnsi="Book Antiqua" w:cs="Arial"/>
          <w:lang w:val="en-GB"/>
        </w:rPr>
        <w:t>, Senior Home Office Presenting Officer</w:t>
      </w:r>
    </w:p>
    <w:p w:rsidR="009E1C5C" w:rsidRPr="009E1C5C" w:rsidRDefault="009E1C5C" w:rsidP="009E1C5C">
      <w:pPr>
        <w:jc w:val="center"/>
        <w:rPr>
          <w:rFonts w:ascii="Book Antiqua" w:hAnsi="Book Antiqua" w:cs="Arial"/>
          <w:b/>
          <w:bCs/>
          <w:u w:val="single"/>
          <w:lang w:val="en-GB"/>
        </w:rPr>
      </w:pPr>
      <w:r w:rsidRPr="009E1C5C">
        <w:rPr>
          <w:rFonts w:ascii="Book Antiqua" w:hAnsi="Book Antiqua" w:cs="Arial"/>
          <w:lang w:val="en-GB"/>
        </w:rPr>
        <w:t>                           </w:t>
      </w:r>
    </w:p>
    <w:p w:rsidR="005565E0" w:rsidRPr="009E1C5C" w:rsidRDefault="009E1C5C" w:rsidP="005565E0">
      <w:pPr>
        <w:jc w:val="center"/>
        <w:rPr>
          <w:rFonts w:ascii="Book Antiqua" w:hAnsi="Book Antiqua" w:cs="Arial"/>
          <w:lang w:val="en-GB"/>
        </w:rPr>
      </w:pPr>
      <w:r w:rsidRPr="009E1C5C">
        <w:rPr>
          <w:rFonts w:ascii="Book Antiqua" w:hAnsi="Book Antiqua" w:cs="Arial"/>
          <w:b/>
          <w:bCs/>
          <w:u w:val="single"/>
          <w:lang w:val="en-GB"/>
        </w:rPr>
        <w:t>DETERMINATION AND REASONS</w:t>
      </w:r>
    </w:p>
    <w:p w:rsidR="005565E0" w:rsidRPr="009E1C5C" w:rsidRDefault="005565E0" w:rsidP="005565E0">
      <w:pPr>
        <w:jc w:val="both"/>
        <w:rPr>
          <w:rFonts w:ascii="Book Antiqua" w:hAnsi="Book Antiqua" w:cs="Arial"/>
          <w:u w:val="single"/>
          <w:lang w:val="en-GB"/>
        </w:rPr>
      </w:pPr>
    </w:p>
    <w:p w:rsidR="005565E0" w:rsidRPr="009E1C5C" w:rsidRDefault="005565E0" w:rsidP="005565E0">
      <w:pPr>
        <w:ind w:left="2880" w:hanging="2880"/>
        <w:jc w:val="both"/>
        <w:rPr>
          <w:rFonts w:ascii="Book Antiqua" w:hAnsi="Book Antiqua" w:cs="Arial"/>
          <w:lang w:val="en-GB"/>
        </w:rPr>
      </w:pPr>
      <w:r w:rsidRPr="009E1C5C">
        <w:rPr>
          <w:rFonts w:ascii="Book Antiqua" w:hAnsi="Book Antiqua" w:cs="Arial"/>
          <w:lang w:val="en-GB"/>
        </w:rPr>
        <w:t xml:space="preserve">                     </w:t>
      </w:r>
    </w:p>
    <w:p w:rsidR="005565E0" w:rsidRPr="009E1C5C" w:rsidRDefault="005565E0" w:rsidP="005565E0">
      <w:pPr>
        <w:jc w:val="both"/>
        <w:rPr>
          <w:rFonts w:ascii="Book Antiqua" w:hAnsi="Book Antiqua" w:cs="Arial"/>
          <w:b/>
          <w:bCs/>
          <w:lang w:val="en-GB"/>
        </w:rPr>
      </w:pPr>
      <w:r w:rsidRPr="009E1C5C">
        <w:rPr>
          <w:rFonts w:ascii="Book Antiqua" w:hAnsi="Book Antiqua" w:cs="Arial"/>
          <w:b/>
          <w:bCs/>
          <w:lang w:val="en-GB"/>
        </w:rPr>
        <w:t>Details of appellant and basis of claim</w:t>
      </w:r>
    </w:p>
    <w:p w:rsidR="005565E0" w:rsidRPr="009E1C5C" w:rsidRDefault="005565E0" w:rsidP="005565E0">
      <w:pPr>
        <w:jc w:val="both"/>
        <w:rPr>
          <w:rFonts w:ascii="Book Antiqua" w:hAnsi="Book Antiqua" w:cs="Arial"/>
          <w:lang w:val="en-GB"/>
        </w:rPr>
      </w:pPr>
      <w:r w:rsidRPr="009E1C5C">
        <w:rPr>
          <w:rFonts w:ascii="Book Antiqua" w:hAnsi="Book Antiqua" w:cs="Arial"/>
          <w:lang w:val="en-GB"/>
        </w:rPr>
        <w:t xml:space="preserve">            </w:t>
      </w:r>
    </w:p>
    <w:p w:rsidR="00433875" w:rsidRPr="009E1C5C" w:rsidRDefault="005565E0" w:rsidP="005565E0">
      <w:pPr>
        <w:numPr>
          <w:ilvl w:val="0"/>
          <w:numId w:val="1"/>
        </w:numPr>
        <w:ind w:left="720" w:hanging="720"/>
        <w:jc w:val="both"/>
        <w:rPr>
          <w:rFonts w:ascii="Book Antiqua" w:hAnsi="Book Antiqua"/>
          <w:b/>
          <w:bCs/>
          <w:lang w:val="en-GB"/>
        </w:rPr>
      </w:pPr>
      <w:r w:rsidRPr="009E1C5C">
        <w:rPr>
          <w:rFonts w:ascii="Book Antiqua" w:hAnsi="Book Antiqua"/>
          <w:lang w:val="en-GB"/>
        </w:rPr>
        <w:t xml:space="preserve">        The </w:t>
      </w:r>
      <w:r w:rsidR="00433875" w:rsidRPr="009E1C5C">
        <w:rPr>
          <w:rFonts w:ascii="Book Antiqua" w:hAnsi="Book Antiqua"/>
          <w:lang w:val="en-GB"/>
        </w:rPr>
        <w:t>appellant is a Sudanese national born on 12 April 1978. He claims to be a non</w:t>
      </w:r>
      <w:r w:rsidR="00EB6898" w:rsidRPr="009E1C5C">
        <w:rPr>
          <w:rFonts w:ascii="Book Antiqua" w:hAnsi="Book Antiqua"/>
          <w:lang w:val="en-GB"/>
        </w:rPr>
        <w:t>-</w:t>
      </w:r>
      <w:r w:rsidR="00433875" w:rsidRPr="009E1C5C">
        <w:rPr>
          <w:rFonts w:ascii="Book Antiqua" w:hAnsi="Book Antiqua"/>
          <w:lang w:val="en-GB"/>
        </w:rPr>
        <w:t xml:space="preserve">Arab </w:t>
      </w:r>
      <w:proofErr w:type="spellStart"/>
      <w:r w:rsidR="00433875" w:rsidRPr="009E1C5C">
        <w:rPr>
          <w:rFonts w:ascii="Book Antiqua" w:hAnsi="Book Antiqua"/>
          <w:lang w:val="en-GB"/>
        </w:rPr>
        <w:t>Darfurian</w:t>
      </w:r>
      <w:proofErr w:type="spellEnd"/>
      <w:r w:rsidR="00433875" w:rsidRPr="009E1C5C">
        <w:rPr>
          <w:rFonts w:ascii="Book Antiqua" w:hAnsi="Book Antiqua"/>
          <w:lang w:val="en-GB"/>
        </w:rPr>
        <w:t xml:space="preserve"> from the </w:t>
      </w:r>
      <w:proofErr w:type="spellStart"/>
      <w:r w:rsidR="00433875" w:rsidRPr="009E1C5C">
        <w:rPr>
          <w:rFonts w:ascii="Book Antiqua" w:hAnsi="Book Antiqua"/>
          <w:lang w:val="en-GB"/>
        </w:rPr>
        <w:t>Berti</w:t>
      </w:r>
      <w:proofErr w:type="spellEnd"/>
      <w:r w:rsidR="00433875" w:rsidRPr="009E1C5C">
        <w:rPr>
          <w:rFonts w:ascii="Book Antiqua" w:hAnsi="Book Antiqua"/>
          <w:lang w:val="en-GB"/>
        </w:rPr>
        <w:t xml:space="preserve"> tribe. He entered the UK in a lorry in April 2004 and claimed asylum </w:t>
      </w:r>
      <w:proofErr w:type="gramStart"/>
      <w:r w:rsidR="00433875" w:rsidRPr="009E1C5C">
        <w:rPr>
          <w:rFonts w:ascii="Book Antiqua" w:hAnsi="Book Antiqua"/>
          <w:lang w:val="en-GB"/>
        </w:rPr>
        <w:t>on the ba</w:t>
      </w:r>
      <w:r w:rsidR="00EB6898" w:rsidRPr="009E1C5C">
        <w:rPr>
          <w:rFonts w:ascii="Book Antiqua" w:hAnsi="Book Antiqua"/>
          <w:lang w:val="en-GB"/>
        </w:rPr>
        <w:t>sis</w:t>
      </w:r>
      <w:r w:rsidR="00433875" w:rsidRPr="009E1C5C">
        <w:rPr>
          <w:rFonts w:ascii="Book Antiqua" w:hAnsi="Book Antiqua"/>
          <w:lang w:val="en-GB"/>
        </w:rPr>
        <w:t xml:space="preserve"> of</w:t>
      </w:r>
      <w:proofErr w:type="gramEnd"/>
      <w:r w:rsidR="00433875" w:rsidRPr="009E1C5C">
        <w:rPr>
          <w:rFonts w:ascii="Book Antiqua" w:hAnsi="Book Antiqua"/>
          <w:lang w:val="en-GB"/>
        </w:rPr>
        <w:t xml:space="preserve"> his ethnicity and his father’s political activity with the Justice and Equality group. He maintained that his father had been arrested and tortured by the authorities and that he (the </w:t>
      </w:r>
      <w:r w:rsidR="00433875" w:rsidRPr="009E1C5C">
        <w:rPr>
          <w:rFonts w:ascii="Book Antiqua" w:hAnsi="Book Antiqua"/>
          <w:lang w:val="en-GB"/>
        </w:rPr>
        <w:lastRenderedPageBreak/>
        <w:t xml:space="preserve">appellant) and his sister had been detained by the Janjaweed and that his sister had been raped. They managed to escape and then he left his mother and sister in Sudan and fled the country. The respondent did not accept the claim because of various inconsistencies but found that in any event he could relocate to Khartoum. The appellant’s appeal was heard and dismissed by Judge Pitt in August 2005. She did not accept that he was credible and rejected his claim to be </w:t>
      </w:r>
      <w:proofErr w:type="spellStart"/>
      <w:r w:rsidR="00433875" w:rsidRPr="009E1C5C">
        <w:rPr>
          <w:rFonts w:ascii="Book Antiqua" w:hAnsi="Book Antiqua"/>
          <w:lang w:val="en-GB"/>
        </w:rPr>
        <w:t>Darfurian</w:t>
      </w:r>
      <w:proofErr w:type="spellEnd"/>
      <w:r w:rsidR="00433875" w:rsidRPr="009E1C5C">
        <w:rPr>
          <w:rFonts w:ascii="Book Antiqua" w:hAnsi="Book Antiqua"/>
          <w:lang w:val="en-GB"/>
        </w:rPr>
        <w:t xml:space="preserve">. Her determination was upheld by the Upper Tribunal in November 2005.  </w:t>
      </w:r>
    </w:p>
    <w:p w:rsidR="00433875" w:rsidRPr="009E1C5C" w:rsidRDefault="00433875" w:rsidP="00433875">
      <w:pPr>
        <w:ind w:left="720"/>
        <w:jc w:val="both"/>
        <w:rPr>
          <w:rFonts w:ascii="Book Antiqua" w:hAnsi="Book Antiqua"/>
          <w:b/>
          <w:bCs/>
          <w:lang w:val="en-GB"/>
        </w:rPr>
      </w:pPr>
    </w:p>
    <w:p w:rsidR="00433875" w:rsidRPr="009E1C5C" w:rsidRDefault="00433875" w:rsidP="005565E0">
      <w:pPr>
        <w:numPr>
          <w:ilvl w:val="0"/>
          <w:numId w:val="1"/>
        </w:numPr>
        <w:ind w:left="720" w:hanging="720"/>
        <w:jc w:val="both"/>
        <w:rPr>
          <w:rFonts w:ascii="Book Antiqua" w:hAnsi="Book Antiqua"/>
          <w:b/>
          <w:bCs/>
          <w:lang w:val="en-GB"/>
        </w:rPr>
      </w:pPr>
      <w:r w:rsidRPr="009E1C5C">
        <w:rPr>
          <w:rFonts w:ascii="Book Antiqua" w:hAnsi="Book Antiqua"/>
          <w:lang w:val="en-GB"/>
        </w:rPr>
        <w:t xml:space="preserve"> </w:t>
      </w:r>
      <w:r w:rsidRPr="009E1C5C">
        <w:rPr>
          <w:rFonts w:ascii="Book Antiqua" w:hAnsi="Book Antiqua"/>
          <w:lang w:val="en-GB"/>
        </w:rPr>
        <w:tab/>
        <w:t xml:space="preserve">The appellant did not embark and on 30 September 2009 his representatives made further submissions. On 9 December 2009, the appellant was granted indefinite leave to remain. </w:t>
      </w:r>
    </w:p>
    <w:p w:rsidR="00433875" w:rsidRPr="009E1C5C" w:rsidRDefault="00433875" w:rsidP="00433875">
      <w:pPr>
        <w:pStyle w:val="ListParagraph"/>
        <w:rPr>
          <w:rFonts w:ascii="Book Antiqua" w:hAnsi="Book Antiqua"/>
          <w:b/>
          <w:bCs/>
          <w:lang w:val="en-GB"/>
        </w:rPr>
      </w:pPr>
    </w:p>
    <w:p w:rsidR="009F0650" w:rsidRPr="009E1C5C" w:rsidRDefault="00433875" w:rsidP="005565E0">
      <w:pPr>
        <w:numPr>
          <w:ilvl w:val="0"/>
          <w:numId w:val="1"/>
        </w:numPr>
        <w:ind w:left="720" w:hanging="720"/>
        <w:jc w:val="both"/>
        <w:rPr>
          <w:rFonts w:ascii="Book Antiqua" w:hAnsi="Book Antiqua"/>
          <w:bCs/>
          <w:lang w:val="en-GB"/>
        </w:rPr>
      </w:pPr>
      <w:r w:rsidRPr="009E1C5C">
        <w:rPr>
          <w:rFonts w:ascii="Book Antiqua" w:hAnsi="Book Antiqua"/>
          <w:b/>
          <w:bCs/>
          <w:lang w:val="en-GB"/>
        </w:rPr>
        <w:t xml:space="preserve"> </w:t>
      </w:r>
      <w:r w:rsidRPr="009E1C5C">
        <w:rPr>
          <w:rFonts w:ascii="Book Antiqua" w:hAnsi="Book Antiqua"/>
          <w:b/>
          <w:bCs/>
          <w:lang w:val="en-GB"/>
        </w:rPr>
        <w:tab/>
      </w:r>
      <w:r w:rsidRPr="009E1C5C">
        <w:rPr>
          <w:rFonts w:ascii="Book Antiqua" w:hAnsi="Book Antiqua"/>
          <w:bCs/>
          <w:lang w:val="en-GB"/>
        </w:rPr>
        <w:t xml:space="preserve">On 16 September 2013 the appellant was convicted of attempted rape </w:t>
      </w:r>
      <w:r w:rsidR="009F0650" w:rsidRPr="009E1C5C">
        <w:rPr>
          <w:rFonts w:ascii="Book Antiqua" w:hAnsi="Book Antiqua"/>
          <w:bCs/>
          <w:lang w:val="en-GB"/>
        </w:rPr>
        <w:t xml:space="preserve">on a </w:t>
      </w:r>
      <w:r w:rsidR="00EB6898" w:rsidRPr="009E1C5C">
        <w:rPr>
          <w:rFonts w:ascii="Book Antiqua" w:hAnsi="Book Antiqua"/>
          <w:bCs/>
          <w:lang w:val="en-GB"/>
        </w:rPr>
        <w:t xml:space="preserve">Lithuanian </w:t>
      </w:r>
      <w:r w:rsidR="009F0650" w:rsidRPr="009E1C5C">
        <w:rPr>
          <w:rFonts w:ascii="Book Antiqua" w:hAnsi="Book Antiqua"/>
          <w:bCs/>
          <w:lang w:val="en-GB"/>
        </w:rPr>
        <w:t xml:space="preserve">woman </w:t>
      </w:r>
      <w:r w:rsidRPr="009E1C5C">
        <w:rPr>
          <w:rFonts w:ascii="Book Antiqua" w:hAnsi="Book Antiqua"/>
          <w:bCs/>
          <w:lang w:val="en-GB"/>
        </w:rPr>
        <w:t xml:space="preserve">following a </w:t>
      </w:r>
      <w:r w:rsidR="009F0650" w:rsidRPr="009E1C5C">
        <w:rPr>
          <w:rFonts w:ascii="Book Antiqua" w:hAnsi="Book Antiqua"/>
          <w:bCs/>
          <w:lang w:val="en-GB"/>
        </w:rPr>
        <w:t>not guilty plea and a week</w:t>
      </w:r>
      <w:r w:rsidR="00EB6898" w:rsidRPr="009E1C5C">
        <w:rPr>
          <w:rFonts w:ascii="Book Antiqua" w:hAnsi="Book Antiqua"/>
          <w:bCs/>
          <w:lang w:val="en-GB"/>
        </w:rPr>
        <w:t>-</w:t>
      </w:r>
      <w:r w:rsidR="009F0650" w:rsidRPr="009E1C5C">
        <w:rPr>
          <w:rFonts w:ascii="Book Antiqua" w:hAnsi="Book Antiqua"/>
          <w:bCs/>
          <w:lang w:val="en-GB"/>
        </w:rPr>
        <w:t xml:space="preserve">long trial. She had been walking to work in the early hours of the morning and the appellant had attacked her </w:t>
      </w:r>
      <w:r w:rsidR="00EB6898" w:rsidRPr="009E1C5C">
        <w:rPr>
          <w:rFonts w:ascii="Book Antiqua" w:hAnsi="Book Antiqua"/>
          <w:bCs/>
          <w:lang w:val="en-GB"/>
        </w:rPr>
        <w:t>against a wall in a deserted street</w:t>
      </w:r>
      <w:r w:rsidR="009F0650" w:rsidRPr="009E1C5C">
        <w:rPr>
          <w:rFonts w:ascii="Book Antiqua" w:hAnsi="Book Antiqua"/>
          <w:bCs/>
          <w:lang w:val="en-GB"/>
        </w:rPr>
        <w:t xml:space="preserve"> and used a weapon to threaten her. He received a prison sentence of eight years and </w:t>
      </w:r>
      <w:proofErr w:type="gramStart"/>
      <w:r w:rsidR="009F0650" w:rsidRPr="009E1C5C">
        <w:rPr>
          <w:rFonts w:ascii="Book Antiqua" w:hAnsi="Book Antiqua"/>
          <w:bCs/>
          <w:lang w:val="en-GB"/>
        </w:rPr>
        <w:t>has to</w:t>
      </w:r>
      <w:proofErr w:type="gramEnd"/>
      <w:r w:rsidR="009F0650" w:rsidRPr="009E1C5C">
        <w:rPr>
          <w:rFonts w:ascii="Book Antiqua" w:hAnsi="Book Antiqua"/>
          <w:bCs/>
          <w:lang w:val="en-GB"/>
        </w:rPr>
        <w:t xml:space="preserve"> register on the Sex Offenders Register indefinitely. </w:t>
      </w:r>
    </w:p>
    <w:p w:rsidR="009F0650" w:rsidRPr="009E1C5C" w:rsidRDefault="009F0650" w:rsidP="009F0650">
      <w:pPr>
        <w:pStyle w:val="ListParagraph"/>
        <w:rPr>
          <w:rFonts w:ascii="Book Antiqua" w:hAnsi="Book Antiqua"/>
          <w:bCs/>
          <w:lang w:val="en-GB"/>
        </w:rPr>
      </w:pPr>
    </w:p>
    <w:p w:rsidR="00433875" w:rsidRPr="009E1C5C" w:rsidRDefault="009F0650" w:rsidP="005565E0">
      <w:pPr>
        <w:numPr>
          <w:ilvl w:val="0"/>
          <w:numId w:val="1"/>
        </w:numPr>
        <w:ind w:left="720" w:hanging="720"/>
        <w:jc w:val="both"/>
        <w:rPr>
          <w:rFonts w:ascii="Book Antiqua" w:hAnsi="Book Antiqua"/>
          <w:bCs/>
          <w:lang w:val="en-GB"/>
        </w:rPr>
      </w:pPr>
      <w:r w:rsidRPr="009E1C5C">
        <w:rPr>
          <w:rFonts w:ascii="Book Antiqua" w:hAnsi="Book Antiqua"/>
          <w:bCs/>
          <w:lang w:val="en-GB"/>
        </w:rPr>
        <w:t xml:space="preserve"> </w:t>
      </w:r>
      <w:r w:rsidRPr="009E1C5C">
        <w:rPr>
          <w:rFonts w:ascii="Book Antiqua" w:hAnsi="Book Antiqua"/>
          <w:bCs/>
          <w:lang w:val="en-GB"/>
        </w:rPr>
        <w:tab/>
        <w:t xml:space="preserve">Consequently, the respondent made a deportation order in accordance with s.35(2) of the UK Borders Act 2007. The appellant appealed on asylum grounds. His appeal came before First-tier Tribunal Judge L K Gibbs at Harmondsworth on 16 April 2018 and was dismissed by way of a determination promulgated on 18 April 2018. The appellant sought permission to appeal and this was granted by Judge Campbell on 3 May 2018. </w:t>
      </w:r>
    </w:p>
    <w:p w:rsidR="009F0650" w:rsidRPr="009E1C5C" w:rsidRDefault="009F0650" w:rsidP="009F0650">
      <w:pPr>
        <w:pStyle w:val="ListParagraph"/>
        <w:rPr>
          <w:rFonts w:ascii="Book Antiqua" w:hAnsi="Book Antiqua"/>
          <w:bCs/>
          <w:lang w:val="en-GB"/>
        </w:rPr>
      </w:pPr>
    </w:p>
    <w:p w:rsidR="009F0650" w:rsidRPr="009E1C5C" w:rsidRDefault="009F0650" w:rsidP="005565E0">
      <w:pPr>
        <w:numPr>
          <w:ilvl w:val="0"/>
          <w:numId w:val="1"/>
        </w:numPr>
        <w:ind w:left="720" w:hanging="720"/>
        <w:jc w:val="both"/>
        <w:rPr>
          <w:rFonts w:ascii="Book Antiqua" w:hAnsi="Book Antiqua"/>
          <w:bCs/>
          <w:lang w:val="en-GB"/>
        </w:rPr>
      </w:pPr>
      <w:r w:rsidRPr="009E1C5C">
        <w:rPr>
          <w:rFonts w:ascii="Book Antiqua" w:hAnsi="Book Antiqua"/>
          <w:bCs/>
          <w:lang w:val="en-GB"/>
        </w:rPr>
        <w:t xml:space="preserve"> </w:t>
      </w:r>
      <w:r w:rsidRPr="009E1C5C">
        <w:rPr>
          <w:rFonts w:ascii="Book Antiqua" w:hAnsi="Book Antiqua"/>
          <w:bCs/>
          <w:lang w:val="en-GB"/>
        </w:rPr>
        <w:tab/>
        <w:t>The matter then came before me on 28 June 2018.</w:t>
      </w:r>
    </w:p>
    <w:p w:rsidR="005565E0" w:rsidRPr="009E1C5C" w:rsidRDefault="005565E0" w:rsidP="005565E0">
      <w:pPr>
        <w:jc w:val="both"/>
        <w:rPr>
          <w:rFonts w:ascii="Book Antiqua" w:hAnsi="Book Antiqua"/>
          <w:b/>
          <w:bCs/>
          <w:lang w:val="en-GB"/>
        </w:rPr>
      </w:pPr>
    </w:p>
    <w:p w:rsidR="005565E0" w:rsidRPr="009E1C5C" w:rsidRDefault="005565E0" w:rsidP="005565E0">
      <w:pPr>
        <w:jc w:val="both"/>
        <w:rPr>
          <w:rFonts w:ascii="Book Antiqua" w:hAnsi="Book Antiqua"/>
          <w:b/>
          <w:lang w:val="en-GB"/>
        </w:rPr>
      </w:pPr>
      <w:r w:rsidRPr="009E1C5C">
        <w:rPr>
          <w:rFonts w:ascii="Book Antiqua" w:hAnsi="Book Antiqua"/>
          <w:b/>
          <w:lang w:val="en-GB"/>
        </w:rPr>
        <w:t xml:space="preserve">Appeal hearing </w:t>
      </w:r>
    </w:p>
    <w:p w:rsidR="005565E0" w:rsidRPr="009E1C5C" w:rsidRDefault="005565E0" w:rsidP="005565E0">
      <w:pPr>
        <w:jc w:val="both"/>
        <w:rPr>
          <w:rFonts w:ascii="Book Antiqua" w:hAnsi="Book Antiqua"/>
          <w:lang w:val="en-GB"/>
        </w:rPr>
      </w:pP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At the hearing, I heard submissions from the parties.  The appellant was present.</w:t>
      </w:r>
      <w:r w:rsidR="009F0650" w:rsidRPr="009E1C5C">
        <w:rPr>
          <w:rFonts w:ascii="Book Antiqua" w:hAnsi="Book Antiqua"/>
          <w:lang w:val="en-GB"/>
        </w:rPr>
        <w:t xml:space="preserve"> I was told that he had been released on 19 April 2017.</w:t>
      </w:r>
      <w:r w:rsidRPr="009E1C5C">
        <w:rPr>
          <w:rFonts w:ascii="Book Antiqua" w:hAnsi="Book Antiqua"/>
          <w:lang w:val="en-GB"/>
        </w:rPr>
        <w:t xml:space="preserve"> </w:t>
      </w:r>
    </w:p>
    <w:p w:rsidR="005565E0" w:rsidRPr="009E1C5C" w:rsidRDefault="005565E0" w:rsidP="005565E0">
      <w:pPr>
        <w:jc w:val="both"/>
        <w:rPr>
          <w:rFonts w:ascii="Book Antiqua" w:hAnsi="Book Antiqua"/>
          <w:lang w:val="en-GB"/>
        </w:rPr>
      </w:pPr>
    </w:p>
    <w:p w:rsidR="00C965A9"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r>
      <w:r w:rsidR="009F0650" w:rsidRPr="009E1C5C">
        <w:rPr>
          <w:rFonts w:ascii="Book Antiqua" w:hAnsi="Book Antiqua"/>
          <w:lang w:val="en-GB"/>
        </w:rPr>
        <w:t xml:space="preserve">Ms McCarthy relied on the four grounds for permission. She submitted that the judge had given inadequate reasons for rejecting the medical report of Dr Cohen, that there was no inconsistency between Dr Cohen’s report and </w:t>
      </w:r>
      <w:r w:rsidR="00C965A9" w:rsidRPr="009E1C5C">
        <w:rPr>
          <w:rFonts w:ascii="Book Antiqua" w:hAnsi="Book Antiqua"/>
          <w:lang w:val="en-GB"/>
        </w:rPr>
        <w:t>Ms Davies’ report on the</w:t>
      </w:r>
      <w:r w:rsidR="009F0650" w:rsidRPr="009E1C5C">
        <w:rPr>
          <w:rFonts w:ascii="Book Antiqua" w:hAnsi="Book Antiqua"/>
          <w:lang w:val="en-GB"/>
        </w:rPr>
        <w:t xml:space="preserve"> issue of memory loss</w:t>
      </w:r>
      <w:r w:rsidR="00C965A9" w:rsidRPr="009E1C5C">
        <w:rPr>
          <w:rFonts w:ascii="Book Antiqua" w:hAnsi="Book Antiqua"/>
          <w:lang w:val="en-GB"/>
        </w:rPr>
        <w:t xml:space="preserve"> and that it had not been open t</w:t>
      </w:r>
      <w:r w:rsidR="00273038">
        <w:rPr>
          <w:rFonts w:ascii="Book Antiqua" w:hAnsi="Book Antiqua"/>
          <w:lang w:val="en-GB"/>
        </w:rPr>
        <w:t>o</w:t>
      </w:r>
      <w:r w:rsidR="00C965A9" w:rsidRPr="009E1C5C">
        <w:rPr>
          <w:rFonts w:ascii="Book Antiqua" w:hAnsi="Book Antiqua"/>
          <w:lang w:val="en-GB"/>
        </w:rPr>
        <w:t xml:space="preserve"> the judge to raise the new issue of injuries self-inflicted by proxy without putting it to the appellant first. </w:t>
      </w:r>
      <w:r w:rsidR="009F0650" w:rsidRPr="009E1C5C">
        <w:rPr>
          <w:rFonts w:ascii="Book Antiqua" w:hAnsi="Book Antiqua"/>
          <w:lang w:val="en-GB"/>
        </w:rPr>
        <w:t xml:space="preserve"> </w:t>
      </w:r>
      <w:r w:rsidR="00C965A9" w:rsidRPr="009E1C5C">
        <w:rPr>
          <w:rFonts w:ascii="Book Antiqua" w:hAnsi="Book Antiqua"/>
          <w:lang w:val="en-GB"/>
        </w:rPr>
        <w:t xml:space="preserve">Secondly, she maintained that the judge’s approach to the credibility of the claim was flawed in respect of the appellant’s presence at political meetings held by his father. Thirdly, the judge had been wrong to have rejected the claim that indefinite leave to </w:t>
      </w:r>
      <w:r w:rsidR="00C965A9" w:rsidRPr="009E1C5C">
        <w:rPr>
          <w:rFonts w:ascii="Book Antiqua" w:hAnsi="Book Antiqua"/>
          <w:lang w:val="en-GB"/>
        </w:rPr>
        <w:lastRenderedPageBreak/>
        <w:t xml:space="preserve">remain had been granted </w:t>
      </w:r>
      <w:proofErr w:type="gramStart"/>
      <w:r w:rsidR="00C965A9" w:rsidRPr="009E1C5C">
        <w:rPr>
          <w:rFonts w:ascii="Book Antiqua" w:hAnsi="Book Antiqua"/>
          <w:lang w:val="en-GB"/>
        </w:rPr>
        <w:t>on the basis of</w:t>
      </w:r>
      <w:proofErr w:type="gramEnd"/>
      <w:r w:rsidR="00C965A9" w:rsidRPr="009E1C5C">
        <w:rPr>
          <w:rFonts w:ascii="Book Antiqua" w:hAnsi="Book Antiqua"/>
          <w:lang w:val="en-GB"/>
        </w:rPr>
        <w:t xml:space="preserve"> the respondent’s acceptance of the appellant’s ethnicity because there was no other basis on which the respondent could have granted leave. Finally, Ms McCarthy submitted that the judge had erred in her approach to the oral evidence of the witnesses. They had all confirmed the appellant’s ethnicity and the judge had erred when she rejected their evidence due to her findings on the appellant. she submitted that none of the findings were sustainable and the appeal should be remitted to the First-tier Tribunal for a fresh hearing. </w:t>
      </w:r>
    </w:p>
    <w:p w:rsidR="00C965A9" w:rsidRPr="009E1C5C" w:rsidRDefault="00C965A9" w:rsidP="00C965A9">
      <w:pPr>
        <w:ind w:left="720"/>
        <w:jc w:val="both"/>
        <w:rPr>
          <w:rFonts w:ascii="Book Antiqua" w:hAnsi="Book Antiqua"/>
          <w:lang w:val="en-GB"/>
        </w:rPr>
      </w:pPr>
    </w:p>
    <w:p w:rsidR="005565E0" w:rsidRPr="009E1C5C" w:rsidRDefault="00C965A9"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In response, Mr </w:t>
      </w:r>
      <w:proofErr w:type="spellStart"/>
      <w:r w:rsidRPr="009E1C5C">
        <w:rPr>
          <w:rFonts w:ascii="Book Antiqua" w:hAnsi="Book Antiqua"/>
          <w:lang w:val="en-GB"/>
        </w:rPr>
        <w:t>Tufan</w:t>
      </w:r>
      <w:proofErr w:type="spellEnd"/>
      <w:r w:rsidRPr="009E1C5C">
        <w:rPr>
          <w:rFonts w:ascii="Book Antiqua" w:hAnsi="Book Antiqua"/>
          <w:lang w:val="en-GB"/>
        </w:rPr>
        <w:t xml:space="preserve"> submitted that judges were not obliged to accept the contents of a medical report. He pointed out that the judge had given reasons for rejecting the report. </w:t>
      </w:r>
      <w:r w:rsidR="009F0650" w:rsidRPr="009E1C5C">
        <w:rPr>
          <w:rFonts w:ascii="Book Antiqua" w:hAnsi="Book Antiqua"/>
          <w:lang w:val="en-GB"/>
        </w:rPr>
        <w:t xml:space="preserve"> </w:t>
      </w:r>
      <w:r w:rsidRPr="009E1C5C">
        <w:rPr>
          <w:rFonts w:ascii="Book Antiqua" w:hAnsi="Book Antiqua"/>
          <w:lang w:val="en-GB"/>
        </w:rPr>
        <w:t xml:space="preserve">He submitted that there had been a previous appeal before the First-tier Tribunal, the Upper Tribunal and the Court of Appeal and all had been unsuccessful. The judge was entitled to take as her starting point the finding that the appellant was not of the </w:t>
      </w:r>
      <w:proofErr w:type="spellStart"/>
      <w:r w:rsidRPr="009E1C5C">
        <w:rPr>
          <w:rFonts w:ascii="Book Antiqua" w:hAnsi="Book Antiqua"/>
          <w:lang w:val="en-GB"/>
        </w:rPr>
        <w:t>Berti</w:t>
      </w:r>
      <w:proofErr w:type="spellEnd"/>
      <w:r w:rsidRPr="009E1C5C">
        <w:rPr>
          <w:rFonts w:ascii="Book Antiqua" w:hAnsi="Book Antiqua"/>
          <w:lang w:val="en-GB"/>
        </w:rPr>
        <w:t xml:space="preserve"> tribe. The grant of leave had been under the Legacy programme as the appellant was someone who had claimed asylum and had not been removed. Anyone in his position was granted leave, barring any criminality and at that time the appellant had not committed the offence for which he was later convicted. He had committed a serious crime and that led to the deportation decision. the judge had considered all the evidence including the evidence of the witnesses</w:t>
      </w:r>
      <w:r w:rsidR="006504FE" w:rsidRPr="009E1C5C">
        <w:rPr>
          <w:rFonts w:ascii="Book Antiqua" w:hAnsi="Book Antiqua"/>
          <w:lang w:val="en-GB"/>
        </w:rPr>
        <w:t xml:space="preserve"> and there were no errors in her determination. </w:t>
      </w:r>
    </w:p>
    <w:p w:rsidR="005565E0" w:rsidRPr="009E1C5C" w:rsidRDefault="005565E0" w:rsidP="005565E0">
      <w:pPr>
        <w:pStyle w:val="ListParagraph"/>
        <w:rPr>
          <w:rFonts w:ascii="Book Antiqua" w:hAnsi="Book Antiqua"/>
          <w:lang w:val="en-GB"/>
        </w:rPr>
      </w:pP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r>
      <w:r w:rsidR="00AF26F4" w:rsidRPr="009E1C5C">
        <w:rPr>
          <w:rFonts w:ascii="Book Antiqua" w:hAnsi="Book Antiqua"/>
          <w:lang w:val="en-GB"/>
        </w:rPr>
        <w:t>Ms McCarthy replied. She submitted that the issue was not just the appellant’s ethnicity but also the events in Darfur. The medical report had addressed all possible causes of scarring and had also considered the possibility of self</w:t>
      </w:r>
      <w:r w:rsidR="005B2079" w:rsidRPr="009E1C5C">
        <w:rPr>
          <w:rFonts w:ascii="Book Antiqua" w:hAnsi="Book Antiqua"/>
          <w:lang w:val="en-GB"/>
        </w:rPr>
        <w:t>-</w:t>
      </w:r>
      <w:r w:rsidR="00AF26F4" w:rsidRPr="009E1C5C">
        <w:rPr>
          <w:rFonts w:ascii="Book Antiqua" w:hAnsi="Book Antiqua"/>
          <w:lang w:val="en-GB"/>
        </w:rPr>
        <w:t xml:space="preserve">affliction. The grant of indefinite leave to remain from the respondent stated that this was due to his length of residence and compassionate circumstances. As the only circumstances known to the respondent were those included in the representations, the grant had to have been on the basis that it was accepted he was from the </w:t>
      </w:r>
      <w:proofErr w:type="spellStart"/>
      <w:r w:rsidR="00AF26F4" w:rsidRPr="009E1C5C">
        <w:rPr>
          <w:rFonts w:ascii="Book Antiqua" w:hAnsi="Book Antiqua"/>
          <w:lang w:val="en-GB"/>
        </w:rPr>
        <w:t>Berti</w:t>
      </w:r>
      <w:proofErr w:type="spellEnd"/>
      <w:r w:rsidR="00AF26F4" w:rsidRPr="009E1C5C">
        <w:rPr>
          <w:rFonts w:ascii="Book Antiqua" w:hAnsi="Book Antiqua"/>
          <w:lang w:val="en-GB"/>
        </w:rPr>
        <w:t xml:space="preserve"> tribe. </w:t>
      </w:r>
      <w:r w:rsidRPr="009E1C5C">
        <w:rPr>
          <w:rFonts w:ascii="Book Antiqua" w:hAnsi="Book Antiqua"/>
          <w:lang w:val="en-GB"/>
        </w:rPr>
        <w:t xml:space="preserve"> </w:t>
      </w:r>
    </w:p>
    <w:p w:rsidR="005565E0" w:rsidRPr="009E1C5C" w:rsidRDefault="005565E0" w:rsidP="005565E0">
      <w:pPr>
        <w:pStyle w:val="ListParagraph"/>
        <w:rPr>
          <w:rFonts w:ascii="Book Antiqua" w:hAnsi="Book Antiqua"/>
          <w:lang w:val="en-GB"/>
        </w:rPr>
      </w:pP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That completed the submissions. </w:t>
      </w:r>
      <w:r w:rsidR="00AF26F4" w:rsidRPr="009E1C5C">
        <w:rPr>
          <w:rFonts w:ascii="Book Antiqua" w:hAnsi="Book Antiqua"/>
          <w:lang w:val="en-GB"/>
        </w:rPr>
        <w:t xml:space="preserve">I should add here that Mr </w:t>
      </w:r>
      <w:proofErr w:type="spellStart"/>
      <w:r w:rsidR="00AF26F4" w:rsidRPr="009E1C5C">
        <w:rPr>
          <w:rFonts w:ascii="Book Antiqua" w:hAnsi="Book Antiqua"/>
          <w:lang w:val="en-GB"/>
        </w:rPr>
        <w:t>Tufan</w:t>
      </w:r>
      <w:proofErr w:type="spellEnd"/>
      <w:r w:rsidR="00AF26F4" w:rsidRPr="009E1C5C">
        <w:rPr>
          <w:rFonts w:ascii="Book Antiqua" w:hAnsi="Book Antiqua"/>
          <w:lang w:val="en-GB"/>
        </w:rPr>
        <w:t xml:space="preserve"> submitted the respondent’s caseworker check sheet and CID case note when Ms McCarthy was making her submissions on the ILR issue. He clarified that he had meant to give the documents to her earlier but had not seen her and omitted to do so thereafter. Ms McCarthy asked me to note her dissatisfaction with the late submission of the documents. I offered her time to consider them but she did not take up my offer. </w:t>
      </w:r>
      <w:proofErr w:type="gramStart"/>
      <w:r w:rsidRPr="009E1C5C">
        <w:rPr>
          <w:rFonts w:ascii="Book Antiqua" w:hAnsi="Book Antiqua"/>
          <w:lang w:val="en-GB"/>
        </w:rPr>
        <w:t>At the conclusion of</w:t>
      </w:r>
      <w:proofErr w:type="gramEnd"/>
      <w:r w:rsidRPr="009E1C5C">
        <w:rPr>
          <w:rFonts w:ascii="Book Antiqua" w:hAnsi="Book Antiqua"/>
          <w:lang w:val="en-GB"/>
        </w:rPr>
        <w:t xml:space="preserve"> the hearing</w:t>
      </w:r>
      <w:r w:rsidR="005B2079" w:rsidRPr="009E1C5C">
        <w:rPr>
          <w:rFonts w:ascii="Book Antiqua" w:hAnsi="Book Antiqua"/>
          <w:lang w:val="en-GB"/>
        </w:rPr>
        <w:t>,</w:t>
      </w:r>
      <w:r w:rsidRPr="009E1C5C">
        <w:rPr>
          <w:rFonts w:ascii="Book Antiqua" w:hAnsi="Book Antiqua"/>
          <w:lang w:val="en-GB"/>
        </w:rPr>
        <w:t xml:space="preserve"> I reserved my determination which I now give with reasons. </w:t>
      </w:r>
    </w:p>
    <w:p w:rsidR="005565E0" w:rsidRPr="009E1C5C" w:rsidRDefault="005565E0" w:rsidP="005565E0">
      <w:pPr>
        <w:ind w:left="720"/>
        <w:jc w:val="both"/>
        <w:rPr>
          <w:rFonts w:ascii="Book Antiqua" w:hAnsi="Book Antiqua"/>
          <w:lang w:val="en-GB"/>
        </w:rPr>
      </w:pPr>
    </w:p>
    <w:p w:rsidR="00273038" w:rsidRDefault="00273038" w:rsidP="005565E0">
      <w:pPr>
        <w:jc w:val="both"/>
        <w:rPr>
          <w:rFonts w:ascii="Book Antiqua" w:hAnsi="Book Antiqua"/>
          <w:b/>
          <w:lang w:val="en-GB"/>
        </w:rPr>
      </w:pPr>
    </w:p>
    <w:p w:rsidR="00273038" w:rsidRDefault="00273038" w:rsidP="005565E0">
      <w:pPr>
        <w:jc w:val="both"/>
        <w:rPr>
          <w:rFonts w:ascii="Book Antiqua" w:hAnsi="Book Antiqua"/>
          <w:b/>
          <w:lang w:val="en-GB"/>
        </w:rPr>
      </w:pPr>
    </w:p>
    <w:p w:rsidR="00273038" w:rsidRDefault="00273038" w:rsidP="005565E0">
      <w:pPr>
        <w:jc w:val="both"/>
        <w:rPr>
          <w:rFonts w:ascii="Book Antiqua" w:hAnsi="Book Antiqua"/>
          <w:b/>
          <w:lang w:val="en-GB"/>
        </w:rPr>
      </w:pPr>
    </w:p>
    <w:p w:rsidR="005565E0" w:rsidRPr="009E1C5C" w:rsidRDefault="005565E0" w:rsidP="005565E0">
      <w:pPr>
        <w:jc w:val="both"/>
        <w:rPr>
          <w:rFonts w:ascii="Book Antiqua" w:hAnsi="Book Antiqua"/>
          <w:b/>
          <w:lang w:val="en-GB"/>
        </w:rPr>
      </w:pPr>
      <w:r w:rsidRPr="009E1C5C">
        <w:rPr>
          <w:rFonts w:ascii="Book Antiqua" w:hAnsi="Book Antiqua"/>
          <w:b/>
          <w:lang w:val="en-GB"/>
        </w:rPr>
        <w:lastRenderedPageBreak/>
        <w:t>Consideration</w:t>
      </w:r>
    </w:p>
    <w:p w:rsidR="005565E0" w:rsidRPr="009E1C5C" w:rsidRDefault="005565E0" w:rsidP="005565E0">
      <w:pPr>
        <w:jc w:val="both"/>
        <w:rPr>
          <w:rFonts w:ascii="Book Antiqua" w:hAnsi="Book Antiqua"/>
          <w:lang w:val="en-GB"/>
        </w:rPr>
      </w:pP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I have considered the oral and documentary evidence before me and the submissions made by the parties. </w:t>
      </w:r>
    </w:p>
    <w:p w:rsidR="005565E0" w:rsidRPr="009E1C5C" w:rsidRDefault="005565E0" w:rsidP="005565E0">
      <w:pPr>
        <w:jc w:val="both"/>
        <w:rPr>
          <w:rFonts w:ascii="Book Antiqua" w:hAnsi="Book Antiqua"/>
          <w:lang w:val="en-GB"/>
        </w:rPr>
      </w:pP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The judge’s findings and conclusions are contained at paragraphs </w:t>
      </w:r>
      <w:r w:rsidR="00AF26F4" w:rsidRPr="009E1C5C">
        <w:rPr>
          <w:rFonts w:ascii="Book Antiqua" w:hAnsi="Book Antiqua"/>
          <w:lang w:val="en-GB"/>
        </w:rPr>
        <w:t>18-47</w:t>
      </w:r>
      <w:r w:rsidRPr="009E1C5C">
        <w:rPr>
          <w:rFonts w:ascii="Book Antiqua" w:hAnsi="Book Antiqua"/>
          <w:lang w:val="en-GB"/>
        </w:rPr>
        <w:t xml:space="preserve"> of the determination. </w:t>
      </w:r>
      <w:r w:rsidR="00391FEA" w:rsidRPr="009E1C5C">
        <w:rPr>
          <w:rFonts w:ascii="Book Antiqua" w:hAnsi="Book Antiqua"/>
          <w:lang w:val="en-GB"/>
        </w:rPr>
        <w:t>It is not disputed that the appellant is a foreign criminal having received a lengthy eight</w:t>
      </w:r>
      <w:r w:rsidR="000F2430" w:rsidRPr="009E1C5C">
        <w:rPr>
          <w:rFonts w:ascii="Book Antiqua" w:hAnsi="Book Antiqua"/>
          <w:lang w:val="en-GB"/>
        </w:rPr>
        <w:t>-</w:t>
      </w:r>
      <w:r w:rsidR="00391FEA" w:rsidRPr="009E1C5C">
        <w:rPr>
          <w:rFonts w:ascii="Book Antiqua" w:hAnsi="Book Antiqua"/>
          <w:lang w:val="en-GB"/>
        </w:rPr>
        <w:t xml:space="preserve">year sentence for attempted rape </w:t>
      </w:r>
      <w:r w:rsidR="000F2430" w:rsidRPr="009E1C5C">
        <w:rPr>
          <w:rFonts w:ascii="Book Antiqua" w:hAnsi="Book Antiqua"/>
          <w:lang w:val="en-GB"/>
        </w:rPr>
        <w:t xml:space="preserve">and no issue is taken with the judge’s finding that he was unable to rebut the s.72 certificate because of his continued denial of culpability, lack of remorse, failure to address his offending behaviour and his continued attempts to blame the victim even after five years in prison (at 18-29).  It follows that the decision to dismiss the appeal on asylum grounds stands. </w:t>
      </w:r>
    </w:p>
    <w:p w:rsidR="005565E0" w:rsidRPr="009E1C5C" w:rsidRDefault="005565E0" w:rsidP="005565E0">
      <w:pPr>
        <w:jc w:val="both"/>
        <w:rPr>
          <w:rFonts w:ascii="Book Antiqua" w:hAnsi="Book Antiqua"/>
          <w:lang w:val="en-GB"/>
        </w:rPr>
      </w:pPr>
      <w:r w:rsidRPr="009E1C5C">
        <w:rPr>
          <w:rFonts w:ascii="Book Antiqua" w:hAnsi="Book Antiqua"/>
          <w:lang w:val="en-GB"/>
        </w:rPr>
        <w:t xml:space="preserve"> </w:t>
      </w: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r>
      <w:r w:rsidR="000F2430" w:rsidRPr="009E1C5C">
        <w:rPr>
          <w:rFonts w:ascii="Book Antiqua" w:hAnsi="Book Antiqua"/>
          <w:lang w:val="en-GB"/>
        </w:rPr>
        <w:t>The judge then proceeded to consider whether the appellant’s deportation would breach articles 2 or 3</w:t>
      </w:r>
      <w:r w:rsidRPr="009E1C5C">
        <w:rPr>
          <w:rFonts w:ascii="Book Antiqua" w:hAnsi="Book Antiqua"/>
          <w:lang w:val="en-GB"/>
        </w:rPr>
        <w:t>.</w:t>
      </w:r>
      <w:r w:rsidR="000F2430" w:rsidRPr="009E1C5C">
        <w:rPr>
          <w:rFonts w:ascii="Book Antiqua" w:hAnsi="Book Antiqua"/>
          <w:lang w:val="en-GB"/>
        </w:rPr>
        <w:t xml:space="preserve"> She deals first with the matter of the appellant’s ethnicity and the appellant has taken issue with her findings. The judge took the determination of Judge Pitt as her starting point. Judge Pitt </w:t>
      </w:r>
      <w:r w:rsidR="00AF2BC2" w:rsidRPr="009E1C5C">
        <w:rPr>
          <w:rFonts w:ascii="Book Antiqua" w:hAnsi="Book Antiqua"/>
          <w:lang w:val="en-GB"/>
        </w:rPr>
        <w:t xml:space="preserve">heard oral evidence from the appellant through an Arabic interpreter and </w:t>
      </w:r>
      <w:r w:rsidR="000F2430" w:rsidRPr="009E1C5C">
        <w:rPr>
          <w:rFonts w:ascii="Book Antiqua" w:hAnsi="Book Antiqua"/>
          <w:lang w:val="en-GB"/>
        </w:rPr>
        <w:t xml:space="preserve">made </w:t>
      </w:r>
      <w:r w:rsidR="00AF2BC2" w:rsidRPr="009E1C5C">
        <w:rPr>
          <w:rFonts w:ascii="Book Antiqua" w:hAnsi="Book Antiqua"/>
          <w:lang w:val="en-GB"/>
        </w:rPr>
        <w:t xml:space="preserve">several adverse credibility findings. She rejected the claim that he was from the </w:t>
      </w:r>
      <w:proofErr w:type="spellStart"/>
      <w:r w:rsidR="00AF2BC2" w:rsidRPr="009E1C5C">
        <w:rPr>
          <w:rFonts w:ascii="Book Antiqua" w:hAnsi="Book Antiqua"/>
          <w:lang w:val="en-GB"/>
        </w:rPr>
        <w:t>Berti</w:t>
      </w:r>
      <w:proofErr w:type="spellEnd"/>
      <w:r w:rsidR="00AF2BC2" w:rsidRPr="009E1C5C">
        <w:rPr>
          <w:rFonts w:ascii="Book Antiqua" w:hAnsi="Book Antiqua"/>
          <w:lang w:val="en-GB"/>
        </w:rPr>
        <w:t xml:space="preserve"> tribe</w:t>
      </w:r>
      <w:r w:rsidR="00AC69D0" w:rsidRPr="009E1C5C">
        <w:rPr>
          <w:rFonts w:ascii="Book Antiqua" w:hAnsi="Book Antiqua"/>
          <w:lang w:val="en-GB"/>
        </w:rPr>
        <w:t>, that he was Darfur</w:t>
      </w:r>
      <w:r w:rsidR="00AF2BC2" w:rsidRPr="009E1C5C">
        <w:rPr>
          <w:rFonts w:ascii="Book Antiqua" w:hAnsi="Book Antiqua"/>
          <w:lang w:val="en-GB"/>
        </w:rPr>
        <w:t>, that his father had been politically involved, that the appellant had been captured, held for five days without food or water tied to a tree, then tied to a horse for another five days with meagre food and water rations, shot in the head and suffered a broken shoulder yet manage</w:t>
      </w:r>
      <w:r w:rsidR="00AC69D0" w:rsidRPr="009E1C5C">
        <w:rPr>
          <w:rFonts w:ascii="Book Antiqua" w:hAnsi="Book Antiqua"/>
          <w:lang w:val="en-GB"/>
        </w:rPr>
        <w:t>d</w:t>
      </w:r>
      <w:r w:rsidR="00AF2BC2" w:rsidRPr="009E1C5C">
        <w:rPr>
          <w:rFonts w:ascii="Book Antiqua" w:hAnsi="Book Antiqua"/>
          <w:lang w:val="en-GB"/>
        </w:rPr>
        <w:t xml:space="preserve"> to escape from his abductors and run home. She rejected the claim that there had been three raids on his house and that each time he had managed to hide and noted that he had </w:t>
      </w:r>
      <w:r w:rsidR="00F7100E" w:rsidRPr="009E1C5C">
        <w:rPr>
          <w:rFonts w:ascii="Book Antiqua" w:hAnsi="Book Antiqua"/>
          <w:lang w:val="en-GB"/>
        </w:rPr>
        <w:t xml:space="preserve">made no mention of these raids in his statement. </w:t>
      </w:r>
      <w:r w:rsidR="00AC69D0" w:rsidRPr="009E1C5C">
        <w:rPr>
          <w:rFonts w:ascii="Book Antiqua" w:hAnsi="Book Antiqua"/>
          <w:lang w:val="en-GB"/>
        </w:rPr>
        <w:t xml:space="preserve">She found there was no evidence to support the appellant’s contention that he would be identifiable as a member of the </w:t>
      </w:r>
      <w:proofErr w:type="spellStart"/>
      <w:r w:rsidR="00AC69D0" w:rsidRPr="009E1C5C">
        <w:rPr>
          <w:rFonts w:ascii="Book Antiqua" w:hAnsi="Book Antiqua"/>
          <w:lang w:val="en-GB"/>
        </w:rPr>
        <w:t>Berti</w:t>
      </w:r>
      <w:proofErr w:type="spellEnd"/>
      <w:r w:rsidR="00AC69D0" w:rsidRPr="009E1C5C">
        <w:rPr>
          <w:rFonts w:ascii="Book Antiqua" w:hAnsi="Book Antiqua"/>
          <w:lang w:val="en-GB"/>
        </w:rPr>
        <w:t xml:space="preserve"> tribe by his accent, hair and tribal markings. She also concluded that he would not be at risk because of his sur place activities. </w:t>
      </w:r>
      <w:r w:rsidRPr="009E1C5C">
        <w:rPr>
          <w:rFonts w:ascii="Book Antiqua" w:hAnsi="Book Antiqua"/>
          <w:lang w:val="en-GB"/>
        </w:rPr>
        <w:t xml:space="preserve"> </w:t>
      </w:r>
      <w:r w:rsidR="00AC69D0" w:rsidRPr="009E1C5C">
        <w:rPr>
          <w:rFonts w:ascii="Book Antiqua" w:hAnsi="Book Antiqua"/>
          <w:lang w:val="en-GB"/>
        </w:rPr>
        <w:t xml:space="preserve">Neither or the last two points was relied on before Judge Gibbs. </w:t>
      </w:r>
    </w:p>
    <w:p w:rsidR="00AC69D0" w:rsidRPr="009E1C5C" w:rsidRDefault="00AC69D0" w:rsidP="00AC69D0">
      <w:pPr>
        <w:ind w:left="720"/>
        <w:jc w:val="both"/>
        <w:rPr>
          <w:rFonts w:ascii="Book Antiqua" w:hAnsi="Book Antiqua"/>
          <w:lang w:val="en-GB"/>
        </w:rPr>
      </w:pPr>
    </w:p>
    <w:p w:rsidR="00AC69D0" w:rsidRPr="009E1C5C" w:rsidRDefault="00AC69D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Reconsideration was granted in respect of Judge Pitt’s determination on two points; that it was the horse and not the appellant who had been shot, that the issue of ethnicity was not a live issue before her. the appeal was then heard by a panel of the Upper Tribunal chaired by Judge Gleeson on 7 November 2005. It was acknowledged that the statement had been unclear about the shooting and that a misunderstanding had arisen as a result but the Tribunal found that the single error did not negate all the other sustainable findings. </w:t>
      </w:r>
      <w:r w:rsidR="003374AF" w:rsidRPr="009E1C5C">
        <w:rPr>
          <w:rFonts w:ascii="Book Antiqua" w:hAnsi="Book Antiqua"/>
          <w:lang w:val="en-GB"/>
        </w:rPr>
        <w:t xml:space="preserve">The panel also noted that it had been open to </w:t>
      </w:r>
      <w:r w:rsidRPr="009E1C5C">
        <w:rPr>
          <w:rFonts w:ascii="Book Antiqua" w:hAnsi="Book Antiqua"/>
          <w:lang w:val="en-GB"/>
        </w:rPr>
        <w:t xml:space="preserve">Judge Pitt </w:t>
      </w:r>
      <w:r w:rsidR="003374AF" w:rsidRPr="009E1C5C">
        <w:rPr>
          <w:rFonts w:ascii="Book Antiqua" w:hAnsi="Book Antiqua"/>
          <w:lang w:val="en-GB"/>
        </w:rPr>
        <w:t xml:space="preserve">to make findings on the issue of ethnicity. The appellant then sought permission to appeal from the Court of Appeal and whilst that was granted on 19 May 2016 following an oral hearing, the appeal was dismissed on 11 </w:t>
      </w:r>
      <w:r w:rsidR="003374AF" w:rsidRPr="009E1C5C">
        <w:rPr>
          <w:rFonts w:ascii="Book Antiqua" w:hAnsi="Book Antiqua"/>
          <w:lang w:val="en-GB"/>
        </w:rPr>
        <w:lastRenderedPageBreak/>
        <w:t xml:space="preserve">June 2008 and the appellant was ordered to pay the respondent’s costs. The actual judgment has not been produced by either party. </w:t>
      </w:r>
    </w:p>
    <w:p w:rsidR="005565E0" w:rsidRPr="009E1C5C" w:rsidRDefault="005565E0" w:rsidP="005565E0">
      <w:pPr>
        <w:jc w:val="both"/>
        <w:rPr>
          <w:rFonts w:ascii="Book Antiqua" w:hAnsi="Book Antiqua"/>
          <w:lang w:val="en-GB"/>
        </w:rPr>
      </w:pPr>
    </w:p>
    <w:p w:rsidR="00E02A6F"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r>
      <w:r w:rsidR="003374AF" w:rsidRPr="009E1C5C">
        <w:rPr>
          <w:rFonts w:ascii="Book Antiqua" w:hAnsi="Book Antiqua"/>
          <w:lang w:val="en-GB"/>
        </w:rPr>
        <w:t xml:space="preserve">The point argued by the appellant is that Judge Gibbs was not entitled to rely on Judge Pitt’s negative findings because </w:t>
      </w:r>
      <w:proofErr w:type="gramStart"/>
      <w:r w:rsidR="003374AF" w:rsidRPr="009E1C5C">
        <w:rPr>
          <w:rFonts w:ascii="Book Antiqua" w:hAnsi="Book Antiqua"/>
          <w:lang w:val="en-GB"/>
        </w:rPr>
        <w:t>subsequent to</w:t>
      </w:r>
      <w:proofErr w:type="gramEnd"/>
      <w:r w:rsidR="003374AF" w:rsidRPr="009E1C5C">
        <w:rPr>
          <w:rFonts w:ascii="Book Antiqua" w:hAnsi="Book Antiqua"/>
          <w:lang w:val="en-GB"/>
        </w:rPr>
        <w:t xml:space="preserve"> that the appellant had been granted indefinite leave to remain and that this could only have been on the basis of the representations he had made to the respondent in September 2009. The difficulty for the appellant is that this submission is based on speculation. </w:t>
      </w:r>
      <w:r w:rsidRPr="009E1C5C">
        <w:rPr>
          <w:rFonts w:ascii="Book Antiqua" w:hAnsi="Book Antiqua"/>
          <w:lang w:val="en-GB"/>
        </w:rPr>
        <w:t xml:space="preserve"> </w:t>
      </w:r>
      <w:r w:rsidR="003374AF" w:rsidRPr="009E1C5C">
        <w:rPr>
          <w:rFonts w:ascii="Book Antiqua" w:hAnsi="Book Antiqua"/>
          <w:lang w:val="en-GB"/>
        </w:rPr>
        <w:t xml:space="preserve">The letter granting leave is dated 9 December 2009 and is included in the respondent’s appeal’s bundle. The relevant portion states: </w:t>
      </w:r>
      <w:r w:rsidR="003374AF" w:rsidRPr="009E1C5C">
        <w:rPr>
          <w:rFonts w:ascii="Book Antiqua" w:hAnsi="Book Antiqua"/>
          <w:i/>
          <w:lang w:val="en-GB"/>
        </w:rPr>
        <w:t>“Your case has been reviewed</w:t>
      </w:r>
      <w:r w:rsidR="00283ABC" w:rsidRPr="009E1C5C">
        <w:rPr>
          <w:rFonts w:ascii="Book Antiqua" w:hAnsi="Book Antiqua"/>
          <w:i/>
          <w:lang w:val="en-GB"/>
        </w:rPr>
        <w:t>”.</w:t>
      </w:r>
      <w:r w:rsidR="00283ABC" w:rsidRPr="009E1C5C">
        <w:rPr>
          <w:rFonts w:ascii="Book Antiqua" w:hAnsi="Book Antiqua"/>
          <w:lang w:val="en-GB"/>
        </w:rPr>
        <w:t xml:space="preserve"> According to the caseworker check sheet the decision was made by the Legacy Case Resolution Team after the appellant had withdrawn his further representations </w:t>
      </w:r>
      <w:proofErr w:type="gramStart"/>
      <w:r w:rsidR="00283ABC" w:rsidRPr="009E1C5C">
        <w:rPr>
          <w:rFonts w:ascii="Book Antiqua" w:hAnsi="Book Antiqua"/>
          <w:lang w:val="en-GB"/>
        </w:rPr>
        <w:t>in order for</w:t>
      </w:r>
      <w:proofErr w:type="gramEnd"/>
      <w:r w:rsidR="00283ABC" w:rsidRPr="009E1C5C">
        <w:rPr>
          <w:rFonts w:ascii="Book Antiqua" w:hAnsi="Book Antiqua"/>
          <w:lang w:val="en-GB"/>
        </w:rPr>
        <w:t xml:space="preserve"> the legacy decision to be made (see CID case notes). Regrettably</w:t>
      </w:r>
      <w:r w:rsidR="00E02A6F" w:rsidRPr="009E1C5C">
        <w:rPr>
          <w:rFonts w:ascii="Book Antiqua" w:hAnsi="Book Antiqua"/>
          <w:lang w:val="en-GB"/>
        </w:rPr>
        <w:t>,</w:t>
      </w:r>
      <w:r w:rsidR="00283ABC" w:rsidRPr="009E1C5C">
        <w:rPr>
          <w:rFonts w:ascii="Book Antiqua" w:hAnsi="Book Antiqua"/>
          <w:lang w:val="en-GB"/>
        </w:rPr>
        <w:t xml:space="preserve"> the appellant has failed to make any mention of this withdrawal </w:t>
      </w:r>
      <w:r w:rsidR="005B2079" w:rsidRPr="009E1C5C">
        <w:rPr>
          <w:rFonts w:ascii="Book Antiqua" w:hAnsi="Book Antiqua"/>
          <w:lang w:val="en-GB"/>
        </w:rPr>
        <w:t xml:space="preserve">in any of his statements or evidence </w:t>
      </w:r>
      <w:r w:rsidR="00283ABC" w:rsidRPr="009E1C5C">
        <w:rPr>
          <w:rFonts w:ascii="Book Antiqua" w:hAnsi="Book Antiqua"/>
          <w:lang w:val="en-GB"/>
        </w:rPr>
        <w:t xml:space="preserve">and subsequently changed representatives </w:t>
      </w:r>
      <w:r w:rsidR="00ED39AE" w:rsidRPr="009E1C5C">
        <w:rPr>
          <w:rFonts w:ascii="Book Antiqua" w:hAnsi="Book Antiqua"/>
          <w:lang w:val="en-GB"/>
        </w:rPr>
        <w:t xml:space="preserve">so it is not known whether his present representatives were even aware of this. </w:t>
      </w:r>
    </w:p>
    <w:p w:rsidR="00E02A6F" w:rsidRPr="009E1C5C" w:rsidRDefault="00E02A6F" w:rsidP="00E02A6F">
      <w:pPr>
        <w:pStyle w:val="ListParagraph"/>
        <w:rPr>
          <w:rFonts w:ascii="Book Antiqua" w:hAnsi="Book Antiqua"/>
          <w:lang w:val="en-GB"/>
        </w:rPr>
      </w:pPr>
    </w:p>
    <w:p w:rsidR="005565E0" w:rsidRDefault="00E02A6F"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T</w:t>
      </w:r>
      <w:r w:rsidR="00ED39AE" w:rsidRPr="009E1C5C">
        <w:rPr>
          <w:rFonts w:ascii="Book Antiqua" w:hAnsi="Book Antiqua"/>
          <w:lang w:val="en-GB"/>
        </w:rPr>
        <w:t xml:space="preserve">he letter continues: </w:t>
      </w:r>
      <w:r w:rsidR="00ED39AE" w:rsidRPr="009E1C5C">
        <w:rPr>
          <w:rFonts w:ascii="Book Antiqua" w:hAnsi="Book Antiqua"/>
          <w:i/>
          <w:lang w:val="en-GB"/>
        </w:rPr>
        <w:t>“…because of the individual circumstances of your case, it has been decided to grant you indefinite leave to remain…this leave has been grated exceptionally, outside the Immigration Rules. This is due to your length of residence…and compassionate circumstances”</w:t>
      </w:r>
      <w:r w:rsidR="00ED39AE" w:rsidRPr="009E1C5C">
        <w:rPr>
          <w:rFonts w:ascii="Book Antiqua" w:hAnsi="Book Antiqua"/>
          <w:lang w:val="en-GB"/>
        </w:rPr>
        <w:t xml:space="preserve">. Ms McCarthy placed heavy reliance on the last sentence </w:t>
      </w:r>
      <w:r w:rsidRPr="009E1C5C">
        <w:rPr>
          <w:rFonts w:ascii="Book Antiqua" w:hAnsi="Book Antiqua"/>
          <w:lang w:val="en-GB"/>
        </w:rPr>
        <w:t>and argued that the only information known to the respondent was the contents of the representations and that indefinite leave to remain must, therefore, have been granted on that basis. The difficulty with that submission is</w:t>
      </w:r>
      <w:r w:rsidR="008E794C" w:rsidRPr="009E1C5C">
        <w:rPr>
          <w:rFonts w:ascii="Book Antiqua" w:hAnsi="Book Antiqua"/>
          <w:lang w:val="en-GB"/>
        </w:rPr>
        <w:t xml:space="preserve"> that, as Mr </w:t>
      </w:r>
      <w:proofErr w:type="spellStart"/>
      <w:r w:rsidR="008E794C" w:rsidRPr="009E1C5C">
        <w:rPr>
          <w:rFonts w:ascii="Book Antiqua" w:hAnsi="Book Antiqua"/>
          <w:lang w:val="en-GB"/>
        </w:rPr>
        <w:t>Tufan</w:t>
      </w:r>
      <w:proofErr w:type="spellEnd"/>
      <w:r w:rsidR="008E794C" w:rsidRPr="009E1C5C">
        <w:rPr>
          <w:rFonts w:ascii="Book Antiqua" w:hAnsi="Book Antiqua"/>
          <w:lang w:val="en-GB"/>
        </w:rPr>
        <w:t xml:space="preserve"> argued,</w:t>
      </w:r>
      <w:r w:rsidRPr="009E1C5C">
        <w:rPr>
          <w:rFonts w:ascii="Book Antiqua" w:hAnsi="Book Antiqua"/>
          <w:lang w:val="en-GB"/>
        </w:rPr>
        <w:t xml:space="preserve"> the respondent </w:t>
      </w:r>
      <w:r w:rsidR="008E794C" w:rsidRPr="009E1C5C">
        <w:rPr>
          <w:rFonts w:ascii="Book Antiqua" w:hAnsi="Book Antiqua"/>
          <w:lang w:val="en-GB"/>
        </w:rPr>
        <w:t xml:space="preserve">would have granted refugee status if he </w:t>
      </w:r>
      <w:r w:rsidRPr="009E1C5C">
        <w:rPr>
          <w:rFonts w:ascii="Book Antiqua" w:hAnsi="Book Antiqua"/>
          <w:lang w:val="en-GB"/>
        </w:rPr>
        <w:t xml:space="preserve">had accepted the appellant’s claim. </w:t>
      </w:r>
      <w:r w:rsidR="008E794C" w:rsidRPr="009E1C5C">
        <w:rPr>
          <w:rFonts w:ascii="Book Antiqua" w:hAnsi="Book Antiqua"/>
          <w:lang w:val="en-GB"/>
        </w:rPr>
        <w:t>His rejection of it</w:t>
      </w:r>
      <w:r w:rsidRPr="009E1C5C">
        <w:rPr>
          <w:rFonts w:ascii="Book Antiqua" w:hAnsi="Book Antiqua"/>
          <w:lang w:val="en-GB"/>
        </w:rPr>
        <w:t xml:space="preserve"> is </w:t>
      </w:r>
      <w:r w:rsidR="008E794C" w:rsidRPr="009E1C5C">
        <w:rPr>
          <w:rFonts w:ascii="Book Antiqua" w:hAnsi="Book Antiqua"/>
          <w:lang w:val="en-GB"/>
        </w:rPr>
        <w:t xml:space="preserve">indeed </w:t>
      </w:r>
      <w:r w:rsidRPr="009E1C5C">
        <w:rPr>
          <w:rFonts w:ascii="Book Antiqua" w:hAnsi="Book Antiqua"/>
          <w:lang w:val="en-GB"/>
        </w:rPr>
        <w:t>reinforced by the contents of h</w:t>
      </w:r>
      <w:r w:rsidR="001D3B9C" w:rsidRPr="009E1C5C">
        <w:rPr>
          <w:rFonts w:ascii="Book Antiqua" w:hAnsi="Book Antiqua"/>
          <w:lang w:val="en-GB"/>
        </w:rPr>
        <w:t>is</w:t>
      </w:r>
      <w:r w:rsidRPr="009E1C5C">
        <w:rPr>
          <w:rFonts w:ascii="Book Antiqua" w:hAnsi="Book Antiqua"/>
          <w:lang w:val="en-GB"/>
        </w:rPr>
        <w:t xml:space="preserve"> letter of </w:t>
      </w:r>
      <w:r w:rsidR="001D3B9C" w:rsidRPr="009E1C5C">
        <w:rPr>
          <w:rFonts w:ascii="Book Antiqua" w:hAnsi="Book Antiqua"/>
          <w:lang w:val="en-GB"/>
        </w:rPr>
        <w:t>28 March 2017 refusing the appellant’s challenge to deportation. In that letter the respondent rejected the asylum claim</w:t>
      </w:r>
      <w:r w:rsidR="008E794C" w:rsidRPr="009E1C5C">
        <w:rPr>
          <w:rFonts w:ascii="Book Antiqua" w:hAnsi="Book Antiqua"/>
          <w:lang w:val="en-GB"/>
        </w:rPr>
        <w:t>,</w:t>
      </w:r>
      <w:r w:rsidR="001D3B9C" w:rsidRPr="009E1C5C">
        <w:rPr>
          <w:rFonts w:ascii="Book Antiqua" w:hAnsi="Book Antiqua"/>
          <w:lang w:val="en-GB"/>
        </w:rPr>
        <w:t xml:space="preserve"> as he had done in June 2004</w:t>
      </w:r>
      <w:r w:rsidR="008E794C" w:rsidRPr="009E1C5C">
        <w:rPr>
          <w:rFonts w:ascii="Book Antiqua" w:hAnsi="Book Antiqua"/>
          <w:lang w:val="en-GB"/>
        </w:rPr>
        <w:t>,</w:t>
      </w:r>
      <w:r w:rsidR="001D3B9C" w:rsidRPr="009E1C5C">
        <w:rPr>
          <w:rFonts w:ascii="Book Antiqua" w:hAnsi="Book Antiqua"/>
          <w:lang w:val="en-GB"/>
        </w:rPr>
        <w:t xml:space="preserve"> and placed reliance on Judge Pitt’s determination. Had the respondent granted indefinite leave to remain </w:t>
      </w:r>
      <w:proofErr w:type="gramStart"/>
      <w:r w:rsidR="001D3B9C" w:rsidRPr="009E1C5C">
        <w:rPr>
          <w:rFonts w:ascii="Book Antiqua" w:hAnsi="Book Antiqua"/>
          <w:lang w:val="en-GB"/>
        </w:rPr>
        <w:t>on the basis of</w:t>
      </w:r>
      <w:proofErr w:type="gramEnd"/>
      <w:r w:rsidR="001D3B9C" w:rsidRPr="009E1C5C">
        <w:rPr>
          <w:rFonts w:ascii="Book Antiqua" w:hAnsi="Book Antiqua"/>
          <w:lang w:val="en-GB"/>
        </w:rPr>
        <w:t xml:space="preserve"> his asylum claim, he would not have prepared a decision letter in these terms. </w:t>
      </w:r>
      <w:r w:rsidRPr="009E1C5C">
        <w:rPr>
          <w:rFonts w:ascii="Book Antiqua" w:hAnsi="Book Antiqua"/>
          <w:lang w:val="en-GB"/>
        </w:rPr>
        <w:t xml:space="preserve">Judge Gibbs </w:t>
      </w:r>
      <w:r w:rsidR="001D3B9C" w:rsidRPr="009E1C5C">
        <w:rPr>
          <w:rFonts w:ascii="Book Antiqua" w:hAnsi="Book Antiqua"/>
          <w:lang w:val="en-GB"/>
        </w:rPr>
        <w:t>was, therefore, entitled to take the view that the grant of leave was not on asylum grounds and to take Judge Pitt’s determination as her starting point. Indeed, the evidence adduced at the hearing before me gives support to Judge Gibbs’ approach because it clearly shows that leave was granted on legacy grounds and</w:t>
      </w:r>
      <w:r w:rsidR="008E794C" w:rsidRPr="009E1C5C">
        <w:rPr>
          <w:rFonts w:ascii="Book Antiqua" w:hAnsi="Book Antiqua"/>
          <w:lang w:val="en-GB"/>
        </w:rPr>
        <w:t>,</w:t>
      </w:r>
      <w:r w:rsidR="001D3B9C" w:rsidRPr="009E1C5C">
        <w:rPr>
          <w:rFonts w:ascii="Book Antiqua" w:hAnsi="Book Antiqua"/>
          <w:lang w:val="en-GB"/>
        </w:rPr>
        <w:t xml:space="preserve"> </w:t>
      </w:r>
      <w:r w:rsidR="008E794C" w:rsidRPr="009E1C5C">
        <w:rPr>
          <w:rFonts w:ascii="Book Antiqua" w:hAnsi="Book Antiqua"/>
          <w:lang w:val="en-GB"/>
        </w:rPr>
        <w:t xml:space="preserve">therefore, </w:t>
      </w:r>
      <w:r w:rsidR="001D3B9C" w:rsidRPr="009E1C5C">
        <w:rPr>
          <w:rFonts w:ascii="Book Antiqua" w:hAnsi="Book Antiqua"/>
          <w:lang w:val="en-GB"/>
        </w:rPr>
        <w:t xml:space="preserve">was not based on an acceptance of the appellant’s asylum claim. It follows that I conclude the judge made no error of law in applying </w:t>
      </w:r>
      <w:proofErr w:type="spellStart"/>
      <w:r w:rsidR="001D3B9C" w:rsidRPr="009E1C5C">
        <w:rPr>
          <w:rFonts w:ascii="Book Antiqua" w:hAnsi="Book Antiqua"/>
          <w:u w:val="single"/>
          <w:lang w:val="en-GB"/>
        </w:rPr>
        <w:t>Deevaseelan</w:t>
      </w:r>
      <w:proofErr w:type="spellEnd"/>
      <w:r w:rsidR="001D3B9C" w:rsidRPr="009E1C5C">
        <w:rPr>
          <w:rFonts w:ascii="Book Antiqua" w:hAnsi="Book Antiqua"/>
          <w:lang w:val="en-GB"/>
        </w:rPr>
        <w:t xml:space="preserve"> to Judge Pitt’s determination. </w:t>
      </w:r>
    </w:p>
    <w:p w:rsidR="0015050A" w:rsidRPr="009E1C5C" w:rsidRDefault="0015050A" w:rsidP="0015050A">
      <w:pPr>
        <w:jc w:val="both"/>
        <w:rPr>
          <w:rFonts w:ascii="Book Antiqua" w:hAnsi="Book Antiqua"/>
          <w:lang w:val="en-GB"/>
        </w:rPr>
      </w:pPr>
    </w:p>
    <w:p w:rsidR="003340E8" w:rsidRPr="009E1C5C" w:rsidRDefault="003340E8"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Turning to the judge’s treatment of the medical evidence, I note that the appellant’s evidence was assessed in the context of </w:t>
      </w:r>
      <w:r w:rsidR="00056900" w:rsidRPr="009E1C5C">
        <w:rPr>
          <w:rFonts w:ascii="Book Antiqua" w:hAnsi="Book Antiqua"/>
          <w:lang w:val="en-GB"/>
        </w:rPr>
        <w:t xml:space="preserve">Dr Cohen’s </w:t>
      </w:r>
      <w:r w:rsidRPr="009E1C5C">
        <w:rPr>
          <w:rFonts w:ascii="Book Antiqua" w:hAnsi="Book Antiqua"/>
          <w:lang w:val="en-GB"/>
        </w:rPr>
        <w:t xml:space="preserve">report </w:t>
      </w:r>
      <w:r w:rsidR="00056900" w:rsidRPr="009E1C5C">
        <w:rPr>
          <w:rFonts w:ascii="Book Antiqua" w:hAnsi="Book Antiqua"/>
          <w:lang w:val="en-GB"/>
        </w:rPr>
        <w:t xml:space="preserve">of 2 </w:t>
      </w:r>
      <w:bookmarkStart w:id="2" w:name="_GoBack"/>
      <w:bookmarkEnd w:id="2"/>
      <w:r w:rsidR="00056900" w:rsidRPr="009E1C5C">
        <w:rPr>
          <w:rFonts w:ascii="Book Antiqua" w:hAnsi="Book Antiqua"/>
          <w:lang w:val="en-GB"/>
        </w:rPr>
        <w:lastRenderedPageBreak/>
        <w:t xml:space="preserve">March 2018 </w:t>
      </w:r>
      <w:r w:rsidRPr="009E1C5C">
        <w:rPr>
          <w:rFonts w:ascii="Book Antiqua" w:hAnsi="Book Antiqua"/>
          <w:lang w:val="en-GB"/>
        </w:rPr>
        <w:t>(at 36). Dr Cohen referred to the appellant having memory problems</w:t>
      </w:r>
      <w:r w:rsidR="00056900" w:rsidRPr="009E1C5C">
        <w:rPr>
          <w:rFonts w:ascii="Book Antiqua" w:hAnsi="Book Antiqua"/>
          <w:lang w:val="en-GB"/>
        </w:rPr>
        <w:t xml:space="preserve"> but the judge noted there was no issue with the appellant’s memory apparent from the report of the psychologist, Lisa Davies, of 8 March 2018. Indeed, she had found that he was </w:t>
      </w:r>
      <w:r w:rsidR="004965A7" w:rsidRPr="009E1C5C">
        <w:rPr>
          <w:rFonts w:ascii="Book Antiqua" w:hAnsi="Book Antiqua"/>
          <w:i/>
          <w:lang w:val="en-GB"/>
        </w:rPr>
        <w:t>“</w:t>
      </w:r>
      <w:r w:rsidR="00056900" w:rsidRPr="009E1C5C">
        <w:rPr>
          <w:rFonts w:ascii="Book Antiqua" w:hAnsi="Book Antiqua"/>
          <w:i/>
          <w:lang w:val="en-GB"/>
        </w:rPr>
        <w:t>generally orientated to time, place and person</w:t>
      </w:r>
      <w:r w:rsidR="004965A7" w:rsidRPr="009E1C5C">
        <w:rPr>
          <w:rFonts w:ascii="Book Antiqua" w:hAnsi="Book Antiqua"/>
          <w:i/>
          <w:lang w:val="en-GB"/>
        </w:rPr>
        <w:t>”</w:t>
      </w:r>
      <w:r w:rsidR="004965A7" w:rsidRPr="009E1C5C">
        <w:rPr>
          <w:rFonts w:ascii="Book Antiqua" w:hAnsi="Book Antiqua"/>
          <w:lang w:val="en-GB"/>
        </w:rPr>
        <w:t xml:space="preserve"> and that he engaged well throughout the assessment process. Whilst Ms McCarthy submitted he </w:t>
      </w:r>
      <w:r w:rsidR="008E794C" w:rsidRPr="009E1C5C">
        <w:rPr>
          <w:rFonts w:ascii="Book Antiqua" w:hAnsi="Book Antiqua"/>
          <w:lang w:val="en-GB"/>
        </w:rPr>
        <w:t xml:space="preserve">only </w:t>
      </w:r>
      <w:r w:rsidR="004965A7" w:rsidRPr="009E1C5C">
        <w:rPr>
          <w:rFonts w:ascii="Book Antiqua" w:hAnsi="Book Antiqua"/>
          <w:lang w:val="en-GB"/>
        </w:rPr>
        <w:t>had an issue with short term memory loss</w:t>
      </w:r>
      <w:r w:rsidR="008E794C" w:rsidRPr="009E1C5C">
        <w:rPr>
          <w:rFonts w:ascii="Book Antiqua" w:hAnsi="Book Antiqua"/>
          <w:lang w:val="en-GB"/>
        </w:rPr>
        <w:t>,</w:t>
      </w:r>
      <w:r w:rsidR="004965A7" w:rsidRPr="009E1C5C">
        <w:rPr>
          <w:rFonts w:ascii="Book Antiqua" w:hAnsi="Book Antiqua"/>
          <w:lang w:val="en-GB"/>
        </w:rPr>
        <w:t xml:space="preserve"> which meant that Dr Cohen’s report was not inconsistent with Ms Davies’ report, Dr Cohen sought to rely on his memory problems to explain discrepancies relating to past events so she was plainly not just talking about difficulties in the appellant’s recall of recent events. Judge Gibbs was fully entitled to make the observations she did at paragraph 37. </w:t>
      </w:r>
    </w:p>
    <w:p w:rsidR="004965A7" w:rsidRPr="009E1C5C" w:rsidRDefault="004965A7" w:rsidP="004965A7">
      <w:pPr>
        <w:ind w:left="720"/>
        <w:jc w:val="both"/>
        <w:rPr>
          <w:rFonts w:ascii="Book Antiqua" w:hAnsi="Book Antiqua"/>
          <w:lang w:val="en-GB"/>
        </w:rPr>
      </w:pPr>
    </w:p>
    <w:p w:rsidR="004965A7" w:rsidRPr="009E1C5C" w:rsidRDefault="004965A7"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The judge was </w:t>
      </w:r>
      <w:r w:rsidR="008E794C" w:rsidRPr="009E1C5C">
        <w:rPr>
          <w:rFonts w:ascii="Book Antiqua" w:hAnsi="Book Antiqua"/>
          <w:lang w:val="en-GB"/>
        </w:rPr>
        <w:t xml:space="preserve">also </w:t>
      </w:r>
      <w:r w:rsidRPr="009E1C5C">
        <w:rPr>
          <w:rFonts w:ascii="Book Antiqua" w:hAnsi="Book Antiqua"/>
          <w:lang w:val="en-GB"/>
        </w:rPr>
        <w:t xml:space="preserve">criticized for raising the issue of self-inflicted injuries /injuries inflicted by proxy as a new issue without putting this to the parties. It is plain from her determination, however, that this was a matter </w:t>
      </w:r>
      <w:r w:rsidRPr="009E1C5C">
        <w:rPr>
          <w:rFonts w:ascii="Book Antiqua" w:hAnsi="Book Antiqua"/>
          <w:i/>
          <w:lang w:val="en-GB"/>
        </w:rPr>
        <w:t>raised by the respondent</w:t>
      </w:r>
      <w:r w:rsidRPr="009E1C5C">
        <w:rPr>
          <w:rFonts w:ascii="Book Antiqua" w:hAnsi="Book Antiqua"/>
          <w:lang w:val="en-GB"/>
        </w:rPr>
        <w:t xml:space="preserve"> (paragraph 39) and so the appellant’s Counsel would have been alerted to this and had every opportunity to address it in her closing submissions. As it was </w:t>
      </w:r>
      <w:r w:rsidR="008E794C" w:rsidRPr="009E1C5C">
        <w:rPr>
          <w:rFonts w:ascii="Book Antiqua" w:hAnsi="Book Antiqua"/>
          <w:lang w:val="en-GB"/>
        </w:rPr>
        <w:t xml:space="preserve">raised as </w:t>
      </w:r>
      <w:r w:rsidRPr="009E1C5C">
        <w:rPr>
          <w:rFonts w:ascii="Book Antiqua" w:hAnsi="Book Antiqua"/>
          <w:lang w:val="en-GB"/>
        </w:rPr>
        <w:t xml:space="preserve">an issue </w:t>
      </w:r>
      <w:r w:rsidR="008E794C" w:rsidRPr="009E1C5C">
        <w:rPr>
          <w:rFonts w:ascii="Book Antiqua" w:hAnsi="Book Antiqua"/>
          <w:lang w:val="en-GB"/>
        </w:rPr>
        <w:t>before her</w:t>
      </w:r>
      <w:r w:rsidRPr="009E1C5C">
        <w:rPr>
          <w:rFonts w:ascii="Book Antiqua" w:hAnsi="Book Antiqua"/>
          <w:lang w:val="en-GB"/>
        </w:rPr>
        <w:t xml:space="preserve">, the judge </w:t>
      </w:r>
      <w:r w:rsidR="008E794C" w:rsidRPr="009E1C5C">
        <w:rPr>
          <w:rFonts w:ascii="Book Antiqua" w:hAnsi="Book Antiqua"/>
          <w:lang w:val="en-GB"/>
        </w:rPr>
        <w:t>was obliged to consider it</w:t>
      </w:r>
      <w:r w:rsidRPr="009E1C5C">
        <w:rPr>
          <w:rFonts w:ascii="Book Antiqua" w:hAnsi="Book Antiqua"/>
          <w:lang w:val="en-GB"/>
        </w:rPr>
        <w:t>. It is misleading to suggest that</w:t>
      </w:r>
      <w:r w:rsidR="008E794C" w:rsidRPr="009E1C5C">
        <w:rPr>
          <w:rFonts w:ascii="Book Antiqua" w:hAnsi="Book Antiqua"/>
          <w:lang w:val="en-GB"/>
        </w:rPr>
        <w:t xml:space="preserve"> s</w:t>
      </w:r>
      <w:r w:rsidRPr="009E1C5C">
        <w:rPr>
          <w:rFonts w:ascii="Book Antiqua" w:hAnsi="Book Antiqua"/>
          <w:lang w:val="en-GB"/>
        </w:rPr>
        <w:t xml:space="preserve">he was the one who raised it and that the appellant had not had the opportunity to respond. </w:t>
      </w:r>
    </w:p>
    <w:p w:rsidR="004578E1" w:rsidRPr="009E1C5C" w:rsidRDefault="004578E1" w:rsidP="004578E1">
      <w:pPr>
        <w:pStyle w:val="ListParagraph"/>
        <w:rPr>
          <w:rFonts w:ascii="Book Antiqua" w:hAnsi="Book Antiqua"/>
          <w:lang w:val="en-GB"/>
        </w:rPr>
      </w:pPr>
    </w:p>
    <w:p w:rsidR="004578E1" w:rsidRPr="009E1C5C" w:rsidRDefault="004578E1"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When considering Dr Cohen’s opinion on the causes for scarring, it was open to the judge to find that other possible causes had not been fully explored. Indeed, as Mr </w:t>
      </w:r>
      <w:proofErr w:type="spellStart"/>
      <w:r w:rsidRPr="009E1C5C">
        <w:rPr>
          <w:rFonts w:ascii="Book Antiqua" w:hAnsi="Book Antiqua"/>
          <w:lang w:val="en-GB"/>
        </w:rPr>
        <w:t>Tufan</w:t>
      </w:r>
      <w:proofErr w:type="spellEnd"/>
      <w:r w:rsidRPr="009E1C5C">
        <w:rPr>
          <w:rFonts w:ascii="Book Antiqua" w:hAnsi="Book Antiqua"/>
          <w:lang w:val="en-GB"/>
        </w:rPr>
        <w:t xml:space="preserve"> submitted, the appellant’s injuries from a scooter accident do not appear anywhere as possible causes of some of the scarring nor do possible scars from beatings sustained by the appellant at the hands of his father and/or teachers. </w:t>
      </w:r>
    </w:p>
    <w:p w:rsidR="00184077" w:rsidRPr="009E1C5C" w:rsidRDefault="00184077" w:rsidP="00184077">
      <w:pPr>
        <w:pStyle w:val="ListParagraph"/>
        <w:rPr>
          <w:rFonts w:ascii="Book Antiqua" w:hAnsi="Book Antiqua"/>
          <w:lang w:val="en-GB"/>
        </w:rPr>
      </w:pPr>
    </w:p>
    <w:p w:rsidR="00184077" w:rsidRPr="009E1C5C" w:rsidRDefault="00184077"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The judge was also entitled to consider that the appellant had sought to embellish his claim by maintaining that he had been involved with his father’s meetings. It is explained that this was not an embellishment because the appellant had previously said he used to make tea for his father’s guests. This is hardly the same as a claim of being involved in the meetings. Indeed, the appellant’s claim had previously been that he knew nothing of his father’s activities and had not been told anything. </w:t>
      </w:r>
    </w:p>
    <w:p w:rsidR="00184077" w:rsidRPr="009E1C5C" w:rsidRDefault="00184077" w:rsidP="00184077">
      <w:pPr>
        <w:pStyle w:val="ListParagraph"/>
        <w:rPr>
          <w:rFonts w:ascii="Book Antiqua" w:hAnsi="Book Antiqua"/>
          <w:lang w:val="en-GB"/>
        </w:rPr>
      </w:pPr>
    </w:p>
    <w:p w:rsidR="004965A7" w:rsidRPr="009E1C5C" w:rsidRDefault="00184077"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r>
      <w:r w:rsidR="007A014B" w:rsidRPr="009E1C5C">
        <w:rPr>
          <w:rFonts w:ascii="Book Antiqua" w:hAnsi="Book Antiqua"/>
          <w:lang w:val="en-GB"/>
        </w:rPr>
        <w:t xml:space="preserve">Finally, there is the matter of the evidence of the witnesses. The complaint is that this evidence was rejected solely because the appellant was found lacking in credibility. This wholly disregards the clear and compelling findings made in respect of the evidence of the appellant’s brother at paragraphs </w:t>
      </w:r>
      <w:r w:rsidRPr="009E1C5C">
        <w:rPr>
          <w:rFonts w:ascii="Book Antiqua" w:hAnsi="Book Antiqua"/>
          <w:lang w:val="en-GB"/>
        </w:rPr>
        <w:t xml:space="preserve">29-32. </w:t>
      </w:r>
      <w:r w:rsidR="004965A7" w:rsidRPr="009E1C5C">
        <w:rPr>
          <w:rFonts w:ascii="Book Antiqua" w:hAnsi="Book Antiqua"/>
          <w:lang w:val="en-GB"/>
        </w:rPr>
        <w:t xml:space="preserve"> </w:t>
      </w:r>
      <w:r w:rsidR="004578E1" w:rsidRPr="009E1C5C">
        <w:rPr>
          <w:rFonts w:ascii="Book Antiqua" w:hAnsi="Book Antiqua"/>
          <w:lang w:val="en-GB"/>
        </w:rPr>
        <w:t>When the evidence was taken in the round, and the serious discrepancies in oral testimony and inconsi</w:t>
      </w:r>
      <w:r w:rsidR="00442D0A" w:rsidRPr="009E1C5C">
        <w:rPr>
          <w:rFonts w:ascii="Book Antiqua" w:hAnsi="Book Antiqua"/>
          <w:lang w:val="en-GB"/>
        </w:rPr>
        <w:t>s</w:t>
      </w:r>
      <w:r w:rsidR="004578E1" w:rsidRPr="009E1C5C">
        <w:rPr>
          <w:rFonts w:ascii="Book Antiqua" w:hAnsi="Book Antiqua"/>
          <w:lang w:val="en-GB"/>
        </w:rPr>
        <w:t xml:space="preserve">tencies between that </w:t>
      </w:r>
      <w:r w:rsidR="004578E1" w:rsidRPr="009E1C5C">
        <w:rPr>
          <w:rFonts w:ascii="Book Antiqua" w:hAnsi="Book Antiqua"/>
          <w:lang w:val="en-GB"/>
        </w:rPr>
        <w:lastRenderedPageBreak/>
        <w:t xml:space="preserve">and the dates of documents were </w:t>
      </w:r>
      <w:r w:rsidR="00442D0A" w:rsidRPr="009E1C5C">
        <w:rPr>
          <w:rFonts w:ascii="Book Antiqua" w:hAnsi="Book Antiqua"/>
          <w:lang w:val="en-GB"/>
        </w:rPr>
        <w:t>c</w:t>
      </w:r>
      <w:r w:rsidR="004578E1" w:rsidRPr="009E1C5C">
        <w:rPr>
          <w:rFonts w:ascii="Book Antiqua" w:hAnsi="Book Antiqua"/>
          <w:lang w:val="en-GB"/>
        </w:rPr>
        <w:t xml:space="preserve">onsidered, it is hardly surprising that the judge found the evidence of the other witness failed to advance matters.  </w:t>
      </w:r>
    </w:p>
    <w:p w:rsidR="005565E0" w:rsidRPr="009E1C5C" w:rsidRDefault="005565E0" w:rsidP="005565E0">
      <w:pPr>
        <w:jc w:val="both"/>
        <w:rPr>
          <w:rFonts w:ascii="Book Antiqua" w:hAnsi="Book Antiqua"/>
          <w:lang w:val="en-GB"/>
        </w:rPr>
      </w:pPr>
    </w:p>
    <w:p w:rsidR="00184077"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The judge has provided </w:t>
      </w:r>
      <w:r w:rsidR="00184077" w:rsidRPr="009E1C5C">
        <w:rPr>
          <w:rFonts w:ascii="Book Antiqua" w:hAnsi="Book Antiqua"/>
          <w:lang w:val="en-GB"/>
        </w:rPr>
        <w:t>compelling reasons for her</w:t>
      </w:r>
      <w:r w:rsidRPr="009E1C5C">
        <w:rPr>
          <w:rFonts w:ascii="Book Antiqua" w:hAnsi="Book Antiqua"/>
          <w:lang w:val="en-GB"/>
        </w:rPr>
        <w:t xml:space="preserve"> conclusions. </w:t>
      </w:r>
      <w:r w:rsidR="00184077" w:rsidRPr="009E1C5C">
        <w:rPr>
          <w:rFonts w:ascii="Book Antiqua" w:hAnsi="Book Antiqua"/>
          <w:lang w:val="en-GB"/>
        </w:rPr>
        <w:t xml:space="preserve">The oral evidence on how the appellant’s documents were obtained was wholly inconsistent and it appears that the appellant and his brother disagreed on several crucial matters and that they altered their evidence as the difficulties were put to them. The dates on the documents themselves contradicted the oral evidence of when they were obtained which raised further issues (at 29-35). No complaint has been made about the findings in respect of the appellant’s father’s death certificate and the certificate from the </w:t>
      </w:r>
      <w:proofErr w:type="spellStart"/>
      <w:r w:rsidR="00184077" w:rsidRPr="009E1C5C">
        <w:rPr>
          <w:rFonts w:ascii="Book Antiqua" w:hAnsi="Book Antiqua"/>
          <w:lang w:val="en-GB"/>
        </w:rPr>
        <w:t>Bert</w:t>
      </w:r>
      <w:r w:rsidR="00442D0A" w:rsidRPr="009E1C5C">
        <w:rPr>
          <w:rFonts w:ascii="Book Antiqua" w:hAnsi="Book Antiqua"/>
          <w:lang w:val="en-GB"/>
        </w:rPr>
        <w:t>i</w:t>
      </w:r>
      <w:proofErr w:type="spellEnd"/>
      <w:r w:rsidR="00184077" w:rsidRPr="009E1C5C">
        <w:rPr>
          <w:rFonts w:ascii="Book Antiqua" w:hAnsi="Book Antiqua"/>
          <w:lang w:val="en-GB"/>
        </w:rPr>
        <w:t xml:space="preserve"> National Administration. </w:t>
      </w:r>
    </w:p>
    <w:p w:rsidR="00184077" w:rsidRPr="009E1C5C" w:rsidRDefault="00184077" w:rsidP="00184077">
      <w:pPr>
        <w:pStyle w:val="ListParagraph"/>
        <w:rPr>
          <w:rFonts w:ascii="Book Antiqua" w:hAnsi="Book Antiqua"/>
          <w:lang w:val="en-GB"/>
        </w:rPr>
      </w:pPr>
    </w:p>
    <w:p w:rsidR="00184077" w:rsidRPr="009E1C5C" w:rsidRDefault="00184077"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The appellant had argued before Judge Gibbs that he would be at risk on return to Sudan because his conviction for attempted rape would be known to the Sudanese authorities. The judge found that this would not place him at risk (at 44-46) and no issue has been taken with this conclusion.  </w:t>
      </w:r>
    </w:p>
    <w:p w:rsidR="00184077" w:rsidRPr="009E1C5C" w:rsidRDefault="00184077" w:rsidP="00184077">
      <w:pPr>
        <w:pStyle w:val="ListParagraph"/>
        <w:rPr>
          <w:rFonts w:ascii="Book Antiqua" w:hAnsi="Book Antiqua"/>
          <w:lang w:val="en-GB"/>
        </w:rPr>
      </w:pPr>
    </w:p>
    <w:p w:rsidR="005565E0" w:rsidRPr="009E1C5C" w:rsidRDefault="00184077"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For the reasons set out above, I am satisfied that the First-tier Tribunal did not make any material errors of law which require the determination to be set aside. Her decision to dismiss the appeal </w:t>
      </w:r>
      <w:r w:rsidR="004578E1" w:rsidRPr="009E1C5C">
        <w:rPr>
          <w:rFonts w:ascii="Book Antiqua" w:hAnsi="Book Antiqua"/>
          <w:lang w:val="en-GB"/>
        </w:rPr>
        <w:t xml:space="preserve">on all grounds stands. </w:t>
      </w:r>
      <w:r w:rsidRPr="009E1C5C">
        <w:rPr>
          <w:rFonts w:ascii="Book Antiqua" w:hAnsi="Book Antiqua"/>
          <w:lang w:val="en-GB"/>
        </w:rPr>
        <w:t xml:space="preserve"> </w:t>
      </w:r>
    </w:p>
    <w:p w:rsidR="005565E0" w:rsidRPr="009E1C5C" w:rsidRDefault="005565E0" w:rsidP="005565E0">
      <w:pPr>
        <w:jc w:val="both"/>
        <w:rPr>
          <w:rFonts w:ascii="Book Antiqua" w:hAnsi="Book Antiqua"/>
          <w:lang w:val="en-GB"/>
        </w:rPr>
      </w:pPr>
    </w:p>
    <w:p w:rsidR="005565E0" w:rsidRPr="009E1C5C" w:rsidRDefault="005565E0" w:rsidP="005565E0">
      <w:pPr>
        <w:jc w:val="both"/>
        <w:rPr>
          <w:rFonts w:ascii="Book Antiqua" w:hAnsi="Book Antiqua"/>
          <w:lang w:val="en-GB"/>
        </w:rPr>
      </w:pPr>
      <w:r w:rsidRPr="009E1C5C">
        <w:rPr>
          <w:rFonts w:ascii="Book Antiqua" w:hAnsi="Book Antiqua" w:cs="Arial"/>
          <w:b/>
          <w:bCs/>
          <w:lang w:val="en-GB"/>
        </w:rPr>
        <w:t>Decision</w:t>
      </w:r>
    </w:p>
    <w:p w:rsidR="005565E0" w:rsidRPr="009E1C5C" w:rsidRDefault="005565E0" w:rsidP="005565E0">
      <w:pPr>
        <w:ind w:left="720"/>
        <w:jc w:val="both"/>
        <w:rPr>
          <w:rFonts w:ascii="Book Antiqua" w:hAnsi="Book Antiqua"/>
          <w:lang w:val="en-GB"/>
        </w:rPr>
      </w:pPr>
      <w:r w:rsidRPr="009E1C5C">
        <w:rPr>
          <w:rFonts w:ascii="Book Antiqua" w:hAnsi="Book Antiqua"/>
          <w:lang w:val="en-GB"/>
        </w:rPr>
        <w:tab/>
      </w: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w:t>
      </w:r>
      <w:r w:rsidRPr="009E1C5C">
        <w:rPr>
          <w:rFonts w:ascii="Book Antiqua" w:hAnsi="Book Antiqua"/>
          <w:lang w:val="en-GB"/>
        </w:rPr>
        <w:tab/>
        <w:t xml:space="preserve">The First-tier Tribunal did not make errors of law and the </w:t>
      </w:r>
      <w:r w:rsidR="00442D0A" w:rsidRPr="009E1C5C">
        <w:rPr>
          <w:rFonts w:ascii="Book Antiqua" w:hAnsi="Book Antiqua"/>
          <w:lang w:val="en-GB"/>
        </w:rPr>
        <w:t xml:space="preserve">appeal is dismissed on all grounds. </w:t>
      </w:r>
      <w:r w:rsidRPr="009E1C5C">
        <w:rPr>
          <w:rFonts w:ascii="Book Antiqua" w:hAnsi="Book Antiqua"/>
          <w:lang w:val="en-GB"/>
        </w:rPr>
        <w:t xml:space="preserve"> </w:t>
      </w:r>
    </w:p>
    <w:p w:rsidR="005565E0" w:rsidRPr="009E1C5C" w:rsidRDefault="005565E0" w:rsidP="005565E0">
      <w:pPr>
        <w:ind w:left="720"/>
        <w:jc w:val="both"/>
        <w:rPr>
          <w:rFonts w:ascii="Book Antiqua" w:hAnsi="Book Antiqua"/>
          <w:lang w:val="en-GB"/>
        </w:rPr>
      </w:pPr>
    </w:p>
    <w:p w:rsidR="005565E0" w:rsidRPr="009E1C5C" w:rsidRDefault="005565E0" w:rsidP="005565E0">
      <w:pPr>
        <w:jc w:val="both"/>
        <w:rPr>
          <w:rFonts w:ascii="Book Antiqua" w:hAnsi="Book Antiqua"/>
          <w:b/>
          <w:lang w:val="en-GB"/>
        </w:rPr>
      </w:pPr>
      <w:r w:rsidRPr="009E1C5C">
        <w:rPr>
          <w:rFonts w:ascii="Book Antiqua" w:hAnsi="Book Antiqua"/>
          <w:b/>
          <w:lang w:val="en-GB"/>
        </w:rPr>
        <w:t>Anonymity Order</w:t>
      </w:r>
    </w:p>
    <w:p w:rsidR="005565E0" w:rsidRPr="009E1C5C" w:rsidRDefault="005565E0" w:rsidP="005565E0">
      <w:pPr>
        <w:jc w:val="both"/>
        <w:rPr>
          <w:rFonts w:ascii="Book Antiqua" w:hAnsi="Book Antiqua"/>
          <w:lang w:val="en-GB"/>
        </w:rPr>
      </w:pPr>
    </w:p>
    <w:p w:rsidR="005565E0" w:rsidRPr="009E1C5C" w:rsidRDefault="005565E0" w:rsidP="005565E0">
      <w:pPr>
        <w:numPr>
          <w:ilvl w:val="0"/>
          <w:numId w:val="1"/>
        </w:numPr>
        <w:ind w:left="720" w:hanging="720"/>
        <w:jc w:val="both"/>
        <w:rPr>
          <w:rFonts w:ascii="Book Antiqua" w:hAnsi="Book Antiqua"/>
          <w:lang w:val="en-GB"/>
        </w:rPr>
      </w:pPr>
      <w:r w:rsidRPr="009E1C5C">
        <w:rPr>
          <w:rFonts w:ascii="Book Antiqua" w:hAnsi="Book Antiqua"/>
          <w:lang w:val="en-GB"/>
        </w:rPr>
        <w:t xml:space="preserve">      The First-tier Tribunal Judge did not make an order for anonymity</w:t>
      </w:r>
      <w:r w:rsidR="00442D0A" w:rsidRPr="009E1C5C">
        <w:rPr>
          <w:rFonts w:ascii="Book Antiqua" w:hAnsi="Book Antiqua"/>
          <w:lang w:val="en-GB"/>
        </w:rPr>
        <w:t xml:space="preserve"> and </w:t>
      </w:r>
      <w:r w:rsidRPr="009E1C5C">
        <w:rPr>
          <w:rFonts w:ascii="Book Antiqua" w:hAnsi="Book Antiqua"/>
          <w:lang w:val="en-GB"/>
        </w:rPr>
        <w:t>I was not asked to make one.</w:t>
      </w:r>
    </w:p>
    <w:p w:rsidR="005565E0" w:rsidRPr="009E1C5C" w:rsidRDefault="005565E0" w:rsidP="00442D0A">
      <w:pPr>
        <w:ind w:left="720"/>
        <w:jc w:val="both"/>
        <w:rPr>
          <w:rFonts w:ascii="Book Antiqua" w:hAnsi="Book Antiqua"/>
          <w:lang w:val="en-GB"/>
        </w:rPr>
      </w:pPr>
      <w:r w:rsidRPr="009E1C5C">
        <w:rPr>
          <w:rFonts w:ascii="Book Antiqua" w:hAnsi="Book Antiqua"/>
          <w:lang w:val="en-GB"/>
        </w:rPr>
        <w:t xml:space="preserve"> </w:t>
      </w:r>
    </w:p>
    <w:p w:rsidR="005565E0" w:rsidRPr="009E1C5C" w:rsidRDefault="005565E0" w:rsidP="005565E0">
      <w:pPr>
        <w:jc w:val="both"/>
        <w:rPr>
          <w:rFonts w:ascii="Book Antiqua" w:hAnsi="Book Antiqua"/>
          <w:b/>
          <w:bCs/>
          <w:lang w:val="en-GB"/>
        </w:rPr>
      </w:pPr>
      <w:r w:rsidRPr="009E1C5C">
        <w:rPr>
          <w:rFonts w:ascii="Book Antiqua" w:hAnsi="Book Antiqua"/>
          <w:lang w:val="en-GB"/>
        </w:rPr>
        <w:t xml:space="preserve">            </w:t>
      </w:r>
      <w:r w:rsidRPr="009E1C5C">
        <w:rPr>
          <w:rFonts w:ascii="Book Antiqua" w:hAnsi="Book Antiqua"/>
          <w:b/>
          <w:bCs/>
          <w:lang w:val="en-GB"/>
        </w:rPr>
        <w:t>Signed:</w:t>
      </w:r>
    </w:p>
    <w:p w:rsidR="005565E0" w:rsidRPr="009E1C5C" w:rsidRDefault="005565E0" w:rsidP="005565E0">
      <w:pPr>
        <w:ind w:left="720"/>
        <w:jc w:val="both"/>
        <w:rPr>
          <w:rFonts w:ascii="Book Antiqua" w:hAnsi="Book Antiqua"/>
          <w:lang w:val="en-GB"/>
        </w:rPr>
      </w:pPr>
    </w:p>
    <w:p w:rsidR="005565E0" w:rsidRPr="009E1C5C" w:rsidRDefault="005565E0" w:rsidP="005565E0">
      <w:pPr>
        <w:ind w:left="720"/>
        <w:jc w:val="both"/>
        <w:rPr>
          <w:rFonts w:ascii="Book Antiqua" w:hAnsi="Book Antiqua"/>
          <w:lang w:val="en-GB"/>
        </w:rPr>
      </w:pPr>
      <w:r w:rsidRPr="009E1C5C">
        <w:rPr>
          <w:rFonts w:ascii="Book Antiqua" w:hAnsi="Book Antiqua"/>
          <w:noProof/>
          <w:lang w:eastAsia="en-GB"/>
        </w:rPr>
        <w:drawing>
          <wp:inline distT="0" distB="0" distL="0" distR="0" wp14:anchorId="01232D53" wp14:editId="3D8E7D27">
            <wp:extent cx="2515870" cy="65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870" cy="659765"/>
                    </a:xfrm>
                    <a:prstGeom prst="rect">
                      <a:avLst/>
                    </a:prstGeom>
                    <a:noFill/>
                    <a:ln>
                      <a:noFill/>
                    </a:ln>
                  </pic:spPr>
                </pic:pic>
              </a:graphicData>
            </a:graphic>
          </wp:inline>
        </w:drawing>
      </w:r>
    </w:p>
    <w:p w:rsidR="005565E0" w:rsidRPr="009E1C5C" w:rsidRDefault="005565E0" w:rsidP="005565E0">
      <w:pPr>
        <w:ind w:left="720"/>
        <w:jc w:val="both"/>
        <w:rPr>
          <w:rFonts w:ascii="Book Antiqua" w:hAnsi="Book Antiqua" w:cs="Arial"/>
          <w:b/>
          <w:bCs/>
          <w:lang w:val="en-GB"/>
        </w:rPr>
      </w:pPr>
      <w:r w:rsidRPr="009E1C5C">
        <w:rPr>
          <w:rFonts w:ascii="Book Antiqua" w:hAnsi="Book Antiqua" w:cs="Arial"/>
          <w:b/>
          <w:bCs/>
          <w:lang w:val="en-GB"/>
        </w:rPr>
        <w:t xml:space="preserve">Dr R </w:t>
      </w:r>
      <w:proofErr w:type="spellStart"/>
      <w:r w:rsidRPr="009E1C5C">
        <w:rPr>
          <w:rFonts w:ascii="Book Antiqua" w:hAnsi="Book Antiqua" w:cs="Arial"/>
          <w:b/>
          <w:bCs/>
          <w:lang w:val="en-GB"/>
        </w:rPr>
        <w:t>Kekić</w:t>
      </w:r>
      <w:proofErr w:type="spellEnd"/>
    </w:p>
    <w:p w:rsidR="005565E0" w:rsidRPr="009E1C5C" w:rsidRDefault="005565E0" w:rsidP="005565E0">
      <w:pPr>
        <w:ind w:left="720"/>
        <w:jc w:val="both"/>
        <w:rPr>
          <w:rFonts w:ascii="Book Antiqua" w:hAnsi="Book Antiqua" w:cs="Arial"/>
          <w:b/>
          <w:bCs/>
          <w:lang w:val="en-GB"/>
        </w:rPr>
      </w:pPr>
      <w:r w:rsidRPr="009E1C5C">
        <w:rPr>
          <w:rFonts w:ascii="Book Antiqua" w:hAnsi="Book Antiqua" w:cs="Arial"/>
          <w:b/>
          <w:bCs/>
          <w:lang w:val="en-GB"/>
        </w:rPr>
        <w:t xml:space="preserve">Judge of the Upper Tribunal  </w:t>
      </w:r>
    </w:p>
    <w:p w:rsidR="005565E0" w:rsidRPr="009E1C5C" w:rsidRDefault="005565E0" w:rsidP="005565E0">
      <w:pPr>
        <w:ind w:left="720"/>
        <w:jc w:val="both"/>
        <w:rPr>
          <w:rFonts w:ascii="Book Antiqua" w:hAnsi="Book Antiqua" w:cs="Arial"/>
          <w:b/>
          <w:bCs/>
          <w:lang w:val="en-GB"/>
        </w:rPr>
      </w:pPr>
    </w:p>
    <w:p w:rsidR="007B1745" w:rsidRPr="009E1C5C" w:rsidRDefault="005565E0" w:rsidP="00442D0A">
      <w:pPr>
        <w:jc w:val="both"/>
        <w:rPr>
          <w:rFonts w:ascii="Book Antiqua" w:hAnsi="Book Antiqua"/>
        </w:rPr>
      </w:pPr>
      <w:r w:rsidRPr="009E1C5C">
        <w:rPr>
          <w:rFonts w:ascii="Book Antiqua" w:hAnsi="Book Antiqua" w:cs="Arial"/>
          <w:lang w:val="en-GB"/>
        </w:rPr>
        <w:t>            29 June 2018</w:t>
      </w:r>
    </w:p>
    <w:sectPr w:rsidR="007B1745" w:rsidRPr="009E1C5C" w:rsidSect="009E1C5C">
      <w:headerReference w:type="default" r:id="rId9"/>
      <w:footerReference w:type="even" r:id="rId10"/>
      <w:footerReference w:type="default" r:id="rId11"/>
      <w:footerReference w:type="first" r:id="rId12"/>
      <w:pgSz w:w="12240" w:h="15840" w:code="1"/>
      <w:pgMar w:top="709"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BC0" w:rsidRDefault="00CF2BC0">
      <w:r>
        <w:separator/>
      </w:r>
    </w:p>
  </w:endnote>
  <w:endnote w:type="continuationSeparator" w:id="0">
    <w:p w:rsidR="00CF2BC0" w:rsidRDefault="00CF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9D0" w:rsidRDefault="00AC69D0" w:rsidP="00AC69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69D0" w:rsidRDefault="00AC69D0" w:rsidP="00AC69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440095"/>
      <w:docPartObj>
        <w:docPartGallery w:val="Page Numbers (Bottom of Page)"/>
        <w:docPartUnique/>
      </w:docPartObj>
    </w:sdtPr>
    <w:sdtEndPr>
      <w:rPr>
        <w:rFonts w:ascii="Book Antiqua" w:hAnsi="Book Antiqua"/>
        <w:noProof/>
      </w:rPr>
    </w:sdtEndPr>
    <w:sdtContent>
      <w:p w:rsidR="00E302AE" w:rsidRPr="009E1C5C" w:rsidRDefault="00E302AE">
        <w:pPr>
          <w:pStyle w:val="Footer"/>
          <w:jc w:val="center"/>
          <w:rPr>
            <w:rFonts w:ascii="Book Antiqua" w:hAnsi="Book Antiqua"/>
          </w:rPr>
        </w:pPr>
        <w:r w:rsidRPr="009E1C5C">
          <w:rPr>
            <w:rFonts w:ascii="Book Antiqua" w:hAnsi="Book Antiqua"/>
          </w:rPr>
          <w:fldChar w:fldCharType="begin"/>
        </w:r>
        <w:r w:rsidRPr="009E1C5C">
          <w:rPr>
            <w:rFonts w:ascii="Book Antiqua" w:hAnsi="Book Antiqua"/>
          </w:rPr>
          <w:instrText xml:space="preserve"> PAGE   \* MERGEFORMAT </w:instrText>
        </w:r>
        <w:r w:rsidRPr="009E1C5C">
          <w:rPr>
            <w:rFonts w:ascii="Book Antiqua" w:hAnsi="Book Antiqua"/>
          </w:rPr>
          <w:fldChar w:fldCharType="separate"/>
        </w:r>
        <w:r w:rsidR="00E67BD2">
          <w:rPr>
            <w:rFonts w:ascii="Book Antiqua" w:hAnsi="Book Antiqua"/>
            <w:noProof/>
          </w:rPr>
          <w:t>7</w:t>
        </w:r>
        <w:r w:rsidRPr="009E1C5C">
          <w:rPr>
            <w:rFonts w:ascii="Book Antiqua" w:hAnsi="Book Antiqua"/>
            <w:noProof/>
          </w:rPr>
          <w:fldChar w:fldCharType="end"/>
        </w:r>
      </w:p>
    </w:sdtContent>
  </w:sdt>
  <w:p w:rsidR="00AC69D0" w:rsidRDefault="00AC69D0" w:rsidP="00AC69D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9D0" w:rsidRPr="009E1C5C" w:rsidRDefault="009E1C5C">
    <w:pPr>
      <w:pStyle w:val="Footer"/>
      <w:rPr>
        <w:rFonts w:ascii="Book Antiqua" w:hAnsi="Book Antiqua"/>
        <w:b/>
      </w:rPr>
    </w:pPr>
    <w:r w:rsidRPr="009E1C5C">
      <w:rPr>
        <w:rFonts w:ascii="Book Antiqua" w:hAnsi="Book Antiqua"/>
        <w:b/>
      </w:rPr>
      <w:t xml:space="preserve">                                                       ©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BC0" w:rsidRDefault="00CF2BC0">
      <w:r>
        <w:separator/>
      </w:r>
    </w:p>
  </w:footnote>
  <w:footnote w:type="continuationSeparator" w:id="0">
    <w:p w:rsidR="00CF2BC0" w:rsidRDefault="00CF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2AE" w:rsidRDefault="009E1C5C" w:rsidP="00E302AE">
    <w:pPr>
      <w:pStyle w:val="Header"/>
      <w:jc w:val="right"/>
      <w:rPr>
        <w:rFonts w:ascii="Book Antiqua" w:hAnsi="Book Antiqua"/>
        <w:sz w:val="16"/>
        <w:szCs w:val="16"/>
      </w:rPr>
    </w:pPr>
    <w:r>
      <w:rPr>
        <w:rFonts w:ascii="Book Antiqua" w:hAnsi="Book Antiqua"/>
        <w:sz w:val="16"/>
        <w:szCs w:val="16"/>
      </w:rPr>
      <w:t xml:space="preserve">Appeal number: </w:t>
    </w:r>
    <w:r w:rsidR="00E302AE" w:rsidRPr="009E1C5C">
      <w:rPr>
        <w:rFonts w:ascii="Book Antiqua" w:hAnsi="Book Antiqua"/>
        <w:sz w:val="16"/>
        <w:szCs w:val="16"/>
      </w:rPr>
      <w:t>PA/08515/2017</w:t>
    </w:r>
  </w:p>
  <w:p w:rsidR="009E1C5C" w:rsidRPr="009E1C5C" w:rsidRDefault="009E1C5C" w:rsidP="00E302AE">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50BA3EA4"/>
    <w:lvl w:ilvl="0">
      <w:start w:val="1"/>
      <w:numFmt w:val="decimal"/>
      <w:suff w:val="nothing"/>
      <w:lvlText w:val="%1."/>
      <w:lvlJc w:val="left"/>
      <w:pPr>
        <w:ind w:left="142" w:firstLine="0"/>
      </w:pPr>
      <w:rPr>
        <w:rFonts w:ascii="Book Antiqua" w:hAnsi="Book Antiqua" w:cs="Arial" w:hint="default"/>
        <w:b w:val="0"/>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E0"/>
    <w:rsid w:val="0001400A"/>
    <w:rsid w:val="00056900"/>
    <w:rsid w:val="0005760C"/>
    <w:rsid w:val="000F2430"/>
    <w:rsid w:val="0015050A"/>
    <w:rsid w:val="001713A4"/>
    <w:rsid w:val="00184077"/>
    <w:rsid w:val="001D3B9C"/>
    <w:rsid w:val="00273038"/>
    <w:rsid w:val="00283ABC"/>
    <w:rsid w:val="002E4357"/>
    <w:rsid w:val="003340E8"/>
    <w:rsid w:val="003374AF"/>
    <w:rsid w:val="00391FEA"/>
    <w:rsid w:val="00394D83"/>
    <w:rsid w:val="00407080"/>
    <w:rsid w:val="00433875"/>
    <w:rsid w:val="00442D0A"/>
    <w:rsid w:val="004578E1"/>
    <w:rsid w:val="004965A7"/>
    <w:rsid w:val="005565E0"/>
    <w:rsid w:val="005A33CC"/>
    <w:rsid w:val="005B2079"/>
    <w:rsid w:val="006504FE"/>
    <w:rsid w:val="00746BB7"/>
    <w:rsid w:val="007A014B"/>
    <w:rsid w:val="007B1745"/>
    <w:rsid w:val="007D5EAE"/>
    <w:rsid w:val="008E794C"/>
    <w:rsid w:val="009E1C5C"/>
    <w:rsid w:val="009F0650"/>
    <w:rsid w:val="00AC69D0"/>
    <w:rsid w:val="00AF26F4"/>
    <w:rsid w:val="00AF2BC2"/>
    <w:rsid w:val="00BA4330"/>
    <w:rsid w:val="00C965A9"/>
    <w:rsid w:val="00CF2BC0"/>
    <w:rsid w:val="00E02A6F"/>
    <w:rsid w:val="00E302AE"/>
    <w:rsid w:val="00E67BD2"/>
    <w:rsid w:val="00E9640C"/>
    <w:rsid w:val="00EB6898"/>
    <w:rsid w:val="00ED39AE"/>
    <w:rsid w:val="00F71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457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5E0"/>
    <w:pPr>
      <w:spacing w:after="0" w:line="240" w:lineRule="auto"/>
    </w:pPr>
    <w:rPr>
      <w:rFonts w:ascii="Times New Roman" w:eastAsia="Times New Roman" w:hAnsi="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565E0"/>
    <w:pPr>
      <w:tabs>
        <w:tab w:val="center" w:pos="4153"/>
        <w:tab w:val="right" w:pos="8306"/>
      </w:tabs>
    </w:pPr>
  </w:style>
  <w:style w:type="character" w:customStyle="1" w:styleId="FooterChar">
    <w:name w:val="Footer Char"/>
    <w:basedOn w:val="DefaultParagraphFont"/>
    <w:link w:val="Footer"/>
    <w:uiPriority w:val="99"/>
    <w:rsid w:val="005565E0"/>
    <w:rPr>
      <w:rFonts w:ascii="Times New Roman" w:eastAsia="Times New Roman" w:hAnsi="Times New Roman"/>
      <w:szCs w:val="24"/>
      <w:lang w:val="en-US"/>
    </w:rPr>
  </w:style>
  <w:style w:type="character" w:styleId="PageNumber">
    <w:name w:val="page number"/>
    <w:basedOn w:val="DefaultParagraphFont"/>
    <w:rsid w:val="005565E0"/>
  </w:style>
  <w:style w:type="paragraph" w:styleId="ListParagraph">
    <w:name w:val="List Paragraph"/>
    <w:basedOn w:val="Normal"/>
    <w:uiPriority w:val="34"/>
    <w:qFormat/>
    <w:rsid w:val="005565E0"/>
    <w:pPr>
      <w:ind w:left="720"/>
      <w:contextualSpacing/>
    </w:pPr>
  </w:style>
  <w:style w:type="paragraph" w:styleId="BalloonText">
    <w:name w:val="Balloon Text"/>
    <w:basedOn w:val="Normal"/>
    <w:link w:val="BalloonTextChar"/>
    <w:uiPriority w:val="99"/>
    <w:semiHidden/>
    <w:unhideWhenUsed/>
    <w:rsid w:val="00442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D0A"/>
    <w:rPr>
      <w:rFonts w:ascii="Segoe UI" w:eastAsia="Times New Roman" w:hAnsi="Segoe UI" w:cs="Segoe UI"/>
      <w:sz w:val="18"/>
      <w:szCs w:val="18"/>
      <w:lang w:val="en-US"/>
    </w:rPr>
  </w:style>
  <w:style w:type="paragraph" w:styleId="Header">
    <w:name w:val="header"/>
    <w:basedOn w:val="Normal"/>
    <w:link w:val="HeaderChar"/>
    <w:uiPriority w:val="99"/>
    <w:unhideWhenUsed/>
    <w:rsid w:val="00E302AE"/>
    <w:pPr>
      <w:tabs>
        <w:tab w:val="center" w:pos="4513"/>
        <w:tab w:val="right" w:pos="9026"/>
      </w:tabs>
    </w:pPr>
  </w:style>
  <w:style w:type="character" w:customStyle="1" w:styleId="HeaderChar">
    <w:name w:val="Header Char"/>
    <w:basedOn w:val="DefaultParagraphFont"/>
    <w:link w:val="Header"/>
    <w:uiPriority w:val="99"/>
    <w:rsid w:val="00E302AE"/>
    <w:rPr>
      <w:rFonts w:ascii="Times New Roman" w:eastAsia="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2494</Words>
  <Characters>14217</Characters>
  <Application>Microsoft Office Word</Application>
  <DocSecurity>0</DocSecurity>
  <Lines>118</Lines>
  <Paragraphs>33</Paragraphs>
  <ScaleCrop>false</ScaleCrop>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2018-07-19T14:29:00Z</dcterms:created>
  <dcterms:modified xsi:type="dcterms:W3CDTF">2018-07-19T14:29:00Z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