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245E9A" w:rsidRDefault="0081373A" w:rsidP="0010335F">
      <w:pPr>
        <w:jc w:val="center"/>
        <w:rPr>
          <w:rFonts w:ascii="Book Antiqua" w:hAnsi="Book Antiqua" w:cs="Arial"/>
          <w:caps/>
          <w:color w:val="000000"/>
          <w:sz w:val="16"/>
          <w:szCs w:val="16"/>
        </w:rPr>
      </w:pPr>
      <w:r w:rsidRPr="00245E9A">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245E9A" w:rsidRDefault="00D94AFC" w:rsidP="00D80EBB">
      <w:pPr>
        <w:outlineLvl w:val="0"/>
        <w:rPr>
          <w:rFonts w:ascii="Book Antiqua" w:hAnsi="Book Antiqua" w:cs="Arial"/>
          <w:color w:val="000000"/>
          <w:sz w:val="16"/>
          <w:szCs w:val="16"/>
        </w:rPr>
      </w:pPr>
    </w:p>
    <w:p w:rsidR="0010335F" w:rsidRPr="00FA42EA" w:rsidRDefault="0010335F" w:rsidP="00D80EBB">
      <w:pPr>
        <w:tabs>
          <w:tab w:val="right" w:pos="9720"/>
        </w:tabs>
        <w:ind w:right="-82"/>
        <w:outlineLvl w:val="0"/>
        <w:rPr>
          <w:rFonts w:ascii="Book Antiqua" w:hAnsi="Book Antiqua" w:cs="Arial"/>
          <w:b/>
          <w:color w:val="000000"/>
        </w:rPr>
      </w:pPr>
      <w:r w:rsidRPr="00FA42EA">
        <w:rPr>
          <w:rFonts w:ascii="Book Antiqua" w:hAnsi="Book Antiqua" w:cs="Arial"/>
          <w:b/>
          <w:color w:val="000000"/>
        </w:rPr>
        <w:t>Upper Tribunal</w:t>
      </w:r>
    </w:p>
    <w:p w:rsidR="007B0824" w:rsidRPr="00FA42EA" w:rsidRDefault="0010335F" w:rsidP="00780F86">
      <w:pPr>
        <w:tabs>
          <w:tab w:val="right" w:pos="9720"/>
        </w:tabs>
        <w:ind w:right="-82"/>
        <w:rPr>
          <w:rFonts w:ascii="Book Antiqua" w:hAnsi="Book Antiqua" w:cs="Arial"/>
          <w:caps/>
          <w:color w:val="000000"/>
        </w:rPr>
      </w:pPr>
      <w:r w:rsidRPr="00FA42EA">
        <w:rPr>
          <w:rFonts w:ascii="Book Antiqua" w:hAnsi="Book Antiqua" w:cs="Arial"/>
          <w:b/>
          <w:color w:val="000000"/>
        </w:rPr>
        <w:t>(Immigration and Asylum Chamber)</w:t>
      </w:r>
      <w:r w:rsidR="00DB70AE" w:rsidRPr="00FA42EA">
        <w:rPr>
          <w:rFonts w:ascii="Book Antiqua" w:hAnsi="Book Antiqua" w:cs="Arial"/>
          <w:b/>
          <w:color w:val="000000"/>
        </w:rPr>
        <w:tab/>
      </w:r>
      <w:r w:rsidR="00B3524D" w:rsidRPr="00FA42EA">
        <w:rPr>
          <w:rFonts w:ascii="Book Antiqua" w:hAnsi="Book Antiqua" w:cs="Arial"/>
          <w:color w:val="000000"/>
        </w:rPr>
        <w:t>Appeal Number</w:t>
      </w:r>
      <w:r w:rsidR="00D53769" w:rsidRPr="00FA42EA">
        <w:rPr>
          <w:rFonts w:ascii="Book Antiqua" w:hAnsi="Book Antiqua" w:cs="Arial"/>
          <w:color w:val="000000"/>
        </w:rPr>
        <w:t>:</w:t>
      </w:r>
      <w:r w:rsidR="00B3524D" w:rsidRPr="00FA42EA">
        <w:rPr>
          <w:rFonts w:ascii="Book Antiqua" w:hAnsi="Book Antiqua" w:cs="Arial"/>
          <w:color w:val="000000"/>
        </w:rPr>
        <w:t xml:space="preserve"> </w:t>
      </w:r>
      <w:bookmarkStart w:id="0" w:name="_GoBack"/>
      <w:r w:rsidR="003C1D90" w:rsidRPr="00FA42EA">
        <w:rPr>
          <w:rFonts w:ascii="Book Antiqua" w:hAnsi="Book Antiqua" w:cs="Arial"/>
          <w:caps/>
          <w:color w:val="000000"/>
        </w:rPr>
        <w:t>PA/08518/2016</w:t>
      </w:r>
      <w:bookmarkEnd w:id="0"/>
    </w:p>
    <w:p w:rsidR="00C345E1" w:rsidRPr="00FA42EA" w:rsidRDefault="00C345E1" w:rsidP="00C345E1">
      <w:pPr>
        <w:jc w:val="center"/>
        <w:rPr>
          <w:rFonts w:ascii="Book Antiqua" w:hAnsi="Book Antiqua" w:cs="Arial"/>
          <w:color w:val="000000"/>
        </w:rPr>
      </w:pPr>
    </w:p>
    <w:p w:rsidR="00C345E1" w:rsidRPr="00FA42EA" w:rsidRDefault="00C345E1" w:rsidP="00C345E1">
      <w:pPr>
        <w:jc w:val="center"/>
        <w:rPr>
          <w:rFonts w:ascii="Book Antiqua" w:hAnsi="Book Antiqua" w:cs="Arial"/>
          <w:color w:val="000000"/>
        </w:rPr>
      </w:pPr>
    </w:p>
    <w:p w:rsidR="00C345E1" w:rsidRPr="00FA42EA" w:rsidRDefault="00C345E1" w:rsidP="00D80EBB">
      <w:pPr>
        <w:jc w:val="center"/>
        <w:outlineLvl w:val="0"/>
        <w:rPr>
          <w:rFonts w:ascii="Book Antiqua" w:hAnsi="Book Antiqua" w:cs="Arial"/>
          <w:b/>
          <w:color w:val="000000"/>
          <w:u w:val="single"/>
        </w:rPr>
      </w:pPr>
      <w:r w:rsidRPr="00FA42EA">
        <w:rPr>
          <w:rFonts w:ascii="Book Antiqua" w:hAnsi="Book Antiqua" w:cs="Arial"/>
          <w:b/>
          <w:color w:val="000000"/>
          <w:u w:val="single"/>
        </w:rPr>
        <w:t>THE IMMIGRATION ACTS</w:t>
      </w:r>
    </w:p>
    <w:p w:rsidR="00C345E1" w:rsidRPr="00FA42EA" w:rsidRDefault="00C345E1" w:rsidP="00C345E1">
      <w:pPr>
        <w:jc w:val="center"/>
        <w:rPr>
          <w:rFonts w:ascii="Book Antiqua" w:hAnsi="Book Antiqua" w:cs="Arial"/>
          <w:b/>
          <w:u w:val="single"/>
        </w:rPr>
      </w:pPr>
    </w:p>
    <w:p w:rsidR="00C345E1" w:rsidRPr="00FA42EA"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B0D84" w:rsidTr="006B0D84">
        <w:tc>
          <w:tcPr>
            <w:tcW w:w="6048" w:type="dxa"/>
            <w:shd w:val="clear" w:color="auto" w:fill="auto"/>
          </w:tcPr>
          <w:p w:rsidR="00D22636" w:rsidRPr="006B0D84" w:rsidRDefault="00D22636" w:rsidP="006B0D84">
            <w:pPr>
              <w:jc w:val="both"/>
              <w:rPr>
                <w:rFonts w:ascii="Book Antiqua" w:hAnsi="Book Antiqua" w:cs="Arial"/>
                <w:b/>
              </w:rPr>
            </w:pPr>
            <w:r w:rsidRPr="006B0D84">
              <w:rPr>
                <w:rFonts w:ascii="Book Antiqua" w:hAnsi="Book Antiqua" w:cs="Arial"/>
                <w:b/>
              </w:rPr>
              <w:t xml:space="preserve">Heard at </w:t>
            </w:r>
            <w:r w:rsidR="003C1D90" w:rsidRPr="006B0D84">
              <w:rPr>
                <w:rFonts w:ascii="Book Antiqua" w:hAnsi="Book Antiqua" w:cs="Arial"/>
                <w:b/>
              </w:rPr>
              <w:t xml:space="preserve">Field House </w:t>
            </w:r>
          </w:p>
        </w:tc>
        <w:tc>
          <w:tcPr>
            <w:tcW w:w="3960" w:type="dxa"/>
            <w:shd w:val="clear" w:color="auto" w:fill="auto"/>
          </w:tcPr>
          <w:p w:rsidR="00D22636" w:rsidRPr="006B0D84" w:rsidRDefault="00A32B11" w:rsidP="006B0D84">
            <w:pPr>
              <w:jc w:val="both"/>
              <w:rPr>
                <w:rFonts w:ascii="Book Antiqua" w:hAnsi="Book Antiqua" w:cs="Arial"/>
                <w:b/>
                <w:color w:val="000000"/>
              </w:rPr>
            </w:pPr>
            <w:r w:rsidRPr="006B0D84">
              <w:rPr>
                <w:rFonts w:ascii="Book Antiqua" w:hAnsi="Book Antiqua" w:cs="Arial"/>
                <w:b/>
                <w:color w:val="000000"/>
              </w:rPr>
              <w:t>Decision &amp; Reasons</w:t>
            </w:r>
            <w:r w:rsidR="00283659" w:rsidRPr="006B0D84">
              <w:rPr>
                <w:rFonts w:ascii="Book Antiqua" w:hAnsi="Book Antiqua" w:cs="Arial"/>
                <w:b/>
                <w:color w:val="000000"/>
              </w:rPr>
              <w:t xml:space="preserve"> Promulgated</w:t>
            </w:r>
          </w:p>
        </w:tc>
      </w:tr>
      <w:tr w:rsidR="00D22636" w:rsidRPr="006B0D84" w:rsidTr="006B0D84">
        <w:tc>
          <w:tcPr>
            <w:tcW w:w="6048" w:type="dxa"/>
            <w:shd w:val="clear" w:color="auto" w:fill="auto"/>
          </w:tcPr>
          <w:p w:rsidR="00D22636" w:rsidRPr="006B0D84" w:rsidRDefault="00D22636" w:rsidP="006B0D84">
            <w:pPr>
              <w:jc w:val="both"/>
              <w:rPr>
                <w:rFonts w:ascii="Book Antiqua" w:hAnsi="Book Antiqua" w:cs="Arial"/>
                <w:b/>
              </w:rPr>
            </w:pPr>
            <w:r w:rsidRPr="006B0D84">
              <w:rPr>
                <w:rFonts w:ascii="Book Antiqua" w:hAnsi="Book Antiqua" w:cs="Arial"/>
                <w:b/>
              </w:rPr>
              <w:t xml:space="preserve">On </w:t>
            </w:r>
            <w:r w:rsidR="003C1D90" w:rsidRPr="006B0D84">
              <w:rPr>
                <w:rFonts w:ascii="Book Antiqua" w:hAnsi="Book Antiqua" w:cs="Arial"/>
                <w:b/>
              </w:rPr>
              <w:t xml:space="preserve">23 May 2018 </w:t>
            </w:r>
          </w:p>
        </w:tc>
        <w:tc>
          <w:tcPr>
            <w:tcW w:w="3960" w:type="dxa"/>
            <w:shd w:val="clear" w:color="auto" w:fill="auto"/>
          </w:tcPr>
          <w:p w:rsidR="00D22636" w:rsidRPr="006B0D84" w:rsidRDefault="0081373A" w:rsidP="006B0D84">
            <w:pPr>
              <w:jc w:val="both"/>
              <w:rPr>
                <w:rFonts w:ascii="Book Antiqua" w:hAnsi="Book Antiqua" w:cs="Arial"/>
                <w:b/>
              </w:rPr>
            </w:pPr>
            <w:r>
              <w:rPr>
                <w:rFonts w:ascii="Book Antiqua" w:hAnsi="Book Antiqua" w:cs="Arial"/>
                <w:b/>
              </w:rPr>
              <w:t xml:space="preserve">On 25 July 2018 </w:t>
            </w:r>
          </w:p>
        </w:tc>
      </w:tr>
      <w:tr w:rsidR="00D22636" w:rsidRPr="006B0D84" w:rsidTr="006B0D84">
        <w:tc>
          <w:tcPr>
            <w:tcW w:w="6048" w:type="dxa"/>
            <w:shd w:val="clear" w:color="auto" w:fill="auto"/>
          </w:tcPr>
          <w:p w:rsidR="00D22636" w:rsidRPr="006B0D84" w:rsidRDefault="00D22636" w:rsidP="006B0D84">
            <w:pPr>
              <w:jc w:val="both"/>
              <w:rPr>
                <w:rFonts w:ascii="Book Antiqua" w:hAnsi="Book Antiqua" w:cs="Arial"/>
                <w:b/>
              </w:rPr>
            </w:pPr>
          </w:p>
        </w:tc>
        <w:tc>
          <w:tcPr>
            <w:tcW w:w="3960" w:type="dxa"/>
            <w:shd w:val="clear" w:color="auto" w:fill="auto"/>
          </w:tcPr>
          <w:p w:rsidR="00D22636" w:rsidRPr="006B0D84" w:rsidRDefault="00D22636" w:rsidP="006B0D84">
            <w:pPr>
              <w:jc w:val="both"/>
              <w:rPr>
                <w:rFonts w:ascii="Book Antiqua" w:hAnsi="Book Antiqua" w:cs="Arial"/>
                <w:b/>
              </w:rPr>
            </w:pPr>
          </w:p>
        </w:tc>
      </w:tr>
    </w:tbl>
    <w:p w:rsidR="00A15234" w:rsidRPr="00FA42EA" w:rsidRDefault="00A15234" w:rsidP="00A15234">
      <w:pPr>
        <w:jc w:val="center"/>
        <w:rPr>
          <w:rFonts w:ascii="Book Antiqua" w:hAnsi="Book Antiqua" w:cs="Arial"/>
        </w:rPr>
      </w:pPr>
    </w:p>
    <w:p w:rsidR="00A15234" w:rsidRPr="00FA42EA" w:rsidRDefault="00207617" w:rsidP="00D80EBB">
      <w:pPr>
        <w:jc w:val="center"/>
        <w:outlineLvl w:val="0"/>
        <w:rPr>
          <w:rFonts w:ascii="Book Antiqua" w:hAnsi="Book Antiqua" w:cs="Arial"/>
          <w:b/>
        </w:rPr>
      </w:pPr>
      <w:r w:rsidRPr="00FA42EA">
        <w:rPr>
          <w:rFonts w:ascii="Book Antiqua" w:hAnsi="Book Antiqua" w:cs="Arial"/>
          <w:b/>
        </w:rPr>
        <w:t>Befo</w:t>
      </w:r>
      <w:r w:rsidR="00A15234" w:rsidRPr="00FA42EA">
        <w:rPr>
          <w:rFonts w:ascii="Book Antiqua" w:hAnsi="Book Antiqua" w:cs="Arial"/>
          <w:b/>
        </w:rPr>
        <w:t>re</w:t>
      </w:r>
    </w:p>
    <w:p w:rsidR="00A15234" w:rsidRPr="00FA42EA" w:rsidRDefault="00A15234" w:rsidP="00A15234">
      <w:pPr>
        <w:jc w:val="center"/>
        <w:rPr>
          <w:rFonts w:ascii="Book Antiqua" w:hAnsi="Book Antiqua" w:cs="Arial"/>
          <w:b/>
        </w:rPr>
      </w:pPr>
    </w:p>
    <w:p w:rsidR="00D20757" w:rsidRPr="00FA42EA" w:rsidRDefault="003543A1" w:rsidP="00D80EBB">
      <w:pPr>
        <w:jc w:val="center"/>
        <w:outlineLvl w:val="0"/>
        <w:rPr>
          <w:rFonts w:ascii="Book Antiqua" w:hAnsi="Book Antiqua" w:cs="Arial"/>
          <w:b/>
          <w:color w:val="000000"/>
        </w:rPr>
      </w:pPr>
      <w:r w:rsidRPr="00FA42EA">
        <w:rPr>
          <w:rFonts w:ascii="Book Antiqua" w:hAnsi="Book Antiqua" w:cs="Arial"/>
          <w:b/>
          <w:color w:val="000000"/>
        </w:rPr>
        <w:t>UPPER TRIBUNAL</w:t>
      </w:r>
      <w:r w:rsidR="001B2F75" w:rsidRPr="00FA42EA">
        <w:rPr>
          <w:rFonts w:ascii="Book Antiqua" w:hAnsi="Book Antiqua" w:cs="Arial"/>
          <w:b/>
          <w:color w:val="000000"/>
        </w:rPr>
        <w:t xml:space="preserve"> JUDGE </w:t>
      </w:r>
      <w:r w:rsidR="00842E4B" w:rsidRPr="00FA42EA">
        <w:rPr>
          <w:rFonts w:ascii="Book Antiqua" w:hAnsi="Book Antiqua" w:cs="Arial"/>
          <w:b/>
          <w:color w:val="000000"/>
        </w:rPr>
        <w:t>KOPIECZEK</w:t>
      </w:r>
    </w:p>
    <w:p w:rsidR="001B186A" w:rsidRPr="00FA42EA" w:rsidRDefault="001B186A" w:rsidP="00A15234">
      <w:pPr>
        <w:jc w:val="center"/>
        <w:rPr>
          <w:rFonts w:ascii="Book Antiqua" w:hAnsi="Book Antiqua" w:cs="Arial"/>
          <w:b/>
          <w:color w:val="000000"/>
        </w:rPr>
      </w:pPr>
    </w:p>
    <w:p w:rsidR="00A845DC" w:rsidRPr="00FA42EA" w:rsidRDefault="00A845DC" w:rsidP="00A15234">
      <w:pPr>
        <w:jc w:val="center"/>
        <w:rPr>
          <w:rFonts w:ascii="Book Antiqua" w:hAnsi="Book Antiqua" w:cs="Arial"/>
          <w:b/>
        </w:rPr>
      </w:pPr>
    </w:p>
    <w:p w:rsidR="00A845DC" w:rsidRPr="00FA42EA" w:rsidRDefault="00A845DC" w:rsidP="00D80EBB">
      <w:pPr>
        <w:jc w:val="center"/>
        <w:outlineLvl w:val="0"/>
        <w:rPr>
          <w:rFonts w:ascii="Book Antiqua" w:hAnsi="Book Antiqua" w:cs="Arial"/>
          <w:b/>
        </w:rPr>
      </w:pPr>
      <w:r w:rsidRPr="00FA42EA">
        <w:rPr>
          <w:rFonts w:ascii="Book Antiqua" w:hAnsi="Book Antiqua" w:cs="Arial"/>
          <w:b/>
        </w:rPr>
        <w:t>Between</w:t>
      </w:r>
    </w:p>
    <w:p w:rsidR="00316AF3" w:rsidRPr="00FA42EA" w:rsidRDefault="00316AF3" w:rsidP="00A15234">
      <w:pPr>
        <w:jc w:val="center"/>
        <w:rPr>
          <w:rFonts w:ascii="Book Antiqua" w:hAnsi="Book Antiqua" w:cs="Arial"/>
          <w:b/>
        </w:rPr>
      </w:pPr>
    </w:p>
    <w:p w:rsidR="00316AF3" w:rsidRDefault="00721F72" w:rsidP="00D80EBB">
      <w:pPr>
        <w:jc w:val="center"/>
        <w:outlineLvl w:val="0"/>
        <w:rPr>
          <w:rFonts w:ascii="Book Antiqua" w:hAnsi="Book Antiqua" w:cs="Arial"/>
          <w:b/>
          <w:caps/>
        </w:rPr>
      </w:pPr>
      <w:r w:rsidRPr="00FA42EA">
        <w:rPr>
          <w:rFonts w:ascii="Book Antiqua" w:hAnsi="Book Antiqua" w:cs="Arial"/>
          <w:b/>
          <w:caps/>
        </w:rPr>
        <w:t>EA</w:t>
      </w:r>
    </w:p>
    <w:p w:rsidR="00DD58BB" w:rsidRPr="003A391A" w:rsidRDefault="00DD58BB" w:rsidP="00D80EBB">
      <w:pPr>
        <w:jc w:val="center"/>
        <w:outlineLvl w:val="0"/>
        <w:rPr>
          <w:rFonts w:ascii="Book Antiqua" w:hAnsi="Book Antiqua" w:cs="Arial"/>
          <w:b/>
          <w:sz w:val="22"/>
        </w:rPr>
      </w:pPr>
      <w:r w:rsidRPr="003A391A">
        <w:rPr>
          <w:rFonts w:ascii="Book Antiqua" w:hAnsi="Book Antiqua" w:cs="Arial"/>
          <w:b/>
          <w:sz w:val="22"/>
        </w:rPr>
        <w:t>(ANONYMITY ORDER MADE)</w:t>
      </w:r>
    </w:p>
    <w:p w:rsidR="00704B61" w:rsidRPr="00FA42EA" w:rsidRDefault="00704B61" w:rsidP="00D80EBB">
      <w:pPr>
        <w:jc w:val="right"/>
        <w:outlineLvl w:val="0"/>
        <w:rPr>
          <w:rFonts w:ascii="Book Antiqua" w:hAnsi="Book Antiqua" w:cs="Arial"/>
          <w:u w:val="single"/>
        </w:rPr>
      </w:pPr>
      <w:r w:rsidRPr="00FA42EA">
        <w:rPr>
          <w:rFonts w:ascii="Book Antiqua" w:hAnsi="Book Antiqua" w:cs="Arial"/>
          <w:u w:val="single"/>
        </w:rPr>
        <w:t>Appellant</w:t>
      </w:r>
    </w:p>
    <w:p w:rsidR="00704B61" w:rsidRPr="00FA42EA" w:rsidRDefault="00DD5071" w:rsidP="00704B61">
      <w:pPr>
        <w:jc w:val="center"/>
        <w:rPr>
          <w:rFonts w:ascii="Book Antiqua" w:hAnsi="Book Antiqua" w:cs="Arial"/>
          <w:b/>
        </w:rPr>
      </w:pPr>
      <w:r w:rsidRPr="00FA42EA">
        <w:rPr>
          <w:rFonts w:ascii="Book Antiqua" w:hAnsi="Book Antiqua" w:cs="Arial"/>
          <w:b/>
        </w:rPr>
        <w:t>and</w:t>
      </w:r>
    </w:p>
    <w:p w:rsidR="00DD5071" w:rsidRPr="00FA42EA" w:rsidRDefault="00DD5071" w:rsidP="00704B61">
      <w:pPr>
        <w:jc w:val="center"/>
        <w:rPr>
          <w:rFonts w:ascii="Book Antiqua" w:hAnsi="Book Antiqua" w:cs="Arial"/>
          <w:b/>
        </w:rPr>
      </w:pPr>
    </w:p>
    <w:p w:rsidR="00316AF3" w:rsidRPr="00FA42EA" w:rsidRDefault="00721F72" w:rsidP="00D80EBB">
      <w:pPr>
        <w:jc w:val="center"/>
        <w:outlineLvl w:val="0"/>
        <w:rPr>
          <w:rFonts w:ascii="Book Antiqua" w:hAnsi="Book Antiqua" w:cs="Arial"/>
          <w:b/>
          <w:caps/>
        </w:rPr>
      </w:pPr>
      <w:r w:rsidRPr="00FA42EA">
        <w:rPr>
          <w:rFonts w:ascii="Book Antiqua" w:hAnsi="Book Antiqua" w:cs="Arial"/>
          <w:b/>
          <w:caps/>
        </w:rPr>
        <w:t>the Secretary of State for the Home Department</w:t>
      </w:r>
    </w:p>
    <w:p w:rsidR="00DD5071" w:rsidRPr="00FA42EA" w:rsidRDefault="00DD5071" w:rsidP="00D80EBB">
      <w:pPr>
        <w:jc w:val="right"/>
        <w:outlineLvl w:val="0"/>
        <w:rPr>
          <w:rFonts w:ascii="Book Antiqua" w:hAnsi="Book Antiqua" w:cs="Arial"/>
          <w:u w:val="single"/>
        </w:rPr>
      </w:pPr>
      <w:r w:rsidRPr="00FA42EA">
        <w:rPr>
          <w:rFonts w:ascii="Book Antiqua" w:hAnsi="Book Antiqua" w:cs="Arial"/>
          <w:u w:val="single"/>
        </w:rPr>
        <w:t>Respondent</w:t>
      </w:r>
    </w:p>
    <w:p w:rsidR="00DD5071" w:rsidRPr="00FA42EA" w:rsidRDefault="00DD5071" w:rsidP="00DD5071">
      <w:pPr>
        <w:rPr>
          <w:rFonts w:ascii="Book Antiqua" w:hAnsi="Book Antiqua" w:cs="Arial"/>
          <w:u w:val="single"/>
        </w:rPr>
      </w:pPr>
    </w:p>
    <w:p w:rsidR="00DD5071" w:rsidRPr="00FA42EA" w:rsidRDefault="00DD5071" w:rsidP="00DD5071">
      <w:pPr>
        <w:rPr>
          <w:rFonts w:ascii="Book Antiqua" w:hAnsi="Book Antiqua" w:cs="Arial"/>
          <w:u w:val="single"/>
        </w:rPr>
      </w:pPr>
    </w:p>
    <w:p w:rsidR="00DD5071" w:rsidRPr="00FA42EA" w:rsidRDefault="00DE7DB7" w:rsidP="00D80EBB">
      <w:pPr>
        <w:outlineLvl w:val="0"/>
        <w:rPr>
          <w:rFonts w:ascii="Book Antiqua" w:hAnsi="Book Antiqua" w:cs="Arial"/>
        </w:rPr>
      </w:pPr>
      <w:r w:rsidRPr="00FA42EA">
        <w:rPr>
          <w:rFonts w:ascii="Book Antiqua" w:hAnsi="Book Antiqua" w:cs="Arial"/>
          <w:b/>
          <w:u w:val="single"/>
        </w:rPr>
        <w:t>Representation</w:t>
      </w:r>
      <w:r w:rsidRPr="00FA42EA">
        <w:rPr>
          <w:rFonts w:ascii="Book Antiqua" w:hAnsi="Book Antiqua" w:cs="Arial"/>
          <w:b/>
        </w:rPr>
        <w:t>:</w:t>
      </w:r>
    </w:p>
    <w:p w:rsidR="00721F72" w:rsidRPr="00FA42EA" w:rsidRDefault="00DE7DB7" w:rsidP="00D80EBB">
      <w:pPr>
        <w:tabs>
          <w:tab w:val="left" w:pos="2520"/>
        </w:tabs>
        <w:outlineLvl w:val="0"/>
        <w:rPr>
          <w:rFonts w:ascii="Book Antiqua" w:hAnsi="Book Antiqua" w:cs="Arial"/>
        </w:rPr>
      </w:pPr>
      <w:r w:rsidRPr="00FA42EA">
        <w:rPr>
          <w:rFonts w:ascii="Book Antiqua" w:hAnsi="Book Antiqua" w:cs="Arial"/>
        </w:rPr>
        <w:t>For the Appellant:</w:t>
      </w:r>
      <w:r w:rsidRPr="00FA42EA">
        <w:rPr>
          <w:rFonts w:ascii="Book Antiqua" w:hAnsi="Book Antiqua" w:cs="Arial"/>
        </w:rPr>
        <w:tab/>
      </w:r>
      <w:r w:rsidR="00721F72" w:rsidRPr="00FA42EA">
        <w:rPr>
          <w:rFonts w:ascii="Book Antiqua" w:hAnsi="Book Antiqua" w:cs="Arial"/>
        </w:rPr>
        <w:t xml:space="preserve">Mr D Seddon, Counsel instructed by Turpin &amp; Miller LLP </w:t>
      </w:r>
    </w:p>
    <w:p w:rsidR="00DE7DB7" w:rsidRPr="00FA42EA" w:rsidRDefault="00721F72" w:rsidP="00721F72">
      <w:pPr>
        <w:tabs>
          <w:tab w:val="left" w:pos="2520"/>
        </w:tabs>
        <w:rPr>
          <w:rFonts w:ascii="Book Antiqua" w:hAnsi="Book Antiqua" w:cs="Arial"/>
        </w:rPr>
      </w:pPr>
      <w:r w:rsidRPr="00FA42EA">
        <w:rPr>
          <w:rFonts w:ascii="Book Antiqua" w:hAnsi="Book Antiqua" w:cs="Arial"/>
        </w:rPr>
        <w:tab/>
        <w:t>(</w:t>
      </w:r>
      <w:smartTag w:uri="urn:schemas-microsoft-com:office:smarttags" w:element="place">
        <w:smartTag w:uri="urn:schemas-microsoft-com:office:smarttags" w:element="City">
          <w:r w:rsidRPr="00FA42EA">
            <w:rPr>
              <w:rFonts w:ascii="Book Antiqua" w:hAnsi="Book Antiqua" w:cs="Arial"/>
            </w:rPr>
            <w:t>Oxford</w:t>
          </w:r>
        </w:smartTag>
      </w:smartTag>
      <w:r w:rsidRPr="00FA42EA">
        <w:rPr>
          <w:rFonts w:ascii="Book Antiqua" w:hAnsi="Book Antiqua" w:cs="Arial"/>
        </w:rPr>
        <w:t>)</w:t>
      </w:r>
    </w:p>
    <w:p w:rsidR="00DE7DB7" w:rsidRPr="00FA42EA" w:rsidRDefault="00DE7DB7" w:rsidP="00DE7DB7">
      <w:pPr>
        <w:tabs>
          <w:tab w:val="left" w:pos="2520"/>
        </w:tabs>
        <w:rPr>
          <w:rFonts w:ascii="Book Antiqua" w:hAnsi="Book Antiqua" w:cs="Arial"/>
        </w:rPr>
      </w:pPr>
      <w:r w:rsidRPr="00FA42EA">
        <w:rPr>
          <w:rFonts w:ascii="Book Antiqua" w:hAnsi="Book Antiqua" w:cs="Arial"/>
        </w:rPr>
        <w:t>For the Respondent:</w:t>
      </w:r>
      <w:r w:rsidRPr="00FA42EA">
        <w:rPr>
          <w:rFonts w:ascii="Book Antiqua" w:hAnsi="Book Antiqua" w:cs="Arial"/>
        </w:rPr>
        <w:tab/>
      </w:r>
      <w:r w:rsidR="00721F72" w:rsidRPr="00FA42EA">
        <w:rPr>
          <w:rFonts w:ascii="Book Antiqua" w:hAnsi="Book Antiqua" w:cs="Arial"/>
        </w:rPr>
        <w:t xml:space="preserve">Ms Z Ahmad, </w:t>
      </w:r>
      <w:r w:rsidR="0023637A" w:rsidRPr="00FA42EA">
        <w:rPr>
          <w:rFonts w:ascii="Book Antiqua" w:hAnsi="Book Antiqua" w:cs="Arial"/>
        </w:rPr>
        <w:t xml:space="preserve">Senior </w:t>
      </w:r>
      <w:r w:rsidR="00721F72" w:rsidRPr="00FA42EA">
        <w:rPr>
          <w:rFonts w:ascii="Book Antiqua" w:hAnsi="Book Antiqua" w:cs="Arial"/>
        </w:rPr>
        <w:t xml:space="preserve">Home Office Presenting Officer </w:t>
      </w:r>
    </w:p>
    <w:p w:rsidR="00DE7DB7" w:rsidRPr="00FA42EA" w:rsidRDefault="00DE7DB7" w:rsidP="00402B9E">
      <w:pPr>
        <w:tabs>
          <w:tab w:val="left" w:pos="2520"/>
        </w:tabs>
        <w:jc w:val="center"/>
        <w:rPr>
          <w:rFonts w:ascii="Book Antiqua" w:hAnsi="Book Antiqua" w:cs="Arial"/>
        </w:rPr>
      </w:pPr>
    </w:p>
    <w:p w:rsidR="00DE7DB7" w:rsidRPr="00FA42EA" w:rsidRDefault="00DE7DB7" w:rsidP="00402B9E">
      <w:pPr>
        <w:tabs>
          <w:tab w:val="left" w:pos="2520"/>
        </w:tabs>
        <w:jc w:val="center"/>
        <w:rPr>
          <w:rFonts w:ascii="Book Antiqua" w:hAnsi="Book Antiqua" w:cs="Arial"/>
        </w:rPr>
      </w:pPr>
    </w:p>
    <w:p w:rsidR="00DE7DB7" w:rsidRPr="00FA42EA" w:rsidRDefault="00A32B11" w:rsidP="00D80EBB">
      <w:pPr>
        <w:tabs>
          <w:tab w:val="left" w:pos="2520"/>
        </w:tabs>
        <w:jc w:val="center"/>
        <w:outlineLvl w:val="0"/>
        <w:rPr>
          <w:rFonts w:ascii="Book Antiqua" w:hAnsi="Book Antiqua" w:cs="Arial"/>
        </w:rPr>
      </w:pPr>
      <w:r w:rsidRPr="00FA42EA">
        <w:rPr>
          <w:rFonts w:ascii="Book Antiqua" w:hAnsi="Book Antiqua" w:cs="Arial"/>
          <w:b/>
          <w:u w:val="single"/>
        </w:rPr>
        <w:t xml:space="preserve">DECISION </w:t>
      </w:r>
      <w:r w:rsidR="00402B9E" w:rsidRPr="00FA42EA">
        <w:rPr>
          <w:rFonts w:ascii="Book Antiqua" w:hAnsi="Book Antiqua" w:cs="Arial"/>
          <w:b/>
          <w:u w:val="single"/>
        </w:rPr>
        <w:t>AND REASONS</w:t>
      </w:r>
    </w:p>
    <w:p w:rsidR="00316AF3" w:rsidRPr="00FA42EA" w:rsidRDefault="00316AF3"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This appeal comes back before me following a hearing before me on 2 February 2018 which resulted in my setting aside the decision of the First-tier Tribunal (“</w:t>
      </w:r>
      <w:proofErr w:type="spellStart"/>
      <w:r w:rsidRPr="00FA42EA">
        <w:rPr>
          <w:rFonts w:ascii="Book Antiqua" w:hAnsi="Book Antiqua" w:cs="Arial"/>
        </w:rPr>
        <w:t>FtT</w:t>
      </w:r>
      <w:proofErr w:type="spellEnd"/>
      <w:r w:rsidRPr="00FA42EA">
        <w:rPr>
          <w:rFonts w:ascii="Book Antiqua" w:hAnsi="Book Antiqua" w:cs="Arial"/>
        </w:rPr>
        <w:t xml:space="preserve">”) which allowed the appellant’s appeal on asylum grounds.  </w:t>
      </w:r>
    </w:p>
    <w:p w:rsidR="00316AF3" w:rsidRPr="00FA42EA" w:rsidRDefault="00316AF3"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In order to put this, the re-making of the decision, into context I set out in full my error of law decision</w:t>
      </w:r>
      <w:r w:rsidR="006E5738">
        <w:rPr>
          <w:rFonts w:ascii="Book Antiqua" w:hAnsi="Book Antiqua" w:cs="Arial"/>
        </w:rPr>
        <w:t>,</w:t>
      </w:r>
      <w:r w:rsidRPr="00FA42EA">
        <w:rPr>
          <w:rFonts w:ascii="Book Antiqua" w:hAnsi="Book Antiqua" w:cs="Arial"/>
        </w:rPr>
        <w:t xml:space="preserve"> entitled Decision and Directions</w:t>
      </w:r>
      <w:r w:rsidR="006E5738">
        <w:rPr>
          <w:rFonts w:ascii="Book Antiqua" w:hAnsi="Book Antiqua" w:cs="Arial"/>
        </w:rPr>
        <w:t>,</w:t>
      </w:r>
      <w:r w:rsidRPr="00FA42EA">
        <w:rPr>
          <w:rFonts w:ascii="Book Antiqua" w:hAnsi="Book Antiqua" w:cs="Arial"/>
        </w:rPr>
        <w:t xml:space="preserve"> as follows:</w:t>
      </w:r>
    </w:p>
    <w:p w:rsidR="003A391A" w:rsidRDefault="003A391A" w:rsidP="003A391A">
      <w:pPr>
        <w:spacing w:before="120"/>
        <w:ind w:left="1134" w:right="567"/>
        <w:jc w:val="center"/>
        <w:outlineLvl w:val="0"/>
        <w:rPr>
          <w:rFonts w:ascii="Book Antiqua" w:hAnsi="Book Antiqua" w:cs="Arial"/>
          <w:sz w:val="22"/>
          <w:szCs w:val="22"/>
        </w:rPr>
      </w:pPr>
    </w:p>
    <w:p w:rsidR="00721F72" w:rsidRPr="003A391A" w:rsidRDefault="00316AF3" w:rsidP="003A391A">
      <w:pPr>
        <w:spacing w:before="120"/>
        <w:ind w:left="1134" w:right="567"/>
        <w:jc w:val="center"/>
        <w:outlineLvl w:val="0"/>
        <w:rPr>
          <w:rFonts w:ascii="Book Antiqua" w:hAnsi="Book Antiqua" w:cs="Arial"/>
          <w:sz w:val="22"/>
          <w:szCs w:val="22"/>
        </w:rPr>
      </w:pPr>
      <w:r w:rsidRPr="003A391A">
        <w:rPr>
          <w:rFonts w:ascii="Book Antiqua" w:hAnsi="Book Antiqua" w:cs="Arial"/>
          <w:sz w:val="22"/>
          <w:szCs w:val="22"/>
        </w:rPr>
        <w:lastRenderedPageBreak/>
        <w:t>“</w:t>
      </w:r>
      <w:r w:rsidR="00721F72" w:rsidRPr="003A391A">
        <w:rPr>
          <w:rFonts w:ascii="Book Antiqua" w:hAnsi="Book Antiqua" w:cs="Arial"/>
          <w:b/>
          <w:sz w:val="22"/>
          <w:szCs w:val="22"/>
          <w:u w:val="single"/>
        </w:rPr>
        <w:t>DECISION AND DIRECTIONS</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The appellant in these proceedings is the Secretary of State.  However, I continue to refer to the parties as they were before the First-tier Tribunal (“</w:t>
      </w:r>
      <w:proofErr w:type="spellStart"/>
      <w:r w:rsidRPr="003A391A">
        <w:rPr>
          <w:rFonts w:ascii="Book Antiqua" w:hAnsi="Book Antiqua" w:cs="Arial"/>
          <w:sz w:val="22"/>
          <w:szCs w:val="22"/>
        </w:rPr>
        <w:t>FtT</w:t>
      </w:r>
      <w:proofErr w:type="spellEnd"/>
      <w:r w:rsidRPr="003A391A">
        <w:rPr>
          <w:rFonts w:ascii="Book Antiqua" w:hAnsi="Book Antiqua" w:cs="Arial"/>
          <w:sz w:val="22"/>
          <w:szCs w:val="22"/>
        </w:rPr>
        <w:t>”).</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appellant is a citizen of Kenya born in 1982.  She arrived in the UK on 25 September 2015 as a visitor.  She made a claim for asylum on 7 January 2016.  That claim was refused in a decision dated 2 August 2016.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Her appeal against that decision came before First-tier Tribunal Judge </w:t>
      </w:r>
      <w:proofErr w:type="spellStart"/>
      <w:r w:rsidRPr="003A391A">
        <w:rPr>
          <w:rFonts w:ascii="Book Antiqua" w:hAnsi="Book Antiqua" w:cs="Arial"/>
          <w:sz w:val="22"/>
          <w:szCs w:val="22"/>
        </w:rPr>
        <w:t>Swinnerton</w:t>
      </w:r>
      <w:proofErr w:type="spellEnd"/>
      <w:r w:rsidRPr="003A391A">
        <w:rPr>
          <w:rFonts w:ascii="Book Antiqua" w:hAnsi="Book Antiqua" w:cs="Arial"/>
          <w:sz w:val="22"/>
          <w:szCs w:val="22"/>
        </w:rPr>
        <w:t xml:space="preserve">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on 15 September 2017, following which she allowed the appeal on asylum grounds in a decision promulgated on 13 October 2017.</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respondent’s grounds of appeal in relation to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decision contend that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has not made lawful findings in respect of the legal and factual issues at stake.  In summary, it is contended that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has not given sustainable reasons for concluding that the appellant had been subjected to persecution in the past, or would be subjected to persecution in the future.  In her conclusions, she had failed to take into account the appellant’s particular background and circumstances.</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further background to the appeal is best illustrated with reference to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decision. </w:t>
      </w:r>
    </w:p>
    <w:p w:rsidR="001F2177" w:rsidRPr="003A391A" w:rsidRDefault="001F2177" w:rsidP="003A391A">
      <w:pPr>
        <w:spacing w:before="120"/>
        <w:ind w:left="1701" w:right="567"/>
        <w:jc w:val="both"/>
        <w:rPr>
          <w:rFonts w:ascii="Book Antiqua" w:hAnsi="Book Antiqua" w:cs="Arial"/>
          <w:i/>
          <w:sz w:val="22"/>
          <w:szCs w:val="22"/>
        </w:rPr>
      </w:pPr>
      <w:r w:rsidRPr="003A391A">
        <w:rPr>
          <w:rFonts w:ascii="Book Antiqua" w:hAnsi="Book Antiqua" w:cs="Arial"/>
          <w:i/>
          <w:sz w:val="22"/>
          <w:szCs w:val="22"/>
        </w:rPr>
        <w:t xml:space="preserve">The </w:t>
      </w:r>
      <w:proofErr w:type="spellStart"/>
      <w:r w:rsidRPr="003A391A">
        <w:rPr>
          <w:rFonts w:ascii="Book Antiqua" w:hAnsi="Book Antiqua" w:cs="Arial"/>
          <w:i/>
          <w:sz w:val="22"/>
          <w:szCs w:val="22"/>
        </w:rPr>
        <w:t>FtJ’s</w:t>
      </w:r>
      <w:proofErr w:type="spellEnd"/>
      <w:r w:rsidRPr="003A391A">
        <w:rPr>
          <w:rFonts w:ascii="Book Antiqua" w:hAnsi="Book Antiqua" w:cs="Arial"/>
          <w:i/>
          <w:sz w:val="22"/>
          <w:szCs w:val="22"/>
        </w:rPr>
        <w:t xml:space="preserve"> decision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recorded that the appellant had arrived in the UK on 25 September 2015 with a valid visit visa in order to attend a two-day muscular dystrophy conference.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basis of the appellant’s claim was summarised by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to the effect that she was diagnosed with muscular dystrophy at the age of 14 and was the youngest of nine children and her family rejected her when she was aged 23 because of her disability.  They no longer wanted to take responsibility for her and saw her as a curse on the family.</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Her father is a subsistence farmer.  The appellant’s case was that she cannot walk and uses a wheelchair all the time.  When she was aged 14 she fell over by the roadside and called for help.  The person who came to her assistance tried to rape her.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appellant further described instances when she had been stared at by crowds due to her disability.  That included an incident in early 2015 when she had been in a supermarket in her wheelchair, and an incident on leaving the house of her brother-in-law.  She said that in 1996 a bus driver had deliberately accelerated when she was alighting a school bus. There was a further incident in 2014 when she was hit by a taxi that reversed into her.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The appellant’s husband was diagnosed with sickle cell anaemia at the age of 2 years.</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The respondent accepted that the appellant suffered from muscular dystrophy, but the other aspects of her claim were not accepted.  Furthermore, the respondent asserted that the treatment which the appellant feared on return to Kenya amounted at most to discrimination, rather than persecution.</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lastRenderedPageBreak/>
        <w:t xml:space="preserve">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heard evidence from the appellant, who was using a specially adapted and widened wheelchair.  She gave evidence through a Swahili interpreter.  Her evidence included the fact that she and her husband sold their small food stall prior to coming to the UK in 2015.</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She said that she was forced to leave the family home when she was aged 23 as her family had listened to people saying that she was disabled because she was cursed.  She last had contact with her parents in December 2015 and had not reconciled with her family in Kenya, although remains in contact with her sister in the UK.</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The appellant’s husband gave evidence as to his family in Kenya, and the last contact he had with them in 2012.  His evidence was that his family did not treat the appellant well due to the negative attitude generally of people in Kenya towards those with disabilities.  He and the appellant did not return to Kenya after the end of the conference, as the appellant was seriously ill and pregnant.</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There was further oral evidence from a Reverend McKay.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found that the appellant suffers from limb girdle muscular dystrophy and her husband suffers from sickle cell anaemia and other conditions.  The appellant’s child was stillborn on 17 March 2016.</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also found that the appellant was rejected by her family in Kenya at the age of 23 due to her disability and maintains no contact with her family in Kenya.  She has a sister in the UK with whom she has contact.  The appellant has been wheelchair-bound since 2010 and is reliant upon multiple carers on a daily basis, as well as her husband who also acts as her </w:t>
      </w:r>
      <w:proofErr w:type="spellStart"/>
      <w:r w:rsidRPr="003A391A">
        <w:rPr>
          <w:rFonts w:ascii="Book Antiqua" w:hAnsi="Book Antiqua" w:cs="Arial"/>
          <w:sz w:val="22"/>
          <w:szCs w:val="22"/>
        </w:rPr>
        <w:t>carer</w:t>
      </w:r>
      <w:proofErr w:type="spellEnd"/>
      <w:r w:rsidRPr="003A391A">
        <w:rPr>
          <w:rFonts w:ascii="Book Antiqua" w:hAnsi="Book Antiqua" w:cs="Arial"/>
          <w:sz w:val="22"/>
          <w:szCs w:val="22"/>
        </w:rPr>
        <w:t>.</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At [6] (the second paragraph so marked) she referred to a report from Ms Elizabeth </w:t>
      </w:r>
      <w:proofErr w:type="spellStart"/>
      <w:r w:rsidRPr="003A391A">
        <w:rPr>
          <w:rFonts w:ascii="Book Antiqua" w:hAnsi="Book Antiqua" w:cs="Arial"/>
          <w:sz w:val="22"/>
          <w:szCs w:val="22"/>
        </w:rPr>
        <w:t>Kamundia</w:t>
      </w:r>
      <w:proofErr w:type="spellEnd"/>
      <w:r w:rsidRPr="003A391A">
        <w:rPr>
          <w:rFonts w:ascii="Book Antiqua" w:hAnsi="Book Antiqua" w:cs="Arial"/>
          <w:sz w:val="22"/>
          <w:szCs w:val="22"/>
        </w:rPr>
        <w:t>, a consultant on the rights of persons with disabilities in Kenya, as well as medical evidence and background material.</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For reasons that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explained, she found the appellant to be a credible witness and concluded that she had given a credible account of having been rejected by her family and of having been required to leave the family home due to her disability.  She noted that the appellant had not been cross-examined in relation to the incidents that she said had happened to her in Kenya as set out in her asylum interview.  She noted that not all of those incidents were claimed by the appellant to have been a consequence of her disability.  The account of the attempted rape when she was aged 14 was,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said, a result of her inability to get up when she fell over, with the attempted rapist taking advantage of her because of her disability.  The incident in 1996 involved a bus driver disregarding her safety and lacking regard for her disability.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However, at [9] she also said that the appellant had referred to a ‘relatively limited number of incidents involving her disability spanning a relatively long period of time’.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At [10] she said that she found the appellant’s husband to have given credible evidence in terms of the attitude of people in Kenya towards his wife, the poor treatment received by his wife from his family as a consequence of her disability, and to the negative attitude in general in Kenya towards people with disabilities.</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lastRenderedPageBreak/>
        <w:t xml:space="preserve">In relation to the report of Ms </w:t>
      </w:r>
      <w:proofErr w:type="spellStart"/>
      <w:r w:rsidRPr="003A391A">
        <w:rPr>
          <w:rFonts w:ascii="Book Antiqua" w:hAnsi="Book Antiqua" w:cs="Arial"/>
          <w:sz w:val="22"/>
          <w:szCs w:val="22"/>
        </w:rPr>
        <w:t>Kamundia</w:t>
      </w:r>
      <w:proofErr w:type="spellEnd"/>
      <w:r w:rsidRPr="003A391A">
        <w:rPr>
          <w:rFonts w:ascii="Book Antiqua" w:hAnsi="Book Antiqua" w:cs="Arial"/>
          <w:sz w:val="22"/>
          <w:szCs w:val="22"/>
        </w:rPr>
        <w:t>, she noted that there was no challenge to the evidence in that report dated 1 March 2017.  She accepted the report’s conclusions in terms of the situation for persons with disabilities in Kenya.  To summarise, the report stated that persons with disabilities face discriminatory attitudes and treatment in Kenya and that such attitudes are especially worse towards pregnant disabled women.</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At [11] reference was also made to the skeleton argument submitted on behalf of the appellant which contended that the appellant was at risk both from discrimination amounting to persecution and at risk of other serious harm.  The lack of state housing for the appellant and the inability to access housing, with the very real risk of going entirely without care and the inability to access health care, were arguments that she accepted.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Noting at [12] aspects of the US State Department Report for Kenya dated 13 April 2016, she referred to its stating that the government did not effectively enforce provisions relating to discrimination against persons with physical or mental disability.  She referred to a further report from the United Disabled Persons of Kenya, dated 20 April 2015, which stated that disabled women were up to three times more likely to be victims of physical and sexual abuse than their non-disabled counterparts.  She also accepted that evidence.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In the following paragraph she gave reasons for concluding that the delay in the appellant claiming asylum did not damage her credibility.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conclusions were finally expressed at [14] and [15].  In the former, she again referred to the limited number of incidents when the appellant had been mistreated or abused in Kenya as a consequence of her disability.  She repeated that she found the appellant and her husband to be “highly credible witnesses”, particularly relating to the past incidents suffered by the appellant, and the ongoing difficulties faced by her in Kenya because of her disability, such as the negative and dismissive attitude of their respective families towards the appellant.  She referred again to the report of Ms </w:t>
      </w:r>
      <w:proofErr w:type="spellStart"/>
      <w:r w:rsidRPr="003A391A">
        <w:rPr>
          <w:rFonts w:ascii="Book Antiqua" w:hAnsi="Book Antiqua" w:cs="Arial"/>
          <w:sz w:val="22"/>
          <w:szCs w:val="22"/>
        </w:rPr>
        <w:t>Kamundia</w:t>
      </w:r>
      <w:proofErr w:type="spellEnd"/>
      <w:r w:rsidRPr="003A391A">
        <w:rPr>
          <w:rFonts w:ascii="Book Antiqua" w:hAnsi="Book Antiqua" w:cs="Arial"/>
          <w:sz w:val="22"/>
          <w:szCs w:val="22"/>
        </w:rPr>
        <w:t xml:space="preserve"> stating that there was a framework to protect people with disabilities but that that framework was not enforced.  She went on to state that the objective evidence provided supported the claim that ‘the discrimination that would be suffered by the Appellant may amount to persecution’.  She then said that the appellant is heavily dependent upon daily care from multiple carers as well as her husband, and the medical evidence provided did not appear to suggest that the appellant’s medical condition is an improving one.</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Lastly, at [15] she stated that she was satisfied that the appellant “would be at real risk if returned to Kenya” and stated that ‘I accept the Appellant’s claim on asylum grounds’.</w:t>
      </w:r>
    </w:p>
    <w:p w:rsidR="001F2177" w:rsidRPr="003A391A" w:rsidRDefault="001F2177" w:rsidP="003A391A">
      <w:pPr>
        <w:spacing w:before="120"/>
        <w:ind w:left="1134" w:right="567" w:firstLine="567"/>
        <w:jc w:val="both"/>
        <w:rPr>
          <w:rFonts w:ascii="Book Antiqua" w:hAnsi="Book Antiqua" w:cs="Arial"/>
          <w:i/>
          <w:sz w:val="22"/>
          <w:szCs w:val="22"/>
        </w:rPr>
      </w:pPr>
      <w:r w:rsidRPr="003A391A">
        <w:rPr>
          <w:rFonts w:ascii="Book Antiqua" w:hAnsi="Book Antiqua" w:cs="Arial"/>
          <w:i/>
          <w:sz w:val="22"/>
          <w:szCs w:val="22"/>
        </w:rPr>
        <w:t xml:space="preserve">Submissions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submissions on behalf of the respondent relied on the grounds and the respondent’s skeleton argument.  Two cases set out in the skeleton argument, namely cases C-199/12, C-200/12 and C201/12, </w:t>
      </w:r>
      <w:r w:rsidRPr="003A391A">
        <w:rPr>
          <w:rFonts w:ascii="Book Antiqua" w:hAnsi="Book Antiqua" w:cs="Arial"/>
          <w:i/>
          <w:sz w:val="22"/>
          <w:szCs w:val="22"/>
        </w:rPr>
        <w:t xml:space="preserve">XY and Z, </w:t>
      </w:r>
      <w:r w:rsidRPr="003A391A">
        <w:rPr>
          <w:rFonts w:ascii="Book Antiqua" w:hAnsi="Book Antiqua" w:cs="Arial"/>
          <w:sz w:val="22"/>
          <w:szCs w:val="22"/>
        </w:rPr>
        <w:t>and</w:t>
      </w:r>
      <w:r w:rsidRPr="003A391A">
        <w:rPr>
          <w:rFonts w:ascii="Book Antiqua" w:hAnsi="Book Antiqua" w:cs="Arial"/>
          <w:i/>
          <w:sz w:val="22"/>
          <w:szCs w:val="22"/>
        </w:rPr>
        <w:t xml:space="preserve"> RS and Others (Zimbabwe – AIDS) Zimbabwe </w:t>
      </w:r>
      <w:r w:rsidRPr="003A391A">
        <w:rPr>
          <w:rFonts w:ascii="Book Antiqua" w:hAnsi="Book Antiqua" w:cs="Arial"/>
          <w:sz w:val="22"/>
          <w:szCs w:val="22"/>
        </w:rPr>
        <w:t xml:space="preserve">CG [2010] UKUT 363, were not relied on.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lastRenderedPageBreak/>
        <w:t xml:space="preserve">It was submitted that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decision did not provide a lawful assessment of how the background evidence engaged the Refugee Convention.  It was further submitted that the only real reasoning in this respect was in terms of the negative attitude from the appellant and her husband’s family, a limited number of incidents that occurred to her, the expert evidence and background evidence.  However, at [14] it was not clear what background evidence was being relied on by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for her conclusions.</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In any event, the evidence did not establish that the appellant would be at risk of persecution.  At [14] there was a conflation of issues in terms of the dependency on daily care and the issue of persecution.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Mr Jarvis relied on </w:t>
      </w:r>
      <w:r w:rsidRPr="003A391A">
        <w:rPr>
          <w:rFonts w:ascii="Book Antiqua" w:hAnsi="Book Antiqua" w:cs="Arial"/>
          <w:i/>
          <w:sz w:val="22"/>
          <w:szCs w:val="22"/>
        </w:rPr>
        <w:t>HL (Malaysia) v Secretary of State for the Home Department</w:t>
      </w:r>
      <w:r w:rsidRPr="003A391A">
        <w:rPr>
          <w:rFonts w:ascii="Book Antiqua" w:hAnsi="Book Antiqua" w:cs="Arial"/>
          <w:sz w:val="22"/>
          <w:szCs w:val="22"/>
        </w:rPr>
        <w:t xml:space="preserve"> [2012] EWCA </w:t>
      </w:r>
      <w:proofErr w:type="spellStart"/>
      <w:r w:rsidRPr="003A391A">
        <w:rPr>
          <w:rFonts w:ascii="Book Antiqua" w:hAnsi="Book Antiqua" w:cs="Arial"/>
          <w:sz w:val="22"/>
          <w:szCs w:val="22"/>
        </w:rPr>
        <w:t>Civ</w:t>
      </w:r>
      <w:proofErr w:type="spellEnd"/>
      <w:r w:rsidRPr="003A391A">
        <w:rPr>
          <w:rFonts w:ascii="Book Antiqua" w:hAnsi="Book Antiqua" w:cs="Arial"/>
          <w:sz w:val="22"/>
          <w:szCs w:val="22"/>
        </w:rPr>
        <w:t xml:space="preserve"> 834 in terms of the issue of protection from persecution, as opposed to discrimination.  I was referred to Article 9 of the Qualification Directive (2004/83) in relation to the meaning of acts of persecution.  It was submitted that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did not go on to consider whether the acts of discrimination that the appellant referred to amounted to persecution.  This was to be assessed in terms of whether the authorities deliberately failed to act against high level discrimination, or whether there was discrimination from the state which was deliberate.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It was argued that the appellant would not be able to show persecution on the basis that Kenya was simply doing its best with the resources that it had.  The expert evidence would need to have gone further than to show a lack of enforcement.  It would be surprising for the Kenyan government to lay out an extensive framework to protect people with disabilities, and to sign up to a number of Conventions, if the underlying motive was to do the opposite.</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Ms Mellon submitted that there were a range of undisputed facts which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took into account.  There was no challenge to the appellant’s account.  The incidents of persecution were set out at [4] of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decision.  Ms Mellon further referred to various aspects of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decision to support the proposition that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was entitled to come to the conclusions that she did in terms of past persecution and future persecution.</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It was accepted that perhaps clearer, or more detailed, reasons could have been given by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as to her conclusions in relation to the risk of persecution, and what amounted to persecution, but she did not need to refer to the cases relied on by the respondent.</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It was submitted that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plainly did take into account the appellant’s personal circumstances or specific characteristics, although she did not at [14] refer to those matters relied on </w:t>
      </w:r>
      <w:proofErr w:type="spellStart"/>
      <w:r w:rsidRPr="003A391A">
        <w:rPr>
          <w:rFonts w:ascii="Book Antiqua" w:hAnsi="Book Antiqua" w:cs="Arial"/>
          <w:sz w:val="22"/>
          <w:szCs w:val="22"/>
        </w:rPr>
        <w:t>on</w:t>
      </w:r>
      <w:proofErr w:type="spellEnd"/>
      <w:r w:rsidRPr="003A391A">
        <w:rPr>
          <w:rFonts w:ascii="Book Antiqua" w:hAnsi="Book Antiqua" w:cs="Arial"/>
          <w:sz w:val="22"/>
          <w:szCs w:val="22"/>
        </w:rPr>
        <w:t xml:space="preserve"> behalf of the respondent.  She indicated at [6] that she had considered all the documentation provided.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It was submitted that the respondent’s grounds simply amount to an attempt to re-run the respondent’s case, as set out in the decision letter.</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In reply, Mr Jarvis submitted that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findings in terms, for example, as to a lack of housing available to the appellant, did not explain how that made a person a refugee.  The lack of availability of services does not establish that fact.  Although at [12]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referred to evidence that disabled women are up to three times more likely to be victims of physical and sexual abuse than </w:t>
      </w:r>
      <w:r w:rsidRPr="003A391A">
        <w:rPr>
          <w:rFonts w:ascii="Book Antiqua" w:hAnsi="Book Antiqua" w:cs="Arial"/>
          <w:sz w:val="22"/>
          <w:szCs w:val="22"/>
        </w:rPr>
        <w:lastRenderedPageBreak/>
        <w:t xml:space="preserve">their non-disabled counterparts, that does not establish how likely such abuse is.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Furthermore, it was reiterated that there was no engagement with Article 9(2) of the qualification Directive.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had not looked at the position that prevailed in more recent years, namely that the appellant and her husband had been running a business and had had a flat in Nairobi for six years.</w:t>
      </w:r>
    </w:p>
    <w:p w:rsidR="001F2177" w:rsidRPr="003A391A" w:rsidRDefault="001F2177" w:rsidP="003A391A">
      <w:pPr>
        <w:spacing w:before="120"/>
        <w:ind w:left="1701" w:right="567"/>
        <w:jc w:val="both"/>
        <w:rPr>
          <w:rFonts w:ascii="Book Antiqua" w:hAnsi="Book Antiqua" w:cs="Arial"/>
          <w:i/>
          <w:sz w:val="22"/>
          <w:szCs w:val="22"/>
        </w:rPr>
      </w:pPr>
      <w:r w:rsidRPr="003A391A">
        <w:rPr>
          <w:rFonts w:ascii="Book Antiqua" w:hAnsi="Book Antiqua" w:cs="Arial"/>
          <w:i/>
          <w:sz w:val="22"/>
          <w:szCs w:val="22"/>
        </w:rPr>
        <w:t xml:space="preserve">Conclusions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At the conclusion of the hearing before me, I announced that I was satisfied that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decision was vitiated by error of law such as to require her decision to be set aside.  These are my reasons.</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issue before me, to summarise, is whether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decision engages, or lawfully engages, with the issue of whether the treatment that the appellant fears amounts to persecution.  Past persecution is of course relevant to the question of the risk of future persecution. I have considered the appellant’s witness statement, the background material and the asylum interview, as well as the other documents provided in support of the appeal.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In order to assess the issue of persecution, it is necessary not only to have regard to established authority on the point, but also to have regard to Article 9 of the Qualification Directive.  Article 9 as to the meaning of acts of persecution states as follows:</w:t>
      </w:r>
    </w:p>
    <w:p w:rsidR="001F2177" w:rsidRPr="003A391A" w:rsidRDefault="001F2177" w:rsidP="003A391A">
      <w:pPr>
        <w:spacing w:before="120"/>
        <w:ind w:left="2268" w:right="567"/>
        <w:jc w:val="both"/>
        <w:outlineLvl w:val="0"/>
        <w:rPr>
          <w:rFonts w:ascii="Book Antiqua" w:hAnsi="Book Antiqua" w:cs="Arial"/>
          <w:sz w:val="22"/>
          <w:szCs w:val="22"/>
        </w:rPr>
      </w:pPr>
      <w:r w:rsidRPr="003A391A">
        <w:rPr>
          <w:rFonts w:ascii="Book Antiqua" w:hAnsi="Book Antiqua" w:cs="Arial"/>
          <w:b/>
          <w:sz w:val="22"/>
          <w:szCs w:val="22"/>
        </w:rPr>
        <w:t>‘Acts of persecution</w:t>
      </w:r>
    </w:p>
    <w:p w:rsidR="001F2177" w:rsidRPr="003A391A" w:rsidRDefault="001F2177" w:rsidP="003A391A">
      <w:pPr>
        <w:spacing w:before="120"/>
        <w:ind w:left="2268" w:right="567"/>
        <w:jc w:val="both"/>
        <w:rPr>
          <w:rFonts w:ascii="Book Antiqua" w:hAnsi="Book Antiqua" w:cs="Arial"/>
          <w:sz w:val="22"/>
          <w:szCs w:val="22"/>
        </w:rPr>
      </w:pPr>
      <w:r w:rsidRPr="003A391A">
        <w:rPr>
          <w:rFonts w:ascii="Book Antiqua" w:hAnsi="Book Antiqua" w:cs="Arial"/>
          <w:sz w:val="22"/>
          <w:szCs w:val="22"/>
        </w:rPr>
        <w:t>1. Acts of persecution within the meaning of article 1 A of the Geneva Convention must:</w:t>
      </w:r>
    </w:p>
    <w:p w:rsidR="001F2177" w:rsidRPr="003A391A" w:rsidRDefault="001F2177" w:rsidP="003A391A">
      <w:pPr>
        <w:spacing w:before="120"/>
        <w:ind w:left="2268" w:right="567"/>
        <w:jc w:val="both"/>
        <w:rPr>
          <w:rFonts w:ascii="Book Antiqua" w:hAnsi="Book Antiqua" w:cs="Arial"/>
          <w:sz w:val="22"/>
          <w:szCs w:val="22"/>
        </w:rPr>
      </w:pPr>
      <w:r w:rsidRPr="003A391A">
        <w:rPr>
          <w:rFonts w:ascii="Book Antiqua" w:hAnsi="Book Antiqua" w:cs="Arial"/>
          <w:sz w:val="22"/>
          <w:szCs w:val="22"/>
        </w:rPr>
        <w:t>(a) be sufficiently serious by their nature or repetition as to constitute a severe violation of basic human rights, in particular the rights from which derogation cannot be made under Article 15(2) of the European Convention for the Protection of Human Rights and Fundamental Freedoms; or</w:t>
      </w:r>
    </w:p>
    <w:p w:rsidR="001F2177" w:rsidRPr="003A391A" w:rsidRDefault="001F2177" w:rsidP="003A391A">
      <w:pPr>
        <w:spacing w:before="120"/>
        <w:ind w:left="2268" w:right="567"/>
        <w:jc w:val="both"/>
        <w:rPr>
          <w:rFonts w:ascii="Book Antiqua" w:hAnsi="Book Antiqua" w:cs="Arial"/>
          <w:sz w:val="22"/>
          <w:szCs w:val="22"/>
        </w:rPr>
      </w:pPr>
      <w:r w:rsidRPr="003A391A">
        <w:rPr>
          <w:rFonts w:ascii="Book Antiqua" w:hAnsi="Book Antiqua" w:cs="Arial"/>
          <w:sz w:val="22"/>
          <w:szCs w:val="22"/>
        </w:rPr>
        <w:t>(b) be an accumulation of various measures, including violations of human rights which is sufficiently severe as to affect an individual in a similar manner as mentioned in (a).</w:t>
      </w:r>
    </w:p>
    <w:p w:rsidR="001F2177" w:rsidRPr="003A391A" w:rsidRDefault="001F2177" w:rsidP="003A391A">
      <w:pPr>
        <w:spacing w:before="120"/>
        <w:ind w:left="2268" w:right="567"/>
        <w:jc w:val="both"/>
        <w:rPr>
          <w:rFonts w:ascii="Book Antiqua" w:hAnsi="Book Antiqua" w:cs="Arial"/>
          <w:sz w:val="22"/>
          <w:szCs w:val="22"/>
        </w:rPr>
      </w:pPr>
      <w:r w:rsidRPr="003A391A">
        <w:rPr>
          <w:rFonts w:ascii="Book Antiqua" w:hAnsi="Book Antiqua" w:cs="Arial"/>
          <w:sz w:val="22"/>
          <w:szCs w:val="22"/>
        </w:rPr>
        <w:t>2. Acts of persecution as qualified in paragraph 1, can, inter alia, take the form of:</w:t>
      </w:r>
    </w:p>
    <w:p w:rsidR="001F2177" w:rsidRPr="003A391A" w:rsidRDefault="001F2177" w:rsidP="003A391A">
      <w:pPr>
        <w:spacing w:before="120"/>
        <w:ind w:left="2268" w:right="567"/>
        <w:jc w:val="both"/>
        <w:rPr>
          <w:rFonts w:ascii="Book Antiqua" w:hAnsi="Book Antiqua" w:cs="Arial"/>
          <w:sz w:val="22"/>
          <w:szCs w:val="22"/>
        </w:rPr>
      </w:pPr>
      <w:r w:rsidRPr="003A391A">
        <w:rPr>
          <w:rFonts w:ascii="Book Antiqua" w:hAnsi="Book Antiqua" w:cs="Arial"/>
          <w:sz w:val="22"/>
          <w:szCs w:val="22"/>
        </w:rPr>
        <w:t>(a) acts of physical or mental violence, including acts of sexual violence;</w:t>
      </w:r>
    </w:p>
    <w:p w:rsidR="001F2177" w:rsidRPr="003A391A" w:rsidRDefault="001F2177" w:rsidP="003A391A">
      <w:pPr>
        <w:spacing w:before="120"/>
        <w:ind w:left="2268" w:right="567"/>
        <w:jc w:val="both"/>
        <w:rPr>
          <w:rFonts w:ascii="Book Antiqua" w:hAnsi="Book Antiqua" w:cs="Arial"/>
          <w:sz w:val="22"/>
          <w:szCs w:val="22"/>
        </w:rPr>
      </w:pPr>
      <w:r w:rsidRPr="003A391A">
        <w:rPr>
          <w:rFonts w:ascii="Book Antiqua" w:hAnsi="Book Antiqua" w:cs="Arial"/>
          <w:sz w:val="22"/>
          <w:szCs w:val="22"/>
        </w:rPr>
        <w:t>(b) legal, administrative, police, and/or judicial measures which are in themselves discriminatory or which are implemented in a discriminatory manner;</w:t>
      </w:r>
    </w:p>
    <w:p w:rsidR="001F2177" w:rsidRPr="003A391A" w:rsidRDefault="001F2177" w:rsidP="003A391A">
      <w:pPr>
        <w:spacing w:before="120"/>
        <w:ind w:left="2268" w:right="567"/>
        <w:jc w:val="both"/>
        <w:rPr>
          <w:rFonts w:ascii="Book Antiqua" w:hAnsi="Book Antiqua" w:cs="Arial"/>
          <w:sz w:val="22"/>
          <w:szCs w:val="22"/>
        </w:rPr>
      </w:pPr>
      <w:r w:rsidRPr="003A391A">
        <w:rPr>
          <w:rFonts w:ascii="Book Antiqua" w:hAnsi="Book Antiqua" w:cs="Arial"/>
          <w:sz w:val="22"/>
          <w:szCs w:val="22"/>
        </w:rPr>
        <w:t>(c) prosecution or punishment, which is disproportionate or discriminatory;</w:t>
      </w:r>
    </w:p>
    <w:p w:rsidR="001F2177" w:rsidRPr="003A391A" w:rsidRDefault="001F2177" w:rsidP="003A391A">
      <w:pPr>
        <w:spacing w:before="120"/>
        <w:ind w:left="2268" w:right="567"/>
        <w:jc w:val="both"/>
        <w:rPr>
          <w:rFonts w:ascii="Book Antiqua" w:hAnsi="Book Antiqua" w:cs="Arial"/>
          <w:sz w:val="22"/>
          <w:szCs w:val="22"/>
        </w:rPr>
      </w:pPr>
      <w:r w:rsidRPr="003A391A">
        <w:rPr>
          <w:rFonts w:ascii="Book Antiqua" w:hAnsi="Book Antiqua" w:cs="Arial"/>
          <w:sz w:val="22"/>
          <w:szCs w:val="22"/>
        </w:rPr>
        <w:t>(d) denial of judicial redress resulting in a disproportionate or discriminatory punishment;</w:t>
      </w:r>
    </w:p>
    <w:p w:rsidR="001F2177" w:rsidRPr="003A391A" w:rsidRDefault="001F2177" w:rsidP="003A391A">
      <w:pPr>
        <w:spacing w:before="120"/>
        <w:ind w:left="2268" w:right="567"/>
        <w:jc w:val="both"/>
        <w:rPr>
          <w:rFonts w:ascii="Book Antiqua" w:hAnsi="Book Antiqua" w:cs="Arial"/>
          <w:sz w:val="22"/>
          <w:szCs w:val="22"/>
        </w:rPr>
      </w:pPr>
      <w:r w:rsidRPr="003A391A">
        <w:rPr>
          <w:rFonts w:ascii="Book Antiqua" w:hAnsi="Book Antiqua" w:cs="Arial"/>
          <w:sz w:val="22"/>
          <w:szCs w:val="22"/>
        </w:rPr>
        <w:lastRenderedPageBreak/>
        <w:t>(e) prosecution or punishment for refusal to perform military service in a conflict, where performing military service would include crimes or acts falling under the exclusion clauses as set out in Article 12(2);</w:t>
      </w:r>
    </w:p>
    <w:p w:rsidR="001F2177" w:rsidRPr="003A391A" w:rsidRDefault="001F2177" w:rsidP="003A391A">
      <w:pPr>
        <w:spacing w:before="120"/>
        <w:ind w:left="2268" w:right="567"/>
        <w:jc w:val="both"/>
        <w:rPr>
          <w:rFonts w:ascii="Book Antiqua" w:hAnsi="Book Antiqua" w:cs="Arial"/>
          <w:sz w:val="22"/>
          <w:szCs w:val="22"/>
        </w:rPr>
      </w:pPr>
      <w:r w:rsidRPr="003A391A">
        <w:rPr>
          <w:rFonts w:ascii="Book Antiqua" w:hAnsi="Book Antiqua" w:cs="Arial"/>
          <w:sz w:val="22"/>
          <w:szCs w:val="22"/>
        </w:rPr>
        <w:t>(f) acts of a gender-specific or child-specific nature.</w:t>
      </w:r>
    </w:p>
    <w:p w:rsidR="001F2177" w:rsidRPr="003A391A" w:rsidRDefault="001F2177" w:rsidP="003A391A">
      <w:pPr>
        <w:spacing w:before="120"/>
        <w:ind w:left="2268" w:right="567"/>
        <w:jc w:val="both"/>
        <w:rPr>
          <w:rFonts w:ascii="Book Antiqua" w:hAnsi="Book Antiqua" w:cs="Arial"/>
          <w:sz w:val="22"/>
          <w:szCs w:val="22"/>
        </w:rPr>
      </w:pPr>
      <w:r w:rsidRPr="003A391A">
        <w:rPr>
          <w:rFonts w:ascii="Book Antiqua" w:hAnsi="Book Antiqua" w:cs="Arial"/>
          <w:sz w:val="22"/>
          <w:szCs w:val="22"/>
        </w:rPr>
        <w:t>3. In accordance with Article 2(c), there must be a connection between the reasons mentioned in Article 10 and the acts of persecution as qualified in paragraph 1.’</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It is clear that there must a connection between the reasons for the persecution and the acts of persecution.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Nowhere in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decision is there any analysis of whether the acts that the appellant complains of having suffered in the past amount to persecution.  The authorities relied on by the respondent in the grounds before me are apposite.  Discrimination alone cannot amount to persecution.  It is not evident from the facts put before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that the appellant was subjected to acts of persecution as described in Article 9(2), which is admittedly not an exhaustive description of the acts that may amount to persecution.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appellant has, according to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findings, been subjected to the risk of harm on some occasions.  For example, when she was 14 she fell and a would-be rescuer turned out to be a person seeking to take advantage of her due to her vulnerability, and attempted to rape her.  However, not only was that incident over 20 years ago, it is not indicative of harm directed towards the appellant </w:t>
      </w:r>
      <w:r w:rsidRPr="003A391A">
        <w:rPr>
          <w:rFonts w:ascii="Book Antiqua" w:hAnsi="Book Antiqua" w:cs="Arial"/>
          <w:i/>
          <w:sz w:val="22"/>
          <w:szCs w:val="22"/>
        </w:rPr>
        <w:t>because</w:t>
      </w:r>
      <w:r w:rsidRPr="003A391A">
        <w:rPr>
          <w:rFonts w:ascii="Book Antiqua" w:hAnsi="Book Antiqua" w:cs="Arial"/>
          <w:sz w:val="22"/>
          <w:szCs w:val="22"/>
        </w:rPr>
        <w:t xml:space="preserve"> she was disabled, but indicative of an act of opportunism, taking advantage of her vulnerability.</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In her asylum interview, the appellant said in answer to question 50, that since that attack there have been no further attacks, although she was always in fear.  In relation to an incident in 2014, when she was alighting a taxi, the driver of the taxi did not check that she was already inside the house and reversed the car which hit her (question 59 of the asylum interview).  She went on to say in the interview that she believed that it was an accident.  She also referred to an incident with a bus, whereby the bus driver did not wait for her to alight.  As a </w:t>
      </w:r>
      <w:proofErr w:type="gramStart"/>
      <w:r w:rsidRPr="003A391A">
        <w:rPr>
          <w:rFonts w:ascii="Book Antiqua" w:hAnsi="Book Antiqua" w:cs="Arial"/>
          <w:sz w:val="22"/>
          <w:szCs w:val="22"/>
        </w:rPr>
        <w:t>result</w:t>
      </w:r>
      <w:proofErr w:type="gramEnd"/>
      <w:r w:rsidRPr="003A391A">
        <w:rPr>
          <w:rFonts w:ascii="Book Antiqua" w:hAnsi="Book Antiqua" w:cs="Arial"/>
          <w:sz w:val="22"/>
          <w:szCs w:val="22"/>
        </w:rPr>
        <w:t xml:space="preserve"> she fell.  She said in the interview that she thought that the bus driver had done it deliberately, although he apologised which is why she did not report him.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Other than that, she refers to incidents when she has been stared at by crowds because of her disability.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There is no evidence of deliberate discrimination against people with disabilities by the authorities.  The fact that the provision for disabled people is patchy or lacking in enforcement, is not sufficient to amount to state persecution.  The societal attitudes to which the appellant refers, again on the basis of the information before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could not be said to reach the threshold of persecution.  As was said in </w:t>
      </w:r>
      <w:r w:rsidRPr="003A391A">
        <w:rPr>
          <w:rFonts w:ascii="Book Antiqua" w:hAnsi="Book Antiqua" w:cs="Arial"/>
          <w:i/>
          <w:sz w:val="22"/>
          <w:szCs w:val="22"/>
        </w:rPr>
        <w:t>HL (Malaysia),</w:t>
      </w:r>
      <w:r w:rsidR="006838B4" w:rsidRPr="003A391A">
        <w:rPr>
          <w:rFonts w:ascii="Book Antiqua" w:hAnsi="Book Antiqua" w:cs="Arial"/>
          <w:sz w:val="22"/>
          <w:szCs w:val="22"/>
        </w:rPr>
        <w:t xml:space="preserve"> ‘</w:t>
      </w:r>
      <w:r w:rsidRPr="003A391A">
        <w:rPr>
          <w:rFonts w:ascii="Book Antiqua" w:hAnsi="Book Antiqua" w:cs="Arial"/>
          <w:sz w:val="22"/>
          <w:szCs w:val="22"/>
        </w:rPr>
        <w:t>The contracting states did not undertake to protect them against discrimination judged according to the s</w:t>
      </w:r>
      <w:r w:rsidR="006838B4" w:rsidRPr="003A391A">
        <w:rPr>
          <w:rFonts w:ascii="Book Antiqua" w:hAnsi="Book Antiqua" w:cs="Arial"/>
          <w:sz w:val="22"/>
          <w:szCs w:val="22"/>
        </w:rPr>
        <w:t>tandards in their own countries’</w:t>
      </w:r>
      <w:r w:rsidRPr="003A391A">
        <w:rPr>
          <w:rFonts w:ascii="Book Antiqua" w:hAnsi="Book Antiqua" w:cs="Arial"/>
          <w:sz w:val="22"/>
          <w:szCs w:val="22"/>
        </w:rPr>
        <w:t>.</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In addition, I consider that there is merit in the argument advanced on behalf of the respondent to the effect that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did not take into account all the appellant’s personal circumstances as they existed in Kenya before she came </w:t>
      </w:r>
      <w:r w:rsidRPr="003A391A">
        <w:rPr>
          <w:rFonts w:ascii="Book Antiqua" w:hAnsi="Book Antiqua" w:cs="Arial"/>
          <w:sz w:val="22"/>
          <w:szCs w:val="22"/>
        </w:rPr>
        <w:lastRenderedPageBreak/>
        <w:t xml:space="preserve">to the UK.  The fact is that she lived with her husband (who admittedly also has health problems) and he ran a small business, a fast-food stall.  They had accommodation; her husband had employment and which the appellant says in her witness statement supported them both.  The appellant’s evidence was that their life was difficult, and that she was dependent on the assistance of her husband on a daily basis, but that when he was at work there was no-one to look after her.  Nevertheless, notwithstanding that the appellant states that she was in fear when on her own in their flat, the evidence before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in my judgement did not support a conclusion that she was at risk of persecution in Kenya, or that she had suffered acts amounting to persecution.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Whilst I accept that the evidence before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did disclose discrimination suffered by the appellant, that plainly is not a sufficient basis from which to conclude that she would be at risk of persecution on return.</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In addition, I also accept the respondent’s contention that at [14] of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decision there is a conflation between the care that the appellant needs and the risk of persecution.  At [14]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xml:space="preserve"> said that the </w:t>
      </w:r>
      <w:r w:rsidR="006838B4" w:rsidRPr="003A391A">
        <w:rPr>
          <w:rFonts w:ascii="Book Antiqua" w:hAnsi="Book Antiqua" w:cs="Arial"/>
          <w:sz w:val="22"/>
          <w:szCs w:val="22"/>
        </w:rPr>
        <w:t>‘objective’</w:t>
      </w:r>
      <w:r w:rsidRPr="003A391A">
        <w:rPr>
          <w:rFonts w:ascii="Book Antiqua" w:hAnsi="Book Antiqua" w:cs="Arial"/>
          <w:sz w:val="22"/>
          <w:szCs w:val="22"/>
        </w:rPr>
        <w:t xml:space="preserve"> evidence which she was asked to consider, as well as the other evidence before her, did support the claim that the discrimination that would be suffered by the appellant </w:t>
      </w:r>
      <w:r w:rsidR="006838B4" w:rsidRPr="003A391A">
        <w:rPr>
          <w:rFonts w:ascii="Book Antiqua" w:hAnsi="Book Antiqua" w:cs="Arial"/>
          <w:sz w:val="22"/>
          <w:szCs w:val="22"/>
        </w:rPr>
        <w:t>‘may amount to persecution’</w:t>
      </w:r>
      <w:r w:rsidRPr="003A391A">
        <w:rPr>
          <w:rFonts w:ascii="Book Antiqua" w:hAnsi="Book Antiqua" w:cs="Arial"/>
          <w:sz w:val="22"/>
          <w:szCs w:val="22"/>
        </w:rPr>
        <w:t xml:space="preserve">.  In the next sentence she referred to the appellant’s dependence upon daily care and multiple carers, and that the medical evidence provided did not appear to suggest that the appellant’s medical condition was an improving one.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decision in this respect gives the impression that the appellant’s need for care is linked to her claimed fear of persecution, when the two matters are entirely separate.</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Accordingly, the </w:t>
      </w:r>
      <w:proofErr w:type="spellStart"/>
      <w:r w:rsidRPr="003A391A">
        <w:rPr>
          <w:rFonts w:ascii="Book Antiqua" w:hAnsi="Book Antiqua" w:cs="Arial"/>
          <w:sz w:val="22"/>
          <w:szCs w:val="22"/>
        </w:rPr>
        <w:t>FtJ’s</w:t>
      </w:r>
      <w:proofErr w:type="spellEnd"/>
      <w:r w:rsidRPr="003A391A">
        <w:rPr>
          <w:rFonts w:ascii="Book Antiqua" w:hAnsi="Book Antiqua" w:cs="Arial"/>
          <w:sz w:val="22"/>
          <w:szCs w:val="22"/>
        </w:rPr>
        <w:t xml:space="preserve"> decision containing the error(s) of law to which I have referred, her decision is set aside.  I do not consider it appropriate for the appeal to be remitted to the First-tier Tribunal for a fresh hearing, there being limited further fact-finding that needs to be undertaken.  Certain findings of fact can be preserved.  Accordingly, the decision will be re-made in the Upper Tribunal. </w:t>
      </w:r>
    </w:p>
    <w:p w:rsidR="001F2177"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 xml:space="preserve">The re-making of the decision will involve consideration of the grounds of appeal that were not dealt with by the </w:t>
      </w:r>
      <w:proofErr w:type="spellStart"/>
      <w:r w:rsidRPr="003A391A">
        <w:rPr>
          <w:rFonts w:ascii="Book Antiqua" w:hAnsi="Book Antiqua" w:cs="Arial"/>
          <w:sz w:val="22"/>
          <w:szCs w:val="22"/>
        </w:rPr>
        <w:t>FtJ</w:t>
      </w:r>
      <w:proofErr w:type="spellEnd"/>
      <w:r w:rsidRPr="003A391A">
        <w:rPr>
          <w:rFonts w:ascii="Book Antiqua" w:hAnsi="Book Antiqua" w:cs="Arial"/>
          <w:sz w:val="22"/>
          <w:szCs w:val="22"/>
        </w:rPr>
        <w:t>, namely Articles 3 (health) and 8, in so far as they are still pursued on behalf of the appellant. Whilst I do not rule out further argument in relation to the asylum ground of appeal, it will be evident from this decision that on the basis of the evidence presently relied on I consider that something more will need to be offered in terms of evidence to make good the case for persecution.</w:t>
      </w:r>
    </w:p>
    <w:p w:rsidR="00721F72" w:rsidRPr="003A391A" w:rsidRDefault="001F2177" w:rsidP="003A391A">
      <w:pPr>
        <w:numPr>
          <w:ilvl w:val="0"/>
          <w:numId w:val="4"/>
        </w:numPr>
        <w:tabs>
          <w:tab w:val="clear" w:pos="567"/>
        </w:tabs>
        <w:spacing w:before="120"/>
        <w:ind w:left="1701" w:right="567"/>
        <w:jc w:val="both"/>
        <w:rPr>
          <w:rFonts w:ascii="Book Antiqua" w:hAnsi="Book Antiqua" w:cs="Arial"/>
          <w:sz w:val="22"/>
          <w:szCs w:val="22"/>
        </w:rPr>
      </w:pPr>
      <w:r w:rsidRPr="003A391A">
        <w:rPr>
          <w:rFonts w:ascii="Book Antiqua" w:hAnsi="Book Antiqua" w:cs="Arial"/>
          <w:sz w:val="22"/>
          <w:szCs w:val="22"/>
        </w:rPr>
        <w:t>The parties are to have careful regard to the directions set out below.</w:t>
      </w:r>
      <w:r w:rsidR="006838B4" w:rsidRPr="003A391A">
        <w:rPr>
          <w:rFonts w:ascii="Book Antiqua" w:hAnsi="Book Antiqua" w:cs="Arial"/>
          <w:sz w:val="22"/>
          <w:szCs w:val="22"/>
        </w:rPr>
        <w:t>”</w:t>
      </w:r>
    </w:p>
    <w:p w:rsidR="00316AF3" w:rsidRPr="00FA42EA" w:rsidRDefault="00721F72"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At this, the resumed hearing, I discussed with the parties what findings of fact made by the </w:t>
      </w:r>
      <w:proofErr w:type="spellStart"/>
      <w:r w:rsidRPr="00FA42EA">
        <w:rPr>
          <w:rFonts w:ascii="Book Antiqua" w:hAnsi="Book Antiqua" w:cs="Arial"/>
        </w:rPr>
        <w:t>FtT</w:t>
      </w:r>
      <w:proofErr w:type="spellEnd"/>
      <w:r w:rsidRPr="00FA42EA">
        <w:rPr>
          <w:rFonts w:ascii="Book Antiqua" w:hAnsi="Book Antiqua" w:cs="Arial"/>
        </w:rPr>
        <w:t xml:space="preserve"> could be preserved.  </w:t>
      </w:r>
      <w:r w:rsidR="0023637A" w:rsidRPr="00FA42EA">
        <w:rPr>
          <w:rFonts w:ascii="Book Antiqua" w:hAnsi="Book Antiqua" w:cs="Arial"/>
        </w:rPr>
        <w:t>Those are identified below.</w:t>
      </w:r>
    </w:p>
    <w:p w:rsidR="0023637A" w:rsidRPr="00FA42EA" w:rsidRDefault="0023637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On behalf of the appellant there was a further skeleton argument and a supplementary bundle of documents consisting of witness statements of the appellant and her husband.  There was also a medical report </w:t>
      </w:r>
      <w:r w:rsidR="001F3A92" w:rsidRPr="00FA42EA">
        <w:rPr>
          <w:rFonts w:ascii="Book Antiqua" w:hAnsi="Book Antiqua" w:cs="Arial"/>
        </w:rPr>
        <w:t xml:space="preserve">dated 21 May 2018 from a Dr Andria </w:t>
      </w:r>
      <w:proofErr w:type="spellStart"/>
      <w:r w:rsidR="001F3A92" w:rsidRPr="00FA42EA">
        <w:rPr>
          <w:rFonts w:ascii="Book Antiqua" w:hAnsi="Book Antiqua" w:cs="Arial"/>
        </w:rPr>
        <w:t>Merrison</w:t>
      </w:r>
      <w:proofErr w:type="spellEnd"/>
      <w:r w:rsidR="001F3A92" w:rsidRPr="00FA42EA">
        <w:rPr>
          <w:rFonts w:ascii="Book Antiqua" w:hAnsi="Book Antiqua" w:cs="Arial"/>
        </w:rPr>
        <w:t xml:space="preserve">, a </w:t>
      </w:r>
      <w:r w:rsidR="006104DB" w:rsidRPr="00FA42EA">
        <w:rPr>
          <w:rFonts w:ascii="Book Antiqua" w:hAnsi="Book Antiqua" w:cs="Arial"/>
        </w:rPr>
        <w:t>Consultant</w:t>
      </w:r>
      <w:r w:rsidR="001F3A92" w:rsidRPr="00FA42EA">
        <w:rPr>
          <w:rFonts w:ascii="Book Antiqua" w:hAnsi="Book Antiqua" w:cs="Arial"/>
        </w:rPr>
        <w:t xml:space="preserve"> Neurologist, in respect of the appellant.  Ms Ahmad indicated that </w:t>
      </w:r>
      <w:r w:rsidR="00F54A51">
        <w:rPr>
          <w:rFonts w:ascii="Book Antiqua" w:hAnsi="Book Antiqua" w:cs="Arial"/>
        </w:rPr>
        <w:t xml:space="preserve">if </w:t>
      </w:r>
      <w:r w:rsidR="00F54A51" w:rsidRPr="00FA42EA">
        <w:rPr>
          <w:rFonts w:ascii="Book Antiqua" w:hAnsi="Book Antiqua" w:cs="Arial"/>
        </w:rPr>
        <w:t xml:space="preserve">the appellant and her husband </w:t>
      </w:r>
      <w:r w:rsidR="001F3A92" w:rsidRPr="00FA42EA">
        <w:rPr>
          <w:rFonts w:ascii="Book Antiqua" w:hAnsi="Book Antiqua" w:cs="Arial"/>
        </w:rPr>
        <w:t xml:space="preserve">were called to give evidence she would seek to </w:t>
      </w:r>
      <w:r w:rsidR="001F3A92" w:rsidRPr="00FA42EA">
        <w:rPr>
          <w:rFonts w:ascii="Book Antiqua" w:hAnsi="Book Antiqua" w:cs="Arial"/>
        </w:rPr>
        <w:lastRenderedPageBreak/>
        <w:t>cross-</w:t>
      </w:r>
      <w:r w:rsidR="006104DB" w:rsidRPr="00FA42EA">
        <w:rPr>
          <w:rFonts w:ascii="Book Antiqua" w:hAnsi="Book Antiqua" w:cs="Arial"/>
        </w:rPr>
        <w:t>examine</w:t>
      </w:r>
      <w:r w:rsidR="001F3A92" w:rsidRPr="00FA42EA">
        <w:rPr>
          <w:rFonts w:ascii="Book Antiqua" w:hAnsi="Book Antiqua" w:cs="Arial"/>
        </w:rPr>
        <w:t xml:space="preserve"> them in relation to matters pertinent to Article 8.  Mr Seddon declined to call either the appellant or her husband as a witness and indicated that he would rely on their written statements.  Accordingly, the hearing proceeded by way of submissions only.</w:t>
      </w:r>
    </w:p>
    <w:p w:rsidR="001F3A92" w:rsidRPr="00FA42EA" w:rsidRDefault="001F3A92" w:rsidP="001F3A92">
      <w:pPr>
        <w:spacing w:before="240"/>
        <w:ind w:firstLine="567"/>
        <w:jc w:val="both"/>
        <w:rPr>
          <w:rFonts w:ascii="Book Antiqua" w:hAnsi="Book Antiqua" w:cs="Arial"/>
          <w:i/>
        </w:rPr>
      </w:pPr>
      <w:r w:rsidRPr="00FA42EA">
        <w:rPr>
          <w:rFonts w:ascii="Book Antiqua" w:hAnsi="Book Antiqua" w:cs="Arial"/>
          <w:i/>
        </w:rPr>
        <w:t xml:space="preserve">Submissions </w:t>
      </w:r>
    </w:p>
    <w:p w:rsidR="00F54A51" w:rsidRDefault="001F3A92"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his submissions Mr Seddon relied on </w:t>
      </w:r>
      <w:r w:rsidR="00F54A51">
        <w:rPr>
          <w:rFonts w:ascii="Book Antiqua" w:hAnsi="Book Antiqua" w:cs="Arial"/>
        </w:rPr>
        <w:t>the</w:t>
      </w:r>
      <w:r w:rsidRPr="00FA42EA">
        <w:rPr>
          <w:rFonts w:ascii="Book Antiqua" w:hAnsi="Book Antiqua" w:cs="Arial"/>
        </w:rPr>
        <w:t xml:space="preserve"> skeleton argument and the facts as found by the </w:t>
      </w:r>
      <w:proofErr w:type="spellStart"/>
      <w:r w:rsidRPr="00FA42EA">
        <w:rPr>
          <w:rFonts w:ascii="Book Antiqua" w:hAnsi="Book Antiqua" w:cs="Arial"/>
        </w:rPr>
        <w:t>FtJ</w:t>
      </w:r>
      <w:proofErr w:type="spellEnd"/>
      <w:r w:rsidRPr="00FA42EA">
        <w:rPr>
          <w:rFonts w:ascii="Book Antiqua" w:hAnsi="Book Antiqua" w:cs="Arial"/>
        </w:rPr>
        <w:t xml:space="preserve">.  </w:t>
      </w:r>
      <w:r w:rsidR="00F54A51">
        <w:rPr>
          <w:rFonts w:ascii="Book Antiqua" w:hAnsi="Book Antiqua" w:cs="Arial"/>
        </w:rPr>
        <w:t>It was submitted that on</w:t>
      </w:r>
      <w:r w:rsidRPr="00FA42EA">
        <w:rPr>
          <w:rFonts w:ascii="Book Antiqua" w:hAnsi="Book Antiqua" w:cs="Arial"/>
        </w:rPr>
        <w:t xml:space="preserve"> return to Kenya the appellant’s husband would be unable to work and the appellant would be left alone all day, unable </w:t>
      </w:r>
      <w:r w:rsidR="006104DB" w:rsidRPr="00FA42EA">
        <w:rPr>
          <w:rFonts w:ascii="Book Antiqua" w:hAnsi="Book Antiqua" w:cs="Arial"/>
        </w:rPr>
        <w:t>to</w:t>
      </w:r>
      <w:r w:rsidRPr="00FA42EA">
        <w:rPr>
          <w:rFonts w:ascii="Book Antiqua" w:hAnsi="Book Antiqua" w:cs="Arial"/>
        </w:rPr>
        <w:t xml:space="preserve"> go to the toilet and having to go without food and water in order to avoid soiling herself.  Even if her husband stayed at </w:t>
      </w:r>
      <w:r w:rsidR="006104DB" w:rsidRPr="00FA42EA">
        <w:rPr>
          <w:rFonts w:ascii="Book Antiqua" w:hAnsi="Book Antiqua" w:cs="Arial"/>
        </w:rPr>
        <w:t>home</w:t>
      </w:r>
      <w:r w:rsidRPr="00FA42EA">
        <w:rPr>
          <w:rFonts w:ascii="Book Antiqua" w:hAnsi="Book Antiqua" w:cs="Arial"/>
        </w:rPr>
        <w:t xml:space="preserve"> he </w:t>
      </w:r>
      <w:r w:rsidR="006104DB" w:rsidRPr="00FA42EA">
        <w:rPr>
          <w:rFonts w:ascii="Book Antiqua" w:hAnsi="Book Antiqua" w:cs="Arial"/>
        </w:rPr>
        <w:t>could</w:t>
      </w:r>
      <w:r w:rsidRPr="00FA42EA">
        <w:rPr>
          <w:rFonts w:ascii="Book Antiqua" w:hAnsi="Book Antiqua" w:cs="Arial"/>
        </w:rPr>
        <w:t xml:space="preserve"> no longer provide the care that the appellant needs, and if he did not work they would be destitute. </w:t>
      </w:r>
    </w:p>
    <w:p w:rsidR="001F3A92" w:rsidRPr="00FA42EA" w:rsidRDefault="001F3A92"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this context reliance </w:t>
      </w:r>
      <w:r w:rsidR="00F54A51">
        <w:rPr>
          <w:rFonts w:ascii="Book Antiqua" w:hAnsi="Book Antiqua" w:cs="Arial"/>
        </w:rPr>
        <w:t>was</w:t>
      </w:r>
      <w:r w:rsidRPr="00FA42EA">
        <w:rPr>
          <w:rFonts w:ascii="Book Antiqua" w:hAnsi="Book Antiqua" w:cs="Arial"/>
        </w:rPr>
        <w:t xml:space="preserve"> placed on the appellant’s witness statement dated 9 March 2017, which was before the </w:t>
      </w:r>
      <w:proofErr w:type="spellStart"/>
      <w:r w:rsidRPr="00FA42EA">
        <w:rPr>
          <w:rFonts w:ascii="Book Antiqua" w:hAnsi="Book Antiqua" w:cs="Arial"/>
        </w:rPr>
        <w:t>FtJ</w:t>
      </w:r>
      <w:proofErr w:type="spellEnd"/>
      <w:r w:rsidRPr="00FA42EA">
        <w:rPr>
          <w:rFonts w:ascii="Book Antiqua" w:hAnsi="Book Antiqua" w:cs="Arial"/>
        </w:rPr>
        <w:t xml:space="preserve">.  In the </w:t>
      </w:r>
      <w:smartTag w:uri="urn:schemas-microsoft-com:office:smarttags" w:element="country-region">
        <w:smartTag w:uri="urn:schemas-microsoft-com:office:smarttags" w:element="place">
          <w:r w:rsidRPr="00FA42EA">
            <w:rPr>
              <w:rFonts w:ascii="Book Antiqua" w:hAnsi="Book Antiqua" w:cs="Arial"/>
            </w:rPr>
            <w:t>UK</w:t>
          </w:r>
        </w:smartTag>
      </w:smartTag>
      <w:r w:rsidRPr="00FA42EA">
        <w:rPr>
          <w:rFonts w:ascii="Book Antiqua" w:hAnsi="Book Antiqua" w:cs="Arial"/>
        </w:rPr>
        <w:t xml:space="preserve"> she receives help from carers who visit four times a day to assist </w:t>
      </w:r>
      <w:r w:rsidR="00AB3F4C" w:rsidRPr="00FA42EA">
        <w:rPr>
          <w:rFonts w:ascii="Book Antiqua" w:hAnsi="Book Antiqua" w:cs="Arial"/>
        </w:rPr>
        <w:t xml:space="preserve">with washing, dressing, using the toilet and to operate the hoists for transfers from bed to chair and from wheelchair to commode.  It was submitted that the position would now be even worse because the appellant’s husband would no longer be able to assist her in the way that he did in </w:t>
      </w:r>
      <w:smartTag w:uri="urn:schemas-microsoft-com:office:smarttags" w:element="country-region">
        <w:smartTag w:uri="urn:schemas-microsoft-com:office:smarttags" w:element="place">
          <w:r w:rsidR="00AB3F4C" w:rsidRPr="00FA42EA">
            <w:rPr>
              <w:rFonts w:ascii="Book Antiqua" w:hAnsi="Book Antiqua" w:cs="Arial"/>
            </w:rPr>
            <w:t>Kenya</w:t>
          </w:r>
        </w:smartTag>
      </w:smartTag>
      <w:r w:rsidR="00AB3F4C" w:rsidRPr="00FA42EA">
        <w:rPr>
          <w:rFonts w:ascii="Book Antiqua" w:hAnsi="Book Antiqua" w:cs="Arial"/>
        </w:rPr>
        <w:t xml:space="preserve">.  Even then he was only just about able to lift her to a standing position and they sometimes fell, and the appellant was left on the floor overnight and in the morning </w:t>
      </w:r>
      <w:r w:rsidR="00F54A51">
        <w:rPr>
          <w:rFonts w:ascii="Book Antiqua" w:hAnsi="Book Antiqua" w:cs="Arial"/>
        </w:rPr>
        <w:t xml:space="preserve">he </w:t>
      </w:r>
      <w:r w:rsidR="00AB3F4C" w:rsidRPr="00FA42EA">
        <w:rPr>
          <w:rFonts w:ascii="Book Antiqua" w:hAnsi="Book Antiqua" w:cs="Arial"/>
        </w:rPr>
        <w:t xml:space="preserve">had to try to find people to help lift the appellant.  Not everyone would help.  Thus, the appellant on return to </w:t>
      </w:r>
      <w:smartTag w:uri="urn:schemas-microsoft-com:office:smarttags" w:element="country-region">
        <w:smartTag w:uri="urn:schemas-microsoft-com:office:smarttags" w:element="place">
          <w:r w:rsidR="00AB3F4C" w:rsidRPr="00FA42EA">
            <w:rPr>
              <w:rFonts w:ascii="Book Antiqua" w:hAnsi="Book Antiqua" w:cs="Arial"/>
            </w:rPr>
            <w:t>Kenya</w:t>
          </w:r>
        </w:smartTag>
      </w:smartTag>
      <w:r w:rsidR="00AB3F4C" w:rsidRPr="00FA42EA">
        <w:rPr>
          <w:rFonts w:ascii="Book Antiqua" w:hAnsi="Book Antiqua" w:cs="Arial"/>
        </w:rPr>
        <w:t xml:space="preserve"> would not even have the minimal care that her husband had been able to provide for her.  </w:t>
      </w:r>
    </w:p>
    <w:p w:rsidR="00AB3F4C" w:rsidRPr="00FA42EA" w:rsidRDefault="00AB3F4C"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w:t>
      </w:r>
      <w:r w:rsidR="006104DB" w:rsidRPr="00FA42EA">
        <w:rPr>
          <w:rFonts w:ascii="Book Antiqua" w:hAnsi="Book Antiqua" w:cs="Arial"/>
        </w:rPr>
        <w:t>addition</w:t>
      </w:r>
      <w:r w:rsidRPr="00FA42EA">
        <w:rPr>
          <w:rFonts w:ascii="Book Antiqua" w:hAnsi="Book Antiqua" w:cs="Arial"/>
        </w:rPr>
        <w:t xml:space="preserve">, the appellant has in the past been the subject of ill-treatment as found by the </w:t>
      </w:r>
      <w:proofErr w:type="spellStart"/>
      <w:r w:rsidRPr="00FA42EA">
        <w:rPr>
          <w:rFonts w:ascii="Book Antiqua" w:hAnsi="Book Antiqua" w:cs="Arial"/>
        </w:rPr>
        <w:t>FtJ</w:t>
      </w:r>
      <w:proofErr w:type="spellEnd"/>
      <w:r w:rsidRPr="00FA42EA">
        <w:rPr>
          <w:rFonts w:ascii="Book Antiqua" w:hAnsi="Book Antiqua" w:cs="Arial"/>
        </w:rPr>
        <w:t xml:space="preserve"> and as set out in the witness statements.  There is also the rejection of the appellant by her and her husband’s family to take into account.</w:t>
      </w:r>
    </w:p>
    <w:p w:rsidR="00AB3F4C" w:rsidRPr="00FA42EA" w:rsidRDefault="00AB3F4C"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It was further submitted that their wish to have a family would mean that returning them would infringe their right to a family life.  Their family life had not yet been fully established in terms of their wish to have children.  It would</w:t>
      </w:r>
      <w:r w:rsidR="00F54A51">
        <w:rPr>
          <w:rFonts w:ascii="Book Antiqua" w:hAnsi="Book Antiqua" w:cs="Arial"/>
        </w:rPr>
        <w:t>, in effect, be</w:t>
      </w:r>
      <w:r w:rsidRPr="00FA42EA">
        <w:rPr>
          <w:rFonts w:ascii="Book Antiqua" w:hAnsi="Book Antiqua" w:cs="Arial"/>
        </w:rPr>
        <w:t xml:space="preserve"> </w:t>
      </w:r>
      <w:r w:rsidR="006104DB" w:rsidRPr="00FA42EA">
        <w:rPr>
          <w:rFonts w:ascii="Book Antiqua" w:hAnsi="Book Antiqua" w:cs="Arial"/>
        </w:rPr>
        <w:t>impossible</w:t>
      </w:r>
      <w:r w:rsidRPr="00FA42EA">
        <w:rPr>
          <w:rFonts w:ascii="Book Antiqua" w:hAnsi="Book Antiqua" w:cs="Arial"/>
        </w:rPr>
        <w:t xml:space="preserve"> for them to have a family if they are </w:t>
      </w:r>
      <w:r w:rsidR="006104DB" w:rsidRPr="00FA42EA">
        <w:rPr>
          <w:rFonts w:ascii="Book Antiqua" w:hAnsi="Book Antiqua" w:cs="Arial"/>
        </w:rPr>
        <w:t>returned</w:t>
      </w:r>
      <w:r w:rsidRPr="00FA42EA">
        <w:rPr>
          <w:rFonts w:ascii="Book Antiqua" w:hAnsi="Book Antiqua" w:cs="Arial"/>
        </w:rPr>
        <w:t xml:space="preserve"> to Kenya.  In that context reliance was placed on the evidence that they had been </w:t>
      </w:r>
      <w:r w:rsidR="006104DB" w:rsidRPr="00FA42EA">
        <w:rPr>
          <w:rFonts w:ascii="Book Antiqua" w:hAnsi="Book Antiqua" w:cs="Arial"/>
        </w:rPr>
        <w:t>trying</w:t>
      </w:r>
      <w:r w:rsidRPr="00FA42EA">
        <w:rPr>
          <w:rFonts w:ascii="Book Antiqua" w:hAnsi="Book Antiqua" w:cs="Arial"/>
        </w:rPr>
        <w:t xml:space="preserve"> for some six years to have children before the appellant became pregnant in 2015, and the fact that that pregnancy ended in stillbirth in March 2016.  The appellant had developed pre-eclampsia during pregnancy despite the high degree of care and life-saving treatment received at the </w:t>
      </w:r>
      <w:smartTag w:uri="urn:schemas-microsoft-com:office:smarttags" w:element="PlaceName">
        <w:r w:rsidRPr="00FA42EA">
          <w:rPr>
            <w:rFonts w:ascii="Book Antiqua" w:hAnsi="Book Antiqua" w:cs="Arial"/>
          </w:rPr>
          <w:t>John</w:t>
        </w:r>
      </w:smartTag>
      <w:r w:rsidRPr="00FA42EA">
        <w:rPr>
          <w:rFonts w:ascii="Book Antiqua" w:hAnsi="Book Antiqua" w:cs="Arial"/>
        </w:rPr>
        <w:t xml:space="preserve"> </w:t>
      </w:r>
      <w:smartTag w:uri="urn:schemas-microsoft-com:office:smarttags" w:element="PlaceName">
        <w:r w:rsidRPr="00FA42EA">
          <w:rPr>
            <w:rFonts w:ascii="Book Antiqua" w:hAnsi="Book Antiqua" w:cs="Arial"/>
          </w:rPr>
          <w:t>Radcliffe</w:t>
        </w:r>
      </w:smartTag>
      <w:r w:rsidRPr="00FA42EA">
        <w:rPr>
          <w:rFonts w:ascii="Book Antiqua" w:hAnsi="Book Antiqua" w:cs="Arial"/>
        </w:rPr>
        <w:t xml:space="preserve"> </w:t>
      </w:r>
      <w:smartTag w:uri="urn:schemas-microsoft-com:office:smarttags" w:element="PlaceType">
        <w:r w:rsidRPr="00FA42EA">
          <w:rPr>
            <w:rFonts w:ascii="Book Antiqua" w:hAnsi="Book Antiqua" w:cs="Arial"/>
          </w:rPr>
          <w:t>Hospital</w:t>
        </w:r>
      </w:smartTag>
      <w:r w:rsidRPr="00FA42EA">
        <w:rPr>
          <w:rFonts w:ascii="Book Antiqua" w:hAnsi="Book Antiqua" w:cs="Arial"/>
        </w:rPr>
        <w:t xml:space="preserve"> in </w:t>
      </w:r>
      <w:smartTag w:uri="urn:schemas-microsoft-com:office:smarttags" w:element="City">
        <w:smartTag w:uri="urn:schemas-microsoft-com:office:smarttags" w:element="place">
          <w:r w:rsidRPr="00FA42EA">
            <w:rPr>
              <w:rFonts w:ascii="Book Antiqua" w:hAnsi="Book Antiqua" w:cs="Arial"/>
            </w:rPr>
            <w:t>Oxford</w:t>
          </w:r>
        </w:smartTag>
      </w:smartTag>
      <w:r w:rsidRPr="00FA42EA">
        <w:rPr>
          <w:rFonts w:ascii="Book Antiqua" w:hAnsi="Book Antiqua" w:cs="Arial"/>
        </w:rPr>
        <w:t xml:space="preserve">.  She had been advised that any future pregnancy would carry a high risk for both her and the child.  Any pregnancy would need to be very carefully monitored due to the appellant’s history of high blood pressure, pre-eclampsia and Limb Girdle Muscular Dystrophy.  </w:t>
      </w:r>
    </w:p>
    <w:p w:rsidR="006C3DB9" w:rsidRPr="00FA42EA" w:rsidRDefault="006C3DB9"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It was submitted that there was evidence of positive adverse </w:t>
      </w:r>
      <w:r w:rsidR="006104DB" w:rsidRPr="00FA42EA">
        <w:rPr>
          <w:rFonts w:ascii="Book Antiqua" w:hAnsi="Book Antiqua" w:cs="Arial"/>
        </w:rPr>
        <w:t>treatment</w:t>
      </w:r>
      <w:r w:rsidRPr="00FA42EA">
        <w:rPr>
          <w:rFonts w:ascii="Book Antiqua" w:hAnsi="Book Antiqua" w:cs="Arial"/>
        </w:rPr>
        <w:t xml:space="preserve"> in relation to the healthcare system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Thus, the case was advanced in terms of adverse treatment, rather than an absence of treatment in terms of their family life.  It was submitted that this was a conventional </w:t>
      </w:r>
      <w:proofErr w:type="spellStart"/>
      <w:r w:rsidRPr="00FA42EA">
        <w:rPr>
          <w:rFonts w:ascii="Book Antiqua" w:hAnsi="Book Antiqua" w:cs="Arial"/>
          <w:i/>
        </w:rPr>
        <w:t>Soering</w:t>
      </w:r>
      <w:proofErr w:type="spellEnd"/>
      <w:r w:rsidRPr="00FA42EA">
        <w:t xml:space="preserve"> </w:t>
      </w:r>
      <w:r w:rsidRPr="00FA42EA">
        <w:rPr>
          <w:rFonts w:ascii="Book Antiqua" w:hAnsi="Book Antiqua"/>
        </w:rPr>
        <w:t>approach (</w:t>
      </w:r>
      <w:proofErr w:type="spellStart"/>
      <w:r w:rsidRPr="00FA42EA">
        <w:rPr>
          <w:rFonts w:ascii="Book Antiqua" w:hAnsi="Book Antiqua"/>
          <w:i/>
        </w:rPr>
        <w:t>Soering</w:t>
      </w:r>
      <w:proofErr w:type="spellEnd"/>
      <w:r w:rsidRPr="00FA42EA">
        <w:rPr>
          <w:rFonts w:ascii="Book Antiqua" w:hAnsi="Book Antiqua"/>
          <w:i/>
        </w:rPr>
        <w:t xml:space="preserve"> v United Kingdom</w:t>
      </w:r>
      <w:r w:rsidRPr="00FA42EA">
        <w:rPr>
          <w:rFonts w:ascii="Book Antiqua" w:hAnsi="Book Antiqua"/>
        </w:rPr>
        <w:t xml:space="preserve"> [1989] 11 EHRR 439).  That therefore, </w:t>
      </w:r>
      <w:r w:rsidR="00F54A51">
        <w:rPr>
          <w:rFonts w:ascii="Book Antiqua" w:hAnsi="Book Antiqua"/>
        </w:rPr>
        <w:t>was</w:t>
      </w:r>
      <w:r w:rsidRPr="00FA42EA">
        <w:rPr>
          <w:rFonts w:ascii="Book Antiqua" w:hAnsi="Book Antiqua"/>
        </w:rPr>
        <w:t xml:space="preserve"> distinct from the </w:t>
      </w:r>
      <w:r w:rsidRPr="00FA42EA">
        <w:rPr>
          <w:rFonts w:ascii="Book Antiqua" w:hAnsi="Book Antiqua"/>
          <w:i/>
        </w:rPr>
        <w:t>N</w:t>
      </w:r>
      <w:r w:rsidRPr="00FA42EA">
        <w:rPr>
          <w:rFonts w:ascii="Book Antiqua" w:hAnsi="Book Antiqua"/>
        </w:rPr>
        <w:t xml:space="preserve"> line of cases.   Reliance </w:t>
      </w:r>
      <w:r w:rsidRPr="00FA42EA">
        <w:rPr>
          <w:rFonts w:ascii="Book Antiqua" w:hAnsi="Book Antiqua"/>
        </w:rPr>
        <w:lastRenderedPageBreak/>
        <w:t xml:space="preserve">was placed on the expert report of </w:t>
      </w:r>
      <w:smartTag w:uri="urn:schemas-microsoft-com:office:smarttags" w:element="City">
        <w:smartTag w:uri="urn:schemas-microsoft-com:office:smarttags" w:element="place">
          <w:r w:rsidRPr="00FA42EA">
            <w:rPr>
              <w:rFonts w:ascii="Book Antiqua" w:hAnsi="Book Antiqua"/>
            </w:rPr>
            <w:t>Elizabeth</w:t>
          </w:r>
        </w:smartTag>
      </w:smartTag>
      <w:r w:rsidRPr="00FA42EA">
        <w:rPr>
          <w:rFonts w:ascii="Book Antiqua" w:hAnsi="Book Antiqua"/>
        </w:rPr>
        <w:t xml:space="preserve"> </w:t>
      </w:r>
      <w:proofErr w:type="spellStart"/>
      <w:r w:rsidRPr="00FA42EA">
        <w:rPr>
          <w:rFonts w:ascii="Book Antiqua" w:hAnsi="Book Antiqua"/>
        </w:rPr>
        <w:t>Kamundia</w:t>
      </w:r>
      <w:proofErr w:type="spellEnd"/>
      <w:r w:rsidRPr="00FA42EA">
        <w:rPr>
          <w:rFonts w:ascii="Book Antiqua" w:hAnsi="Book Antiqua"/>
        </w:rPr>
        <w:t xml:space="preserve"> dated 1 March 2017, the conclusions of which the </w:t>
      </w:r>
      <w:proofErr w:type="spellStart"/>
      <w:r w:rsidRPr="00FA42EA">
        <w:rPr>
          <w:rFonts w:ascii="Book Antiqua" w:hAnsi="Book Antiqua"/>
        </w:rPr>
        <w:t>FtJ</w:t>
      </w:r>
      <w:proofErr w:type="spellEnd"/>
      <w:r w:rsidRPr="00FA42EA">
        <w:rPr>
          <w:rFonts w:ascii="Book Antiqua" w:hAnsi="Book Antiqua"/>
        </w:rPr>
        <w:t xml:space="preserve"> accepted.  I was referred to various aspects of the background evidence </w:t>
      </w:r>
      <w:r w:rsidR="001701DD" w:rsidRPr="00FA42EA">
        <w:rPr>
          <w:rFonts w:ascii="Book Antiqua" w:hAnsi="Book Antiqua"/>
        </w:rPr>
        <w:t>in the appellant’s bundle</w:t>
      </w:r>
      <w:r w:rsidR="00782A3F">
        <w:rPr>
          <w:rFonts w:ascii="Book Antiqua" w:hAnsi="Book Antiqua"/>
        </w:rPr>
        <w:t>.</w:t>
      </w:r>
    </w:p>
    <w:p w:rsidR="001701DD" w:rsidRPr="00FA42EA" w:rsidRDefault="001701DD" w:rsidP="00244044">
      <w:pPr>
        <w:numPr>
          <w:ilvl w:val="0"/>
          <w:numId w:val="1"/>
        </w:numPr>
        <w:tabs>
          <w:tab w:val="clear" w:pos="567"/>
        </w:tabs>
        <w:spacing w:before="240"/>
        <w:jc w:val="both"/>
        <w:rPr>
          <w:rFonts w:ascii="Book Antiqua" w:hAnsi="Book Antiqua" w:cs="Arial"/>
        </w:rPr>
      </w:pPr>
      <w:r w:rsidRPr="00FA42EA">
        <w:rPr>
          <w:rFonts w:ascii="Book Antiqua" w:hAnsi="Book Antiqua"/>
        </w:rPr>
        <w:t xml:space="preserve">In terms of asylum, the respondent accepts that as a disabled person in </w:t>
      </w:r>
      <w:smartTag w:uri="urn:schemas-microsoft-com:office:smarttags" w:element="country-region">
        <w:smartTag w:uri="urn:schemas-microsoft-com:office:smarttags" w:element="place">
          <w:r w:rsidRPr="00FA42EA">
            <w:rPr>
              <w:rFonts w:ascii="Book Antiqua" w:hAnsi="Book Antiqua"/>
            </w:rPr>
            <w:t>Kenya</w:t>
          </w:r>
        </w:smartTag>
      </w:smartTag>
      <w:r w:rsidRPr="00FA42EA">
        <w:rPr>
          <w:rFonts w:ascii="Book Antiqua" w:hAnsi="Book Antiqua"/>
        </w:rPr>
        <w:t xml:space="preserve"> the appellant falls within a particular social group.  It was submitted that she is at risk of serious harm and discrimination amounting to persecution.  The background evidence was once again relied on in this connection.  It was submitted that not all people with disabilities in </w:t>
      </w:r>
      <w:smartTag w:uri="urn:schemas-microsoft-com:office:smarttags" w:element="country-region">
        <w:smartTag w:uri="urn:schemas-microsoft-com:office:smarttags" w:element="place">
          <w:r w:rsidRPr="00FA42EA">
            <w:rPr>
              <w:rFonts w:ascii="Book Antiqua" w:hAnsi="Book Antiqua"/>
            </w:rPr>
            <w:t>Kenya</w:t>
          </w:r>
        </w:smartTag>
      </w:smartTag>
      <w:r w:rsidRPr="00FA42EA">
        <w:rPr>
          <w:rFonts w:ascii="Book Antiqua" w:hAnsi="Book Antiqua"/>
        </w:rPr>
        <w:t xml:space="preserve"> are at risk of persecution but each case is fact-specific.  There is the potential for violence in relation to this appellant and there was the risk of ill-treatment when seeking healthcare.  The broad </w:t>
      </w:r>
      <w:r w:rsidR="00371CEB">
        <w:rPr>
          <w:rFonts w:ascii="Book Antiqua" w:hAnsi="Book Antiqua"/>
        </w:rPr>
        <w:t>“</w:t>
      </w:r>
      <w:r w:rsidRPr="00FA42EA">
        <w:rPr>
          <w:rFonts w:ascii="Book Antiqua" w:hAnsi="Book Antiqua"/>
        </w:rPr>
        <w:t>s</w:t>
      </w:r>
      <w:r w:rsidR="00371CEB">
        <w:rPr>
          <w:rFonts w:ascii="Book Antiqua" w:hAnsi="Book Antiqua"/>
        </w:rPr>
        <w:t>wathe”</w:t>
      </w:r>
      <w:r w:rsidRPr="00FA42EA">
        <w:rPr>
          <w:rFonts w:ascii="Book Antiqua" w:hAnsi="Book Antiqua"/>
        </w:rPr>
        <w:t xml:space="preserve"> of attitude in Kenya is to view persons with disabilities as having an affliction.  The decision in </w:t>
      </w:r>
      <w:proofErr w:type="spellStart"/>
      <w:r w:rsidRPr="00FA42EA">
        <w:rPr>
          <w:rFonts w:ascii="Book Antiqua" w:hAnsi="Book Antiqua"/>
          <w:i/>
        </w:rPr>
        <w:t>Sepet</w:t>
      </w:r>
      <w:proofErr w:type="spellEnd"/>
      <w:r w:rsidRPr="00FA42EA">
        <w:rPr>
          <w:rFonts w:ascii="Book Antiqua" w:hAnsi="Book Antiqua"/>
          <w:i/>
        </w:rPr>
        <w:t xml:space="preserve"> and Another v Secretary of State for the Home Department</w:t>
      </w:r>
      <w:r w:rsidRPr="00FA42EA">
        <w:rPr>
          <w:rFonts w:ascii="Book Antiqua" w:hAnsi="Book Antiqua"/>
        </w:rPr>
        <w:t xml:space="preserve"> [2003] UKHL 15 was relied on, in </w:t>
      </w:r>
      <w:r w:rsidR="006104DB" w:rsidRPr="00FA42EA">
        <w:rPr>
          <w:rFonts w:ascii="Book Antiqua" w:hAnsi="Book Antiqua"/>
        </w:rPr>
        <w:t>particular</w:t>
      </w:r>
      <w:r w:rsidRPr="00FA42EA">
        <w:rPr>
          <w:rFonts w:ascii="Book Antiqua" w:hAnsi="Book Antiqua"/>
        </w:rPr>
        <w:t xml:space="preserve"> at [22] in terms of the reasons for persecution.  The appellant’s disability only has to be one of the reasons for the persecution</w:t>
      </w:r>
      <w:r w:rsidR="00371CEB">
        <w:rPr>
          <w:rFonts w:ascii="Book Antiqua" w:hAnsi="Book Antiqua"/>
        </w:rPr>
        <w:t xml:space="preserve"> it was submitted</w:t>
      </w:r>
      <w:r w:rsidRPr="00FA42EA">
        <w:rPr>
          <w:rFonts w:ascii="Book Antiqua" w:hAnsi="Book Antiqua"/>
        </w:rPr>
        <w:t>.  Furthermore, the treatment that the appellant had been subjected to in the past is relevant to what is reasonably likely to happen in the future.</w:t>
      </w:r>
    </w:p>
    <w:p w:rsidR="001701DD" w:rsidRPr="00FA42EA" w:rsidRDefault="001701DD" w:rsidP="00244044">
      <w:pPr>
        <w:numPr>
          <w:ilvl w:val="0"/>
          <w:numId w:val="1"/>
        </w:numPr>
        <w:tabs>
          <w:tab w:val="clear" w:pos="567"/>
        </w:tabs>
        <w:spacing w:before="240"/>
        <w:jc w:val="both"/>
        <w:rPr>
          <w:rFonts w:ascii="Book Antiqua" w:hAnsi="Book Antiqua" w:cs="Arial"/>
        </w:rPr>
      </w:pPr>
      <w:r w:rsidRPr="00FA42EA">
        <w:rPr>
          <w:rFonts w:ascii="Book Antiqua" w:hAnsi="Book Antiqua"/>
        </w:rPr>
        <w:t>In relation to Article 3, it was submitted that it was the treatment at the hands of the health authorities, not the absence of treatment</w:t>
      </w:r>
      <w:r w:rsidR="00371CEB">
        <w:rPr>
          <w:rFonts w:ascii="Book Antiqua" w:hAnsi="Book Antiqua"/>
        </w:rPr>
        <w:t>,</w:t>
      </w:r>
      <w:r w:rsidRPr="00FA42EA">
        <w:rPr>
          <w:rFonts w:ascii="Book Antiqua" w:hAnsi="Book Antiqua"/>
        </w:rPr>
        <w:t xml:space="preserve"> that would infringe the appellant’s Article 3 rights.  It was accepted that the appellant’s was not an </w:t>
      </w:r>
      <w:r w:rsidR="00371CEB">
        <w:rPr>
          <w:rFonts w:ascii="Book Antiqua" w:hAnsi="Book Antiqua"/>
        </w:rPr>
        <w:t>‘</w:t>
      </w:r>
      <w:r w:rsidRPr="00FA42EA">
        <w:rPr>
          <w:rFonts w:ascii="Book Antiqua" w:hAnsi="Book Antiqua"/>
          <w:i/>
        </w:rPr>
        <w:t>N</w:t>
      </w:r>
      <w:r w:rsidRPr="00FA42EA">
        <w:rPr>
          <w:rFonts w:ascii="Book Antiqua" w:hAnsi="Book Antiqua"/>
        </w:rPr>
        <w:t>-type</w:t>
      </w:r>
      <w:r w:rsidR="00371CEB">
        <w:rPr>
          <w:rFonts w:ascii="Book Antiqua" w:hAnsi="Book Antiqua"/>
        </w:rPr>
        <w:t>’</w:t>
      </w:r>
      <w:r w:rsidRPr="00FA42EA">
        <w:rPr>
          <w:rFonts w:ascii="Book Antiqua" w:hAnsi="Book Antiqua"/>
        </w:rPr>
        <w:t xml:space="preserve"> case.  </w:t>
      </w:r>
    </w:p>
    <w:p w:rsidR="001701DD" w:rsidRPr="00FA42EA" w:rsidRDefault="001701DD"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w:t>
      </w:r>
      <w:r w:rsidR="006104DB" w:rsidRPr="00FA42EA">
        <w:rPr>
          <w:rFonts w:ascii="Book Antiqua" w:hAnsi="Book Antiqua" w:cs="Arial"/>
        </w:rPr>
        <w:t>relation</w:t>
      </w:r>
      <w:r w:rsidRPr="00FA42EA">
        <w:rPr>
          <w:rFonts w:ascii="Book Antiqua" w:hAnsi="Book Antiqua" w:cs="Arial"/>
        </w:rPr>
        <w:t xml:space="preserve"> to paragraph 276ADE </w:t>
      </w:r>
      <w:r w:rsidR="00371CEB">
        <w:rPr>
          <w:rFonts w:ascii="Book Antiqua" w:hAnsi="Book Antiqua" w:cs="Arial"/>
        </w:rPr>
        <w:t xml:space="preserve">of the Rules </w:t>
      </w:r>
      <w:r w:rsidRPr="00FA42EA">
        <w:rPr>
          <w:rFonts w:ascii="Book Antiqua" w:hAnsi="Book Antiqua" w:cs="Arial"/>
        </w:rPr>
        <w:t xml:space="preserve">in terms of the appellant’s private life, reliance was placed on what was said at [14] in </w:t>
      </w:r>
      <w:r w:rsidRPr="00FA42EA">
        <w:rPr>
          <w:rFonts w:ascii="Book Antiqua" w:hAnsi="Book Antiqua" w:cs="Arial"/>
          <w:i/>
        </w:rPr>
        <w:t>Secretary of State for the Home Department v Kamara</w:t>
      </w:r>
      <w:r w:rsidRPr="00FA42EA">
        <w:rPr>
          <w:rFonts w:ascii="Book Antiqua" w:hAnsi="Book Antiqua" w:cs="Arial"/>
        </w:rPr>
        <w:t xml:space="preserve"> [2016] EWCA </w:t>
      </w:r>
      <w:proofErr w:type="spellStart"/>
      <w:r w:rsidRPr="00FA42EA">
        <w:rPr>
          <w:rFonts w:ascii="Book Antiqua" w:hAnsi="Book Antiqua" w:cs="Arial"/>
        </w:rPr>
        <w:t>Civ</w:t>
      </w:r>
      <w:proofErr w:type="spellEnd"/>
      <w:r w:rsidRPr="00FA42EA">
        <w:rPr>
          <w:rFonts w:ascii="Book Antiqua" w:hAnsi="Book Antiqua" w:cs="Arial"/>
        </w:rPr>
        <w:t xml:space="preserve"> 813 in </w:t>
      </w:r>
      <w:r w:rsidR="006104DB" w:rsidRPr="00FA42EA">
        <w:rPr>
          <w:rFonts w:ascii="Book Antiqua" w:hAnsi="Book Antiqua" w:cs="Arial"/>
        </w:rPr>
        <w:t>relation</w:t>
      </w:r>
      <w:r w:rsidRPr="00FA42EA">
        <w:rPr>
          <w:rFonts w:ascii="Book Antiqua" w:hAnsi="Book Antiqua" w:cs="Arial"/>
        </w:rPr>
        <w:t xml:space="preserve"> to </w:t>
      </w:r>
      <w:r w:rsidR="00117EE4" w:rsidRPr="00FA42EA">
        <w:rPr>
          <w:rFonts w:ascii="Book Antiqua" w:hAnsi="Book Antiqua" w:cs="Arial"/>
        </w:rPr>
        <w:t>“integration”.  Even if the concept of integration w</w:t>
      </w:r>
      <w:r w:rsidR="00371CEB">
        <w:rPr>
          <w:rFonts w:ascii="Book Antiqua" w:hAnsi="Book Antiqua" w:cs="Arial"/>
        </w:rPr>
        <w:t>as</w:t>
      </w:r>
      <w:r w:rsidR="00117EE4" w:rsidRPr="00FA42EA">
        <w:rPr>
          <w:rFonts w:ascii="Book Antiqua" w:hAnsi="Book Antiqua" w:cs="Arial"/>
        </w:rPr>
        <w:t xml:space="preserve"> limited to the </w:t>
      </w:r>
      <w:r w:rsidR="006104DB" w:rsidRPr="00FA42EA">
        <w:rPr>
          <w:rFonts w:ascii="Book Antiqua" w:hAnsi="Book Antiqua" w:cs="Arial"/>
        </w:rPr>
        <w:t>ability</w:t>
      </w:r>
      <w:r w:rsidR="00117EE4" w:rsidRPr="00FA42EA">
        <w:rPr>
          <w:rFonts w:ascii="Book Antiqua" w:hAnsi="Book Antiqua" w:cs="Arial"/>
        </w:rPr>
        <w:t xml:space="preserve"> to find a job or to sustain life, this appellant would succeed.  On the clear findings of fact </w:t>
      </w:r>
      <w:r w:rsidR="006104DB" w:rsidRPr="00FA42EA">
        <w:rPr>
          <w:rFonts w:ascii="Book Antiqua" w:hAnsi="Book Antiqua" w:cs="Arial"/>
        </w:rPr>
        <w:t>already</w:t>
      </w:r>
      <w:r w:rsidR="00117EE4" w:rsidRPr="00FA42EA">
        <w:rPr>
          <w:rFonts w:ascii="Book Antiqua" w:hAnsi="Book Antiqua" w:cs="Arial"/>
        </w:rPr>
        <w:t xml:space="preserve"> made, it was submitted that it was impossible to find that the appellant could integrate.  Hers is not the typical sort of case in which this issue is raised by a person who has been in the </w:t>
      </w:r>
      <w:smartTag w:uri="urn:schemas-microsoft-com:office:smarttags" w:element="country-region">
        <w:smartTag w:uri="urn:schemas-microsoft-com:office:smarttags" w:element="place">
          <w:r w:rsidR="00117EE4" w:rsidRPr="00FA42EA">
            <w:rPr>
              <w:rFonts w:ascii="Book Antiqua" w:hAnsi="Book Antiqua" w:cs="Arial"/>
            </w:rPr>
            <w:t>UK</w:t>
          </w:r>
        </w:smartTag>
      </w:smartTag>
      <w:r w:rsidR="00117EE4" w:rsidRPr="00FA42EA">
        <w:rPr>
          <w:rFonts w:ascii="Book Antiqua" w:hAnsi="Book Antiqua" w:cs="Arial"/>
        </w:rPr>
        <w:t xml:space="preserve"> for a number of years.  There would be no proper private life for this appellant in </w:t>
      </w:r>
      <w:smartTag w:uri="urn:schemas-microsoft-com:office:smarttags" w:element="country-region">
        <w:smartTag w:uri="urn:schemas-microsoft-com:office:smarttags" w:element="place">
          <w:r w:rsidR="00117EE4" w:rsidRPr="00FA42EA">
            <w:rPr>
              <w:rFonts w:ascii="Book Antiqua" w:hAnsi="Book Antiqua" w:cs="Arial"/>
            </w:rPr>
            <w:t>Kenya</w:t>
          </w:r>
        </w:smartTag>
      </w:smartTag>
      <w:r w:rsidR="00117EE4" w:rsidRPr="00FA42EA">
        <w:rPr>
          <w:rFonts w:ascii="Book Antiqua" w:hAnsi="Book Antiqua" w:cs="Arial"/>
        </w:rPr>
        <w:t xml:space="preserve"> in the light of her particular disability and the lack of infrastructure for it to be </w:t>
      </w:r>
      <w:r w:rsidR="006104DB" w:rsidRPr="00FA42EA">
        <w:rPr>
          <w:rFonts w:ascii="Book Antiqua" w:hAnsi="Book Antiqua" w:cs="Arial"/>
        </w:rPr>
        <w:t>dealt</w:t>
      </w:r>
      <w:r w:rsidR="00117EE4" w:rsidRPr="00FA42EA">
        <w:rPr>
          <w:rFonts w:ascii="Book Antiqua" w:hAnsi="Book Antiqua" w:cs="Arial"/>
        </w:rPr>
        <w:t xml:space="preserve"> with.</w:t>
      </w:r>
    </w:p>
    <w:p w:rsidR="00117EE4" w:rsidRPr="00FA42EA" w:rsidRDefault="00117EE4"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her submissions Ms Ahmad relied on the respondent’s decision and the respondent’s grounds in relation to the </w:t>
      </w:r>
      <w:proofErr w:type="spellStart"/>
      <w:r w:rsidRPr="00FA42EA">
        <w:rPr>
          <w:rFonts w:ascii="Book Antiqua" w:hAnsi="Book Antiqua" w:cs="Arial"/>
        </w:rPr>
        <w:t>FtJ’s</w:t>
      </w:r>
      <w:proofErr w:type="spellEnd"/>
      <w:r w:rsidRPr="00FA42EA">
        <w:rPr>
          <w:rFonts w:ascii="Book Antiqua" w:hAnsi="Book Antiqua" w:cs="Arial"/>
        </w:rPr>
        <w:t xml:space="preserve"> decision.  Various aspects of the background material were referred to in terms of the availability of treatment for the appellant, societal attitudes and the approach to disability and healthcare by the authorities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It was submitted that there was </w:t>
      </w:r>
      <w:r w:rsidR="006104DB" w:rsidRPr="00FA42EA">
        <w:rPr>
          <w:rFonts w:ascii="Book Antiqua" w:hAnsi="Book Antiqua" w:cs="Arial"/>
        </w:rPr>
        <w:t>clearly</w:t>
      </w:r>
      <w:r w:rsidRPr="00FA42EA">
        <w:rPr>
          <w:rFonts w:ascii="Book Antiqua" w:hAnsi="Book Antiqua" w:cs="Arial"/>
        </w:rPr>
        <w:t xml:space="preserve"> an effort and </w:t>
      </w:r>
      <w:r w:rsidR="006104DB" w:rsidRPr="00FA42EA">
        <w:rPr>
          <w:rFonts w:ascii="Book Antiqua" w:hAnsi="Book Antiqua" w:cs="Arial"/>
        </w:rPr>
        <w:t>intention</w:t>
      </w:r>
      <w:r w:rsidRPr="00FA42EA">
        <w:rPr>
          <w:rFonts w:ascii="Book Antiqua" w:hAnsi="Book Antiqua" w:cs="Arial"/>
        </w:rPr>
        <w:t xml:space="preserve"> on the part of the authorities and aspects of society to integrate disabled persons and provide treatment.</w:t>
      </w:r>
    </w:p>
    <w:p w:rsidR="00117EE4" w:rsidRPr="00FA42EA" w:rsidRDefault="00117EE4"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So far as asylum is concerned, it was submitted that the threshold for persecution was not met.  </w:t>
      </w:r>
      <w:r w:rsidR="00526665" w:rsidRPr="00FA42EA">
        <w:rPr>
          <w:rFonts w:ascii="Book Antiqua" w:hAnsi="Book Antiqua" w:cs="Arial"/>
        </w:rPr>
        <w:t xml:space="preserve">The background evidence did not support the contention </w:t>
      </w:r>
      <w:r w:rsidR="006104DB" w:rsidRPr="00FA42EA">
        <w:rPr>
          <w:rFonts w:ascii="Book Antiqua" w:hAnsi="Book Antiqua" w:cs="Arial"/>
        </w:rPr>
        <w:t>that</w:t>
      </w:r>
      <w:r w:rsidR="00526665" w:rsidRPr="00FA42EA">
        <w:rPr>
          <w:rFonts w:ascii="Book Antiqua" w:hAnsi="Book Antiqua" w:cs="Arial"/>
        </w:rPr>
        <w:t xml:space="preserve"> the appellant would be subjected to persecution on return.</w:t>
      </w:r>
    </w:p>
    <w:p w:rsidR="00526665" w:rsidRPr="00FA42EA" w:rsidRDefault="006104DB"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Similarly</w:t>
      </w:r>
      <w:r w:rsidR="00526665" w:rsidRPr="00FA42EA">
        <w:rPr>
          <w:rFonts w:ascii="Book Antiqua" w:hAnsi="Book Antiqua" w:cs="Arial"/>
        </w:rPr>
        <w:t xml:space="preserve">, although it was said that the appellant does not rely on Article 3 in terms of the </w:t>
      </w:r>
      <w:r w:rsidR="00526665" w:rsidRPr="00FA42EA">
        <w:rPr>
          <w:rFonts w:ascii="Book Antiqua" w:hAnsi="Book Antiqua" w:cs="Arial"/>
          <w:i/>
        </w:rPr>
        <w:t>N</w:t>
      </w:r>
      <w:r w:rsidR="00526665" w:rsidRPr="00FA42EA">
        <w:rPr>
          <w:rFonts w:ascii="Book Antiqua" w:hAnsi="Book Antiqua" w:cs="Arial"/>
        </w:rPr>
        <w:t xml:space="preserve"> line of cases, there was still a high threshold to be met.  I was referred to </w:t>
      </w:r>
      <w:proofErr w:type="spellStart"/>
      <w:r w:rsidR="00526665" w:rsidRPr="00FA42EA">
        <w:rPr>
          <w:rFonts w:ascii="Book Antiqua" w:hAnsi="Book Antiqua" w:cs="Arial"/>
          <w:i/>
        </w:rPr>
        <w:t>Akhalu</w:t>
      </w:r>
      <w:proofErr w:type="spellEnd"/>
      <w:r w:rsidR="00526665" w:rsidRPr="00FA42EA">
        <w:rPr>
          <w:rFonts w:ascii="Book Antiqua" w:hAnsi="Book Antiqua" w:cs="Arial"/>
          <w:i/>
        </w:rPr>
        <w:t xml:space="preserve"> (health claim: ECHR Article 8) Nigeria</w:t>
      </w:r>
      <w:r w:rsidR="00526665" w:rsidRPr="00FA42EA">
        <w:rPr>
          <w:rFonts w:ascii="Book Antiqua" w:hAnsi="Book Antiqua" w:cs="Arial"/>
        </w:rPr>
        <w:t xml:space="preserve"> [2013] UKUT 400 (IAC), </w:t>
      </w:r>
      <w:r w:rsidR="00526665" w:rsidRPr="00FA42EA">
        <w:rPr>
          <w:rFonts w:ascii="Book Antiqua" w:hAnsi="Book Antiqua" w:cs="Arial"/>
          <w:i/>
        </w:rPr>
        <w:t xml:space="preserve">GS (India) </w:t>
      </w:r>
      <w:r w:rsidR="00B62CFA" w:rsidRPr="00FA42EA">
        <w:rPr>
          <w:rFonts w:ascii="Book Antiqua" w:hAnsi="Book Antiqua" w:cs="Arial"/>
          <w:i/>
        </w:rPr>
        <w:t xml:space="preserve">&amp; </w:t>
      </w:r>
      <w:proofErr w:type="spellStart"/>
      <w:r w:rsidR="00B62CFA" w:rsidRPr="00FA42EA">
        <w:rPr>
          <w:rFonts w:ascii="Book Antiqua" w:hAnsi="Book Antiqua" w:cs="Arial"/>
          <w:i/>
        </w:rPr>
        <w:t>Ors</w:t>
      </w:r>
      <w:proofErr w:type="spellEnd"/>
      <w:r w:rsidR="00B62CFA" w:rsidRPr="00FA42EA">
        <w:rPr>
          <w:rFonts w:ascii="Book Antiqua" w:hAnsi="Book Antiqua" w:cs="Arial"/>
          <w:i/>
        </w:rPr>
        <w:t xml:space="preserve"> v </w:t>
      </w:r>
      <w:r w:rsidR="00B62CFA" w:rsidRPr="00FA42EA">
        <w:rPr>
          <w:rFonts w:ascii="Book Antiqua" w:hAnsi="Book Antiqua" w:cs="Arial"/>
          <w:i/>
        </w:rPr>
        <w:lastRenderedPageBreak/>
        <w:t>Secretary of State for the Home Department</w:t>
      </w:r>
      <w:r w:rsidR="00B62CFA" w:rsidRPr="00FA42EA">
        <w:rPr>
          <w:rFonts w:ascii="Book Antiqua" w:hAnsi="Book Antiqua" w:cs="Arial"/>
        </w:rPr>
        <w:t xml:space="preserve"> [2015] EWCA </w:t>
      </w:r>
      <w:proofErr w:type="spellStart"/>
      <w:r w:rsidR="00B62CFA" w:rsidRPr="00FA42EA">
        <w:rPr>
          <w:rFonts w:ascii="Book Antiqua" w:hAnsi="Book Antiqua" w:cs="Arial"/>
        </w:rPr>
        <w:t>Civ</w:t>
      </w:r>
      <w:proofErr w:type="spellEnd"/>
      <w:r w:rsidR="00B62CFA" w:rsidRPr="00FA42EA">
        <w:rPr>
          <w:rFonts w:ascii="Book Antiqua" w:hAnsi="Book Antiqua" w:cs="Arial"/>
        </w:rPr>
        <w:t xml:space="preserve"> 40 and </w:t>
      </w:r>
      <w:r w:rsidR="00B62CFA" w:rsidRPr="00FA42EA">
        <w:rPr>
          <w:rFonts w:ascii="Book Antiqua" w:hAnsi="Book Antiqua" w:cs="Arial"/>
          <w:i/>
        </w:rPr>
        <w:t>AM (Zimbabwe) &amp; Anor v Secretary of State for the Home Department</w:t>
      </w:r>
      <w:r w:rsidR="00B62CFA" w:rsidRPr="00FA42EA">
        <w:rPr>
          <w:rFonts w:ascii="Book Antiqua" w:hAnsi="Book Antiqua" w:cs="Arial"/>
        </w:rPr>
        <w:t xml:space="preserve"> [2018] EWCA </w:t>
      </w:r>
      <w:proofErr w:type="spellStart"/>
      <w:r w:rsidR="00B62CFA" w:rsidRPr="00FA42EA">
        <w:rPr>
          <w:rFonts w:ascii="Book Antiqua" w:hAnsi="Book Antiqua" w:cs="Arial"/>
        </w:rPr>
        <w:t>Civ</w:t>
      </w:r>
      <w:proofErr w:type="spellEnd"/>
      <w:r w:rsidR="00B62CFA" w:rsidRPr="00FA42EA">
        <w:rPr>
          <w:rFonts w:ascii="Book Antiqua" w:hAnsi="Book Antiqua" w:cs="Arial"/>
        </w:rPr>
        <w:t xml:space="preserve"> 64.  </w:t>
      </w:r>
    </w:p>
    <w:p w:rsidR="00B62CFA" w:rsidRPr="00FA42EA" w:rsidRDefault="00B62C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The appellant is unable to meet the family life requirements of the Article 8 Rules.  So far as private life is concerned and paragraph 276ADE, </w:t>
      </w:r>
      <w:r w:rsidRPr="00FA42EA">
        <w:rPr>
          <w:rFonts w:ascii="Book Antiqua" w:hAnsi="Book Antiqua" w:cs="Arial"/>
          <w:i/>
        </w:rPr>
        <w:t>Miah (section 117B NIAA 2002 – children)</w:t>
      </w:r>
      <w:r w:rsidRPr="00FA42EA">
        <w:rPr>
          <w:rFonts w:ascii="Book Antiqua" w:hAnsi="Book Antiqua" w:cs="Arial"/>
        </w:rPr>
        <w:t xml:space="preserve"> [2016] UKUT 131 (IAC) refers to the relevance of Home Office Immigration Directorate </w:t>
      </w:r>
      <w:r w:rsidR="006104DB" w:rsidRPr="00FA42EA">
        <w:rPr>
          <w:rFonts w:ascii="Book Antiqua" w:hAnsi="Book Antiqua" w:cs="Arial"/>
        </w:rPr>
        <w:t>Instructions</w:t>
      </w:r>
      <w:r w:rsidRPr="00FA42EA">
        <w:rPr>
          <w:rFonts w:ascii="Book Antiqua" w:hAnsi="Book Antiqua" w:cs="Arial"/>
        </w:rPr>
        <w:t xml:space="preserve"> (“IDIs”).  The IDIs themselves were referred to and relied on, on behalf of the respondent.  It was submitted in particular, that the appellant had lived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for over 30 years where her husband had supported her.  She speaks the language there.  Healthcare is available.  Although their circumstances may be difficult, 64% of disabled people have access to healthcare.  The appellant’s husband would be able to establish his business again.  It could not be suggested that they have no contacts there at all, given that they had lived there for over 30 years before coming to the </w:t>
      </w:r>
      <w:smartTag w:uri="urn:schemas-microsoft-com:office:smarttags" w:element="country-region">
        <w:smartTag w:uri="urn:schemas-microsoft-com:office:smarttags" w:element="place">
          <w:r w:rsidRPr="00FA42EA">
            <w:rPr>
              <w:rFonts w:ascii="Book Antiqua" w:hAnsi="Book Antiqua" w:cs="Arial"/>
            </w:rPr>
            <w:t>UK</w:t>
          </w:r>
        </w:smartTag>
      </w:smartTag>
      <w:r w:rsidRPr="00FA42EA">
        <w:rPr>
          <w:rFonts w:ascii="Book Antiqua" w:hAnsi="Book Antiqua" w:cs="Arial"/>
        </w:rPr>
        <w:t xml:space="preserve">.  They had only been in the </w:t>
      </w:r>
      <w:smartTag w:uri="urn:schemas-microsoft-com:office:smarttags" w:element="country-region">
        <w:smartTag w:uri="urn:schemas-microsoft-com:office:smarttags" w:element="place">
          <w:r w:rsidRPr="00FA42EA">
            <w:rPr>
              <w:rFonts w:ascii="Book Antiqua" w:hAnsi="Book Antiqua" w:cs="Arial"/>
            </w:rPr>
            <w:t>UK</w:t>
          </w:r>
        </w:smartTag>
      </w:smartTag>
      <w:r w:rsidRPr="00FA42EA">
        <w:rPr>
          <w:rFonts w:ascii="Book Antiqua" w:hAnsi="Book Antiqua" w:cs="Arial"/>
        </w:rPr>
        <w:t xml:space="preserve"> since 2015.  </w:t>
      </w:r>
    </w:p>
    <w:p w:rsidR="00B62CFA" w:rsidRPr="00FA42EA" w:rsidRDefault="00B62C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The appellant had been able to access health services in the </w:t>
      </w:r>
      <w:smartTag w:uri="urn:schemas-microsoft-com:office:smarttags" w:element="country-region">
        <w:smartTag w:uri="urn:schemas-microsoft-com:office:smarttags" w:element="place">
          <w:r w:rsidRPr="00FA42EA">
            <w:rPr>
              <w:rFonts w:ascii="Book Antiqua" w:hAnsi="Book Antiqua" w:cs="Arial"/>
            </w:rPr>
            <w:t>UK</w:t>
          </w:r>
        </w:smartTag>
      </w:smartTag>
      <w:r w:rsidRPr="00FA42EA">
        <w:rPr>
          <w:rFonts w:ascii="Book Antiqua" w:hAnsi="Book Antiqua" w:cs="Arial"/>
        </w:rPr>
        <w:t xml:space="preserve"> which indicates that she is proactive in </w:t>
      </w:r>
      <w:r w:rsidR="006104DB" w:rsidRPr="00FA42EA">
        <w:rPr>
          <w:rFonts w:ascii="Book Antiqua" w:hAnsi="Book Antiqua" w:cs="Arial"/>
        </w:rPr>
        <w:t>relation</w:t>
      </w:r>
      <w:r w:rsidRPr="00FA42EA">
        <w:rPr>
          <w:rFonts w:ascii="Book Antiqua" w:hAnsi="Book Antiqua" w:cs="Arial"/>
        </w:rPr>
        <w:t xml:space="preserve"> to her health.  </w:t>
      </w:r>
    </w:p>
    <w:p w:rsidR="00B62CFA" w:rsidRPr="00FA42EA" w:rsidRDefault="00B62C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relation to Article 8 outside the Rules, s. 117B of the Nationality, Immigration and Asylum Act 2002 (“the 2002 Act”) was relevant in terms of the appellant’s immigration history, the fact that she came to the </w:t>
      </w:r>
      <w:smartTag w:uri="urn:schemas-microsoft-com:office:smarttags" w:element="country-region">
        <w:smartTag w:uri="urn:schemas-microsoft-com:office:smarttags" w:element="place">
          <w:r w:rsidRPr="00FA42EA">
            <w:rPr>
              <w:rFonts w:ascii="Book Antiqua" w:hAnsi="Book Antiqua" w:cs="Arial"/>
            </w:rPr>
            <w:t>UK</w:t>
          </w:r>
        </w:smartTag>
      </w:smartTag>
      <w:r w:rsidRPr="00FA42EA">
        <w:rPr>
          <w:rFonts w:ascii="Book Antiqua" w:hAnsi="Book Antiqua" w:cs="Arial"/>
        </w:rPr>
        <w:t xml:space="preserve"> as a visitor and remained and that all her leave has been </w:t>
      </w:r>
      <w:r w:rsidR="006104DB" w:rsidRPr="00FA42EA">
        <w:rPr>
          <w:rFonts w:ascii="Book Antiqua" w:hAnsi="Book Antiqua" w:cs="Arial"/>
        </w:rPr>
        <w:t>precarious</w:t>
      </w:r>
      <w:r w:rsidRPr="00FA42EA">
        <w:rPr>
          <w:rFonts w:ascii="Book Antiqua" w:hAnsi="Book Antiqua" w:cs="Arial"/>
        </w:rPr>
        <w:t xml:space="preserve">.  Language was also a relevant issue and she is not financially independent.  </w:t>
      </w:r>
    </w:p>
    <w:p w:rsidR="00B62CFA" w:rsidRPr="00FA42EA" w:rsidRDefault="00B62C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reply, Mr Seddon contended that a significant proportion of the submissions made on behalf of the respondent sought to go behind the findings made by the </w:t>
      </w:r>
      <w:proofErr w:type="spellStart"/>
      <w:r w:rsidRPr="00FA42EA">
        <w:rPr>
          <w:rFonts w:ascii="Book Antiqua" w:hAnsi="Book Antiqua" w:cs="Arial"/>
        </w:rPr>
        <w:t>FtJ</w:t>
      </w:r>
      <w:proofErr w:type="spellEnd"/>
      <w:r w:rsidRPr="00FA42EA">
        <w:rPr>
          <w:rFonts w:ascii="Book Antiqua" w:hAnsi="Book Antiqua" w:cs="Arial"/>
        </w:rPr>
        <w:t xml:space="preserve">.  In relation to healthcare, her evidence is that she has not had access to healthcare so far.  Her first access to healthcare was when she was 14 years of age but otherwise she has not been able to afford it.  Various points were made in relation to the background </w:t>
      </w:r>
      <w:r w:rsidR="006104DB" w:rsidRPr="00FA42EA">
        <w:rPr>
          <w:rFonts w:ascii="Book Antiqua" w:hAnsi="Book Antiqua" w:cs="Arial"/>
        </w:rPr>
        <w:t>material</w:t>
      </w:r>
      <w:r w:rsidRPr="00FA42EA">
        <w:rPr>
          <w:rFonts w:ascii="Book Antiqua" w:hAnsi="Book Antiqua" w:cs="Arial"/>
        </w:rPr>
        <w:t xml:space="preserve"> in reply to the submissions made on behalf of the respondent in that context.</w:t>
      </w:r>
    </w:p>
    <w:p w:rsidR="00B62CFA" w:rsidRPr="00FA42EA" w:rsidRDefault="00B62C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terms of the appellant and her husband seeking to have children, the respondent’s submissions missed the point that the real difficulty in </w:t>
      </w:r>
      <w:r w:rsidR="006104DB" w:rsidRPr="00FA42EA">
        <w:rPr>
          <w:rFonts w:ascii="Book Antiqua" w:hAnsi="Book Antiqua" w:cs="Arial"/>
        </w:rPr>
        <w:t>relation</w:t>
      </w:r>
      <w:r w:rsidRPr="00FA42EA">
        <w:rPr>
          <w:rFonts w:ascii="Book Antiqua" w:hAnsi="Book Antiqua" w:cs="Arial"/>
        </w:rPr>
        <w:t xml:space="preserve"> to the appellant having a child was discovered since the appellant had been in the </w:t>
      </w:r>
      <w:smartTag w:uri="urn:schemas-microsoft-com:office:smarttags" w:element="country-region">
        <w:smartTag w:uri="urn:schemas-microsoft-com:office:smarttags" w:element="place">
          <w:r w:rsidRPr="00FA42EA">
            <w:rPr>
              <w:rFonts w:ascii="Book Antiqua" w:hAnsi="Book Antiqua" w:cs="Arial"/>
            </w:rPr>
            <w:t>UK</w:t>
          </w:r>
        </w:smartTag>
      </w:smartTag>
      <w:r w:rsidRPr="00FA42EA">
        <w:rPr>
          <w:rFonts w:ascii="Book Antiqua" w:hAnsi="Book Antiqua" w:cs="Arial"/>
        </w:rPr>
        <w:t xml:space="preserve">.  The pre-eclampsia was a separate condition and </w:t>
      </w:r>
      <w:r w:rsidR="00371CEB">
        <w:rPr>
          <w:rFonts w:ascii="Book Antiqua" w:hAnsi="Book Antiqua" w:cs="Arial"/>
        </w:rPr>
        <w:t xml:space="preserve">was </w:t>
      </w:r>
      <w:r w:rsidRPr="00FA42EA">
        <w:rPr>
          <w:rFonts w:ascii="Book Antiqua" w:hAnsi="Book Antiqua" w:cs="Arial"/>
        </w:rPr>
        <w:t xml:space="preserve">complicated by her muscular dystrophy.  </w:t>
      </w:r>
      <w:r w:rsidR="00383EB2" w:rsidRPr="00FA42EA">
        <w:rPr>
          <w:rFonts w:ascii="Book Antiqua" w:hAnsi="Book Antiqua" w:cs="Arial"/>
        </w:rPr>
        <w:t xml:space="preserve">The </w:t>
      </w:r>
      <w:smartTag w:uri="urn:schemas-microsoft-com:office:smarttags" w:element="place">
        <w:smartTag w:uri="urn:schemas-microsoft-com:office:smarttags" w:element="PlaceName">
          <w:r w:rsidR="00383EB2" w:rsidRPr="00FA42EA">
            <w:rPr>
              <w:rFonts w:ascii="Book Antiqua" w:hAnsi="Book Antiqua" w:cs="Arial"/>
            </w:rPr>
            <w:t>John</w:t>
          </w:r>
        </w:smartTag>
        <w:r w:rsidR="00383EB2" w:rsidRPr="00FA42EA">
          <w:rPr>
            <w:rFonts w:ascii="Book Antiqua" w:hAnsi="Book Antiqua" w:cs="Arial"/>
          </w:rPr>
          <w:t xml:space="preserve"> </w:t>
        </w:r>
        <w:smartTag w:uri="urn:schemas-microsoft-com:office:smarttags" w:element="PlaceName">
          <w:r w:rsidR="00383EB2" w:rsidRPr="00FA42EA">
            <w:rPr>
              <w:rFonts w:ascii="Book Antiqua" w:hAnsi="Book Antiqua" w:cs="Arial"/>
            </w:rPr>
            <w:t>Radcliffe</w:t>
          </w:r>
        </w:smartTag>
        <w:r w:rsidR="00383EB2" w:rsidRPr="00FA42EA">
          <w:rPr>
            <w:rFonts w:ascii="Book Antiqua" w:hAnsi="Book Antiqua" w:cs="Arial"/>
          </w:rPr>
          <w:t xml:space="preserve"> </w:t>
        </w:r>
        <w:smartTag w:uri="urn:schemas-microsoft-com:office:smarttags" w:element="PlaceType">
          <w:r w:rsidR="00383EB2" w:rsidRPr="00FA42EA">
            <w:rPr>
              <w:rFonts w:ascii="Book Antiqua" w:hAnsi="Book Antiqua" w:cs="Arial"/>
            </w:rPr>
            <w:t>Hospital</w:t>
          </w:r>
        </w:smartTag>
      </w:smartTag>
      <w:r w:rsidR="00383EB2" w:rsidRPr="00FA42EA">
        <w:rPr>
          <w:rFonts w:ascii="Book Antiqua" w:hAnsi="Book Antiqua" w:cs="Arial"/>
        </w:rPr>
        <w:t xml:space="preserve"> had said that they had never treated someone with both </w:t>
      </w:r>
      <w:r w:rsidR="00C21ED2" w:rsidRPr="00FA42EA">
        <w:rPr>
          <w:rFonts w:ascii="Book Antiqua" w:hAnsi="Book Antiqua" w:cs="Arial"/>
        </w:rPr>
        <w:t>conditions.</w:t>
      </w:r>
    </w:p>
    <w:p w:rsidR="00C21ED2" w:rsidRPr="00FA42EA" w:rsidRDefault="00C21ED2"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As regards the appellant’s private life and the respondent’s reliance on the decision in </w:t>
      </w:r>
      <w:r w:rsidRPr="00FA42EA">
        <w:rPr>
          <w:rFonts w:ascii="Book Antiqua" w:hAnsi="Book Antiqua" w:cs="Arial"/>
          <w:i/>
        </w:rPr>
        <w:t>Miah</w:t>
      </w:r>
      <w:r w:rsidRPr="00FA42EA">
        <w:rPr>
          <w:rFonts w:ascii="Book Antiqua" w:hAnsi="Book Antiqua" w:cs="Arial"/>
        </w:rPr>
        <w:t xml:space="preserve">, it was clear from </w:t>
      </w:r>
      <w:r w:rsidRPr="00FA42EA">
        <w:rPr>
          <w:rFonts w:ascii="Book Antiqua" w:hAnsi="Book Antiqua" w:cs="Arial"/>
          <w:i/>
        </w:rPr>
        <w:t>Miah</w:t>
      </w:r>
      <w:r w:rsidRPr="00FA42EA">
        <w:rPr>
          <w:rFonts w:ascii="Book Antiqua" w:hAnsi="Book Antiqua" w:cs="Arial"/>
        </w:rPr>
        <w:t xml:space="preserve"> at [16] that the IDIs are not law and in that case the Tribunal was treating the IDIs as a further safety net in </w:t>
      </w:r>
      <w:r w:rsidR="006104DB" w:rsidRPr="00FA42EA">
        <w:rPr>
          <w:rFonts w:ascii="Book Antiqua" w:hAnsi="Book Antiqua" w:cs="Arial"/>
        </w:rPr>
        <w:t>addition</w:t>
      </w:r>
      <w:r w:rsidRPr="00FA42EA">
        <w:rPr>
          <w:rFonts w:ascii="Book Antiqua" w:hAnsi="Book Antiqua" w:cs="Arial"/>
        </w:rPr>
        <w:t xml:space="preserve"> to the requirements of the Rules.  As regards Article 8 outside the Rules, the same arguments and factors as previously argued were relied on.  The appellant’s explanation for overstaying her visa was that she discovered that she was pregnant after she had arrived in the </w:t>
      </w:r>
      <w:smartTag w:uri="urn:schemas-microsoft-com:office:smarttags" w:element="country-region">
        <w:r w:rsidRPr="00FA42EA">
          <w:rPr>
            <w:rFonts w:ascii="Book Antiqua" w:hAnsi="Book Antiqua" w:cs="Arial"/>
          </w:rPr>
          <w:t>UK</w:t>
        </w:r>
      </w:smartTag>
      <w:r w:rsidRPr="00FA42EA">
        <w:rPr>
          <w:rFonts w:ascii="Book Antiqua" w:hAnsi="Book Antiqua" w:cs="Arial"/>
        </w:rPr>
        <w:t xml:space="preserve"> and she </w:t>
      </w:r>
      <w:r w:rsidR="006104DB" w:rsidRPr="00FA42EA">
        <w:rPr>
          <w:rFonts w:ascii="Book Antiqua" w:hAnsi="Book Antiqua" w:cs="Arial"/>
        </w:rPr>
        <w:t>could</w:t>
      </w:r>
      <w:r w:rsidRPr="00FA42EA">
        <w:rPr>
          <w:rFonts w:ascii="Book Antiqua" w:hAnsi="Book Antiqua" w:cs="Arial"/>
        </w:rPr>
        <w:t xml:space="preserve"> not return to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because of the seriousness of her condition.  The </w:t>
      </w:r>
      <w:proofErr w:type="spellStart"/>
      <w:r w:rsidRPr="00FA42EA">
        <w:rPr>
          <w:rFonts w:ascii="Book Antiqua" w:hAnsi="Book Antiqua" w:cs="Arial"/>
        </w:rPr>
        <w:t>FtJ</w:t>
      </w:r>
      <w:proofErr w:type="spellEnd"/>
      <w:r w:rsidRPr="00FA42EA">
        <w:rPr>
          <w:rFonts w:ascii="Book Antiqua" w:hAnsi="Book Antiqua" w:cs="Arial"/>
        </w:rPr>
        <w:t xml:space="preserve"> accepted that explanation.  </w:t>
      </w:r>
    </w:p>
    <w:p w:rsidR="003A391A" w:rsidRDefault="003A391A" w:rsidP="00C21ED2">
      <w:pPr>
        <w:spacing w:before="240"/>
        <w:ind w:firstLine="567"/>
        <w:jc w:val="both"/>
        <w:rPr>
          <w:rFonts w:ascii="Book Antiqua" w:hAnsi="Book Antiqua" w:cs="Arial"/>
          <w:i/>
        </w:rPr>
      </w:pPr>
    </w:p>
    <w:p w:rsidR="00C21ED2" w:rsidRPr="00FA42EA" w:rsidRDefault="00C21ED2" w:rsidP="00C21ED2">
      <w:pPr>
        <w:spacing w:before="240"/>
        <w:ind w:firstLine="567"/>
        <w:jc w:val="both"/>
        <w:rPr>
          <w:rFonts w:ascii="Book Antiqua" w:hAnsi="Book Antiqua" w:cs="Arial"/>
          <w:i/>
        </w:rPr>
      </w:pPr>
      <w:r w:rsidRPr="00FA42EA">
        <w:rPr>
          <w:rFonts w:ascii="Book Antiqua" w:hAnsi="Book Antiqua" w:cs="Arial"/>
          <w:i/>
        </w:rPr>
        <w:lastRenderedPageBreak/>
        <w:t>The expert’s report</w:t>
      </w:r>
      <w:r w:rsidR="00BE0F51" w:rsidRPr="00BE0F51">
        <w:rPr>
          <w:rFonts w:ascii="Book Antiqua" w:hAnsi="Book Antiqua" w:cs="Arial"/>
          <w:i/>
        </w:rPr>
        <w:t xml:space="preserve"> </w:t>
      </w:r>
      <w:r w:rsidR="00BE0F51">
        <w:rPr>
          <w:rFonts w:ascii="Book Antiqua" w:hAnsi="Book Antiqua" w:cs="Arial"/>
          <w:i/>
        </w:rPr>
        <w:t xml:space="preserve">and </w:t>
      </w:r>
      <w:r w:rsidR="00BE0F51" w:rsidRPr="00FA42EA">
        <w:rPr>
          <w:rFonts w:ascii="Book Antiqua" w:hAnsi="Book Antiqua" w:cs="Arial"/>
          <w:i/>
        </w:rPr>
        <w:t>background material</w:t>
      </w:r>
    </w:p>
    <w:p w:rsidR="00C21ED2" w:rsidRPr="00FA42EA" w:rsidRDefault="00C21ED2"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So far as the background material is concerned, I summarise those aspects of it to which I was referred on behalf of the parties in submissions but I have also taken into </w:t>
      </w:r>
      <w:r w:rsidR="006104DB" w:rsidRPr="00FA42EA">
        <w:rPr>
          <w:rFonts w:ascii="Book Antiqua" w:hAnsi="Book Antiqua" w:cs="Arial"/>
        </w:rPr>
        <w:t>account</w:t>
      </w:r>
      <w:r w:rsidRPr="00FA42EA">
        <w:rPr>
          <w:rFonts w:ascii="Book Antiqua" w:hAnsi="Book Antiqua" w:cs="Arial"/>
        </w:rPr>
        <w:t xml:space="preserve"> the references to the background </w:t>
      </w:r>
      <w:r w:rsidR="006104DB" w:rsidRPr="00FA42EA">
        <w:rPr>
          <w:rFonts w:ascii="Book Antiqua" w:hAnsi="Book Antiqua" w:cs="Arial"/>
        </w:rPr>
        <w:t>material</w:t>
      </w:r>
      <w:r w:rsidRPr="00FA42EA">
        <w:rPr>
          <w:rFonts w:ascii="Book Antiqua" w:hAnsi="Book Antiqua" w:cs="Arial"/>
        </w:rPr>
        <w:t xml:space="preserve"> as set out in the appellant’s skeleton argument</w:t>
      </w:r>
      <w:r w:rsidR="00E269C4">
        <w:rPr>
          <w:rFonts w:ascii="Book Antiqua" w:hAnsi="Book Antiqua" w:cs="Arial"/>
        </w:rPr>
        <w:t>.</w:t>
      </w:r>
    </w:p>
    <w:p w:rsidR="00E269C4" w:rsidRDefault="00C21ED2"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her report Ms </w:t>
      </w:r>
      <w:proofErr w:type="spellStart"/>
      <w:r w:rsidRPr="00FA42EA">
        <w:rPr>
          <w:rFonts w:ascii="Book Antiqua" w:hAnsi="Book Antiqua" w:cs="Arial"/>
        </w:rPr>
        <w:t>Kamundia</w:t>
      </w:r>
      <w:proofErr w:type="spellEnd"/>
      <w:r w:rsidRPr="00FA42EA">
        <w:rPr>
          <w:rFonts w:ascii="Book Antiqua" w:hAnsi="Book Antiqua" w:cs="Arial"/>
        </w:rPr>
        <w:t xml:space="preserve"> refers to the legal framework on the rights of persons with disabilities, describing it as a “robust legal framework”.  She goes on to state that the main barrier to rights enjoyment by persons with disabilities is poor implementation of existing laws and policies, attributed to factors such as low awareness of rights, </w:t>
      </w:r>
      <w:r w:rsidR="006104DB" w:rsidRPr="00FA42EA">
        <w:rPr>
          <w:rFonts w:ascii="Book Antiqua" w:hAnsi="Book Antiqua" w:cs="Arial"/>
        </w:rPr>
        <w:t>financial</w:t>
      </w:r>
      <w:r w:rsidRPr="00FA42EA">
        <w:rPr>
          <w:rFonts w:ascii="Book Antiqua" w:hAnsi="Book Antiqua" w:cs="Arial"/>
        </w:rPr>
        <w:t xml:space="preserve"> barriers and poor rights enforcement mechanisms.  </w:t>
      </w:r>
      <w:r w:rsidR="00E269C4">
        <w:rPr>
          <w:rFonts w:ascii="Book Antiqua" w:hAnsi="Book Antiqua" w:cs="Arial"/>
        </w:rPr>
        <w:t>She states that l</w:t>
      </w:r>
      <w:r w:rsidRPr="00FA42EA">
        <w:rPr>
          <w:rFonts w:ascii="Book Antiqua" w:hAnsi="Book Antiqua" w:cs="Arial"/>
        </w:rPr>
        <w:t xml:space="preserve">aws and policies address disability over a variety of issues including non-discrimination, social assistance, </w:t>
      </w:r>
      <w:r w:rsidR="006104DB" w:rsidRPr="00FA42EA">
        <w:rPr>
          <w:rFonts w:ascii="Book Antiqua" w:hAnsi="Book Antiqua" w:cs="Arial"/>
        </w:rPr>
        <w:t>accessibility</w:t>
      </w:r>
      <w:r w:rsidRPr="00FA42EA">
        <w:rPr>
          <w:rFonts w:ascii="Book Antiqua" w:hAnsi="Book Antiqua" w:cs="Arial"/>
        </w:rPr>
        <w:t xml:space="preserve"> of buildings and transport, accessible </w:t>
      </w:r>
      <w:r w:rsidR="006104DB" w:rsidRPr="00FA42EA">
        <w:rPr>
          <w:rFonts w:ascii="Book Antiqua" w:hAnsi="Book Antiqua" w:cs="Arial"/>
        </w:rPr>
        <w:t>communication</w:t>
      </w:r>
      <w:r w:rsidRPr="00FA42EA">
        <w:rPr>
          <w:rFonts w:ascii="Book Antiqua" w:hAnsi="Book Antiqua" w:cs="Arial"/>
        </w:rPr>
        <w:t xml:space="preserve">, access to assistive materials and devices, health, education and employment.  </w:t>
      </w:r>
    </w:p>
    <w:p w:rsidR="00E269C4" w:rsidRDefault="0081373A" w:rsidP="00244044">
      <w:pPr>
        <w:numPr>
          <w:ilvl w:val="0"/>
          <w:numId w:val="1"/>
        </w:numPr>
        <w:tabs>
          <w:tab w:val="clear" w:pos="567"/>
        </w:tabs>
        <w:spacing w:before="240"/>
        <w:jc w:val="both"/>
        <w:rPr>
          <w:rFonts w:ascii="Book Antiqua" w:hAnsi="Book Antiqua" w:cs="Arial"/>
        </w:rPr>
      </w:pPr>
      <w:r>
        <w:rPr>
          <w:noProof/>
        </w:rPr>
        <mc:AlternateContent>
          <mc:Choice Requires="wpi">
            <w:drawing>
              <wp:anchor distT="0" distB="0" distL="114300" distR="114300" simplePos="0" relativeHeight="251656704" behindDoc="0" locked="0" layoutInCell="1" allowOverlap="1">
                <wp:simplePos x="0" y="0"/>
                <wp:positionH relativeFrom="column">
                  <wp:posOffset>-2066290</wp:posOffset>
                </wp:positionH>
                <wp:positionV relativeFrom="paragraph">
                  <wp:posOffset>2402840</wp:posOffset>
                </wp:positionV>
                <wp:extent cx="27305" cy="60960"/>
                <wp:effectExtent l="63500" t="63500" r="42545" b="46990"/>
                <wp:wrapNone/>
                <wp:docPr id="4"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27305" cy="60960"/>
                      </w14:xfrm>
                    </w14:contentPart>
                  </a:graphicData>
                </a:graphic>
                <wp14:sizeRelH relativeFrom="page">
                  <wp14:pctWidth>0</wp14:pctWidth>
                </wp14:sizeRelH>
                <wp14:sizeRelV relativeFrom="page">
                  <wp14:pctHeight>0</wp14:pctHeight>
                </wp14:sizeRelV>
              </wp:anchor>
            </w:drawing>
          </mc:Choice>
          <mc:Fallback>
            <w:pict>
              <v:shapetype w14:anchorId="4C243F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4.7pt;margin-top:188.2pt;width:6.05pt;height: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">
                <v:imagedata r:id="rId9" o:title=""/>
                <o:lock v:ext="edit" rotation="t" aspectratio="f"/>
              </v:shape>
            </w:pict>
          </mc:Fallback>
        </mc:AlternateContent>
      </w:r>
      <w:r w:rsidR="00C21ED2" w:rsidRPr="00FA42EA">
        <w:rPr>
          <w:rFonts w:ascii="Book Antiqua" w:hAnsi="Book Antiqua" w:cs="Arial"/>
        </w:rPr>
        <w:t xml:space="preserve">The report at section 4 </w:t>
      </w:r>
      <w:r w:rsidR="00E269C4">
        <w:rPr>
          <w:rFonts w:ascii="Book Antiqua" w:hAnsi="Book Antiqua" w:cs="Arial"/>
        </w:rPr>
        <w:t xml:space="preserve">however, </w:t>
      </w:r>
      <w:r w:rsidR="00C21ED2" w:rsidRPr="00FA42EA">
        <w:rPr>
          <w:rFonts w:ascii="Book Antiqua" w:hAnsi="Book Antiqua" w:cs="Arial"/>
        </w:rPr>
        <w:t xml:space="preserve">continues that despite the significant protection of the rights of persons with disabilities in terms of laws and policies, persons with disabilities continue to experience </w:t>
      </w:r>
      <w:r w:rsidR="006104DB" w:rsidRPr="00FA42EA">
        <w:rPr>
          <w:rFonts w:ascii="Book Antiqua" w:hAnsi="Book Antiqua" w:cs="Arial"/>
        </w:rPr>
        <w:t>discrimination</w:t>
      </w:r>
      <w:r w:rsidR="00C21ED2" w:rsidRPr="00FA42EA">
        <w:rPr>
          <w:rFonts w:ascii="Book Antiqua" w:hAnsi="Book Antiqua" w:cs="Arial"/>
        </w:rPr>
        <w:t xml:space="preserve"> and exclusion in all spheres of life.  At 4.1 she states that the Government of Kenya does not make any </w:t>
      </w:r>
      <w:r w:rsidR="006104DB" w:rsidRPr="00FA42EA">
        <w:rPr>
          <w:rFonts w:ascii="Book Antiqua" w:hAnsi="Book Antiqua" w:cs="Arial"/>
        </w:rPr>
        <w:t>provision</w:t>
      </w:r>
      <w:r w:rsidR="00C21ED2" w:rsidRPr="00FA42EA">
        <w:rPr>
          <w:rFonts w:ascii="Book Antiqua" w:hAnsi="Book Antiqua" w:cs="Arial"/>
        </w:rPr>
        <w:t xml:space="preserve"> for the majority of people who are unable to work due to </w:t>
      </w:r>
      <w:r w:rsidR="006104DB" w:rsidRPr="00FA42EA">
        <w:rPr>
          <w:rFonts w:ascii="Book Antiqua" w:hAnsi="Book Antiqua" w:cs="Arial"/>
        </w:rPr>
        <w:t>disability</w:t>
      </w:r>
      <w:r w:rsidR="00C21ED2" w:rsidRPr="00FA42EA">
        <w:rPr>
          <w:rFonts w:ascii="Book Antiqua" w:hAnsi="Book Antiqua" w:cs="Arial"/>
        </w:rPr>
        <w:t xml:space="preserve">.  For a small minority of those unable to work due to disability the Government has designed a Cash Transfer Programme.  That provides 2,000 Kenyan shillings per household per month delivered every two months.  However, receipt of the amount on a monthly basis is not guaranteed.  </w:t>
      </w:r>
    </w:p>
    <w:p w:rsidR="00265541" w:rsidRPr="00E269C4" w:rsidRDefault="00C21ED2" w:rsidP="00244044">
      <w:pPr>
        <w:numPr>
          <w:ilvl w:val="0"/>
          <w:numId w:val="1"/>
        </w:numPr>
        <w:tabs>
          <w:tab w:val="clear" w:pos="567"/>
        </w:tabs>
        <w:spacing w:before="240"/>
        <w:jc w:val="both"/>
        <w:rPr>
          <w:rFonts w:ascii="Book Antiqua" w:hAnsi="Book Antiqua" w:cs="Arial"/>
        </w:rPr>
      </w:pPr>
      <w:r w:rsidRPr="00E269C4">
        <w:rPr>
          <w:rFonts w:ascii="Book Antiqua" w:hAnsi="Book Antiqua" w:cs="Arial"/>
        </w:rPr>
        <w:t xml:space="preserve">The </w:t>
      </w:r>
      <w:r w:rsidR="006104DB" w:rsidRPr="00E269C4">
        <w:rPr>
          <w:rFonts w:ascii="Book Antiqua" w:hAnsi="Book Antiqua" w:cs="Arial"/>
        </w:rPr>
        <w:t>eligibility</w:t>
      </w:r>
      <w:r w:rsidRPr="00E269C4">
        <w:rPr>
          <w:rFonts w:ascii="Book Antiqua" w:hAnsi="Book Antiqua" w:cs="Arial"/>
        </w:rPr>
        <w:t xml:space="preserve"> criteria under the programme </w:t>
      </w:r>
      <w:r w:rsidR="005755C4">
        <w:rPr>
          <w:rFonts w:ascii="Book Antiqua" w:hAnsi="Book Antiqua" w:cs="Arial"/>
        </w:rPr>
        <w:t>for</w:t>
      </w:r>
      <w:r w:rsidRPr="00E269C4">
        <w:rPr>
          <w:rFonts w:ascii="Book Antiqua" w:hAnsi="Book Antiqua" w:cs="Arial"/>
        </w:rPr>
        <w:t xml:space="preserve"> persons with severe disabilities includes</w:t>
      </w:r>
      <w:r w:rsidR="00E269C4" w:rsidRPr="00E269C4">
        <w:rPr>
          <w:rFonts w:ascii="Book Antiqua" w:hAnsi="Book Antiqua" w:cs="Arial"/>
        </w:rPr>
        <w:t>,</w:t>
      </w:r>
      <w:r w:rsidRPr="00E269C4">
        <w:rPr>
          <w:rFonts w:ascii="Book Antiqua" w:hAnsi="Book Antiqua" w:cs="Arial"/>
        </w:rPr>
        <w:t xml:space="preserve"> </w:t>
      </w:r>
      <w:r w:rsidR="00B8463E" w:rsidRPr="00E269C4">
        <w:rPr>
          <w:rFonts w:ascii="Book Antiqua" w:hAnsi="Book Antiqua" w:cs="Arial"/>
        </w:rPr>
        <w:t>a</w:t>
      </w:r>
      <w:r w:rsidRPr="00E269C4">
        <w:rPr>
          <w:rFonts w:ascii="Book Antiqua" w:hAnsi="Book Antiqua" w:cs="Arial"/>
        </w:rPr>
        <w:t xml:space="preserve"> household with a person with severe disability and extremely poor households.  Persons </w:t>
      </w:r>
      <w:r w:rsidR="00265541" w:rsidRPr="00E269C4">
        <w:rPr>
          <w:rFonts w:ascii="Book Antiqua" w:hAnsi="Book Antiqua" w:cs="Arial"/>
        </w:rPr>
        <w:t>with severe disabilities are defined as those who need permanent care including feeding, toile</w:t>
      </w:r>
      <w:r w:rsidR="00E269C4" w:rsidRPr="00E269C4">
        <w:rPr>
          <w:rFonts w:ascii="Book Antiqua" w:hAnsi="Book Antiqua" w:cs="Arial"/>
        </w:rPr>
        <w:t>try</w:t>
      </w:r>
      <w:r w:rsidR="00265541" w:rsidRPr="00E269C4">
        <w:rPr>
          <w:rFonts w:ascii="Book Antiqua" w:hAnsi="Book Antiqua" w:cs="Arial"/>
        </w:rPr>
        <w:t xml:space="preserve">, protection from danger from themselves or other persons and from the environment.  They also need intensive support on a </w:t>
      </w:r>
      <w:r w:rsidR="006104DB" w:rsidRPr="00E269C4">
        <w:rPr>
          <w:rFonts w:ascii="Book Antiqua" w:hAnsi="Book Antiqua" w:cs="Arial"/>
        </w:rPr>
        <w:t>daily</w:t>
      </w:r>
      <w:r w:rsidR="00265541" w:rsidRPr="00E269C4">
        <w:rPr>
          <w:rFonts w:ascii="Book Antiqua" w:hAnsi="Book Antiqua" w:cs="Arial"/>
        </w:rPr>
        <w:t xml:space="preserve"> basis which therefore keeps their parents and guardians/caregivers at home or close to them throughout.  Ms </w:t>
      </w:r>
      <w:proofErr w:type="spellStart"/>
      <w:r w:rsidR="00265541" w:rsidRPr="00E269C4">
        <w:rPr>
          <w:rFonts w:ascii="Book Antiqua" w:hAnsi="Book Antiqua" w:cs="Arial"/>
        </w:rPr>
        <w:t>Kamundia</w:t>
      </w:r>
      <w:proofErr w:type="spellEnd"/>
      <w:r w:rsidR="00265541" w:rsidRPr="00E269C4">
        <w:rPr>
          <w:rFonts w:ascii="Book Antiqua" w:hAnsi="Book Antiqua" w:cs="Arial"/>
        </w:rPr>
        <w:t xml:space="preserve"> suggests that it is highly likely that the appellant would not be eligible for the programme because she is still able to feed herself, albeit with difficulty.  Even if she did qualify, the </w:t>
      </w:r>
      <w:r w:rsidR="006104DB" w:rsidRPr="00E269C4">
        <w:rPr>
          <w:rFonts w:ascii="Book Antiqua" w:hAnsi="Book Antiqua" w:cs="Arial"/>
        </w:rPr>
        <w:t>amount</w:t>
      </w:r>
      <w:r w:rsidR="00265541" w:rsidRPr="00E269C4">
        <w:rPr>
          <w:rFonts w:ascii="Book Antiqua" w:hAnsi="Book Antiqua" w:cs="Arial"/>
        </w:rPr>
        <w:t xml:space="preserve"> that she would receive would be </w:t>
      </w:r>
      <w:r w:rsidR="006104DB" w:rsidRPr="00E269C4">
        <w:rPr>
          <w:rFonts w:ascii="Book Antiqua" w:hAnsi="Book Antiqua" w:cs="Arial"/>
        </w:rPr>
        <w:t>insufficient</w:t>
      </w:r>
      <w:r w:rsidR="00265541" w:rsidRPr="00E269C4">
        <w:rPr>
          <w:rFonts w:ascii="Book Antiqua" w:hAnsi="Book Antiqua" w:cs="Arial"/>
        </w:rPr>
        <w:t xml:space="preserve"> compared to the needs occasioned by her disability. The report suggests that public transport would be inaccessible to the appellant.</w:t>
      </w:r>
    </w:p>
    <w:p w:rsidR="00265541" w:rsidRPr="00FA42EA" w:rsidRDefault="00265541"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So far as suitable medical care is concerned, paragraph 4.5 states that persons with disabilities experience significant barriers in accessing healthcare.  According to a survey in 2015 by United </w:t>
      </w:r>
      <w:r w:rsidR="006104DB" w:rsidRPr="00FA42EA">
        <w:rPr>
          <w:rFonts w:ascii="Book Antiqua" w:hAnsi="Book Antiqua" w:cs="Arial"/>
        </w:rPr>
        <w:t>Disabled</w:t>
      </w:r>
      <w:r w:rsidRPr="00FA42EA">
        <w:rPr>
          <w:rFonts w:ascii="Book Antiqua" w:hAnsi="Book Antiqua" w:cs="Arial"/>
        </w:rPr>
        <w:t xml:space="preserve"> Persons of Kenya</w:t>
      </w:r>
      <w:r w:rsidR="00B94A18">
        <w:rPr>
          <w:rFonts w:ascii="Book Antiqua" w:hAnsi="Book Antiqua" w:cs="Arial"/>
        </w:rPr>
        <w:t xml:space="preserve"> (“UDPK”)</w:t>
      </w:r>
      <w:r w:rsidRPr="00FA42EA">
        <w:rPr>
          <w:rFonts w:ascii="Book Antiqua" w:hAnsi="Book Antiqua" w:cs="Arial"/>
        </w:rPr>
        <w:t xml:space="preserve">, 36% of persons with </w:t>
      </w:r>
      <w:r w:rsidR="006104DB" w:rsidRPr="00FA42EA">
        <w:rPr>
          <w:rFonts w:ascii="Book Antiqua" w:hAnsi="Book Antiqua" w:cs="Arial"/>
        </w:rPr>
        <w:t>disabilities</w:t>
      </w:r>
      <w:r w:rsidRPr="00FA42EA">
        <w:rPr>
          <w:rFonts w:ascii="Book Antiqua" w:hAnsi="Book Antiqua" w:cs="Arial"/>
        </w:rPr>
        <w:t xml:space="preserve"> could not access healthcare services due to </w:t>
      </w:r>
      <w:r w:rsidR="006104DB" w:rsidRPr="00FA42EA">
        <w:rPr>
          <w:rFonts w:ascii="Book Antiqua" w:hAnsi="Book Antiqua" w:cs="Arial"/>
        </w:rPr>
        <w:t>physical</w:t>
      </w:r>
      <w:r w:rsidRPr="00FA42EA">
        <w:rPr>
          <w:rFonts w:ascii="Book Antiqua" w:hAnsi="Book Antiqua" w:cs="Arial"/>
        </w:rPr>
        <w:t xml:space="preserve"> barriers, distance to health facilities, and negative attitudes of health staff and lack of family support.  The Government </w:t>
      </w:r>
      <w:r w:rsidR="006104DB" w:rsidRPr="00FA42EA">
        <w:rPr>
          <w:rFonts w:ascii="Book Antiqua" w:hAnsi="Book Antiqua" w:cs="Arial"/>
        </w:rPr>
        <w:t>apparently</w:t>
      </w:r>
      <w:r w:rsidRPr="00FA42EA">
        <w:rPr>
          <w:rFonts w:ascii="Book Antiqua" w:hAnsi="Book Antiqua" w:cs="Arial"/>
        </w:rPr>
        <w:t xml:space="preserve"> recognises that its efforts are by no means sufficient and highlights that it partners with private hospitals and dispensaries which are quite expensive.  </w:t>
      </w:r>
    </w:p>
    <w:p w:rsidR="00E269C4" w:rsidRDefault="00265541"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lastRenderedPageBreak/>
        <w:t xml:space="preserve">In the same section of the report it states that there are less than </w:t>
      </w:r>
      <w:r w:rsidR="00E269C4">
        <w:rPr>
          <w:rFonts w:ascii="Book Antiqua" w:hAnsi="Book Antiqua" w:cs="Arial"/>
        </w:rPr>
        <w:t>20</w:t>
      </w:r>
      <w:r w:rsidRPr="00FA42EA">
        <w:rPr>
          <w:rFonts w:ascii="Book Antiqua" w:hAnsi="Book Antiqua" w:cs="Arial"/>
        </w:rPr>
        <w:t xml:space="preserve"> </w:t>
      </w:r>
      <w:r w:rsidR="006104DB" w:rsidRPr="00FA42EA">
        <w:rPr>
          <w:rFonts w:ascii="Book Antiqua" w:hAnsi="Book Antiqua" w:cs="Arial"/>
        </w:rPr>
        <w:t>neurologists</w:t>
      </w:r>
      <w:r w:rsidRPr="00FA42EA">
        <w:rPr>
          <w:rFonts w:ascii="Book Antiqua" w:hAnsi="Book Antiqua" w:cs="Arial"/>
        </w:rPr>
        <w:t xml:space="preserve"> in Kenya, the majority of whom work in Nairobi and other urban areas.  In the course of research for the report </w:t>
      </w:r>
      <w:r w:rsidR="00E269C4">
        <w:rPr>
          <w:rFonts w:ascii="Book Antiqua" w:hAnsi="Book Antiqua" w:cs="Arial"/>
        </w:rPr>
        <w:t>11</w:t>
      </w:r>
      <w:r w:rsidRPr="00FA42EA">
        <w:rPr>
          <w:rFonts w:ascii="Book Antiqua" w:hAnsi="Book Antiqua" w:cs="Arial"/>
        </w:rPr>
        <w:t xml:space="preserve"> neurologists were asked whether they currently have a client who has muscular dystrophy and whether they have in the past dealt with such a person.  Seven of the neurologists </w:t>
      </w:r>
      <w:r w:rsidR="002A2DD0" w:rsidRPr="00FA42EA">
        <w:rPr>
          <w:rFonts w:ascii="Book Antiqua" w:hAnsi="Book Antiqua" w:cs="Arial"/>
        </w:rPr>
        <w:t xml:space="preserve">replied that they do not currently and have not in the past dealt with persons with muscular dystrophy.  </w:t>
      </w:r>
    </w:p>
    <w:p w:rsidR="00265541" w:rsidRPr="00FA42EA" w:rsidRDefault="002A2DD0"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The report concludes therefore that it is unlikely, given the kind of specialist care that the appellant needs</w:t>
      </w:r>
      <w:r w:rsidR="00E269C4">
        <w:rPr>
          <w:rFonts w:ascii="Book Antiqua" w:hAnsi="Book Antiqua" w:cs="Arial"/>
        </w:rPr>
        <w:t>,</w:t>
      </w:r>
      <w:r w:rsidRPr="00FA42EA">
        <w:rPr>
          <w:rFonts w:ascii="Book Antiqua" w:hAnsi="Book Antiqua" w:cs="Arial"/>
        </w:rPr>
        <w:t xml:space="preserve"> that she would be able to access medical care in Kenya.  Other individuals interviewed, whose </w:t>
      </w:r>
      <w:r w:rsidR="007B1E53" w:rsidRPr="00FA42EA">
        <w:rPr>
          <w:rFonts w:ascii="Book Antiqua" w:hAnsi="Book Antiqua" w:cs="Arial"/>
        </w:rPr>
        <w:t xml:space="preserve">details are given in the </w:t>
      </w:r>
      <w:r w:rsidR="006104DB" w:rsidRPr="00FA42EA">
        <w:rPr>
          <w:rFonts w:ascii="Book Antiqua" w:hAnsi="Book Antiqua" w:cs="Arial"/>
        </w:rPr>
        <w:t>report</w:t>
      </w:r>
      <w:r w:rsidR="007B1E53" w:rsidRPr="00FA42EA">
        <w:rPr>
          <w:rFonts w:ascii="Book Antiqua" w:hAnsi="Book Antiqua" w:cs="Arial"/>
        </w:rPr>
        <w:t xml:space="preserve"> and whose detailed responses are set out, indicated that there was a lack of awareness about muscular dystrophy amongst doctors in </w:t>
      </w:r>
      <w:smartTag w:uri="urn:schemas-microsoft-com:office:smarttags" w:element="country-region">
        <w:smartTag w:uri="urn:schemas-microsoft-com:office:smarttags" w:element="place">
          <w:r w:rsidR="007B1E53" w:rsidRPr="00FA42EA">
            <w:rPr>
              <w:rFonts w:ascii="Book Antiqua" w:hAnsi="Book Antiqua" w:cs="Arial"/>
            </w:rPr>
            <w:t>Kenya</w:t>
          </w:r>
        </w:smartTag>
      </w:smartTag>
      <w:r w:rsidR="007B1E53" w:rsidRPr="00FA42EA">
        <w:rPr>
          <w:rFonts w:ascii="Book Antiqua" w:hAnsi="Book Antiqua" w:cs="Arial"/>
        </w:rPr>
        <w:t xml:space="preserve">.  The report continues that there is limited suitable medical care for persons with Limb Girdle Muscular Dystrophy.  In that section of the report a figure of between </w:t>
      </w:r>
      <w:r w:rsidR="00E269C4">
        <w:rPr>
          <w:rFonts w:ascii="Book Antiqua" w:hAnsi="Book Antiqua" w:cs="Arial"/>
        </w:rPr>
        <w:t>12</w:t>
      </w:r>
      <w:r w:rsidR="007B1E53" w:rsidRPr="00FA42EA">
        <w:rPr>
          <w:rFonts w:ascii="Book Antiqua" w:hAnsi="Book Antiqua" w:cs="Arial"/>
        </w:rPr>
        <w:t xml:space="preserve"> </w:t>
      </w:r>
      <w:r w:rsidR="00ED28AE">
        <w:rPr>
          <w:rFonts w:ascii="Book Antiqua" w:hAnsi="Book Antiqua" w:cs="Arial"/>
        </w:rPr>
        <w:t>and</w:t>
      </w:r>
      <w:r w:rsidR="007B1E53" w:rsidRPr="00FA42EA">
        <w:rPr>
          <w:rFonts w:ascii="Book Antiqua" w:hAnsi="Book Antiqua" w:cs="Arial"/>
        </w:rPr>
        <w:t xml:space="preserve"> </w:t>
      </w:r>
      <w:r w:rsidR="00E269C4">
        <w:rPr>
          <w:rFonts w:ascii="Book Antiqua" w:hAnsi="Book Antiqua" w:cs="Arial"/>
        </w:rPr>
        <w:t>20</w:t>
      </w:r>
      <w:r w:rsidR="007B1E53" w:rsidRPr="00FA42EA">
        <w:rPr>
          <w:rFonts w:ascii="Book Antiqua" w:hAnsi="Book Antiqua" w:cs="Arial"/>
        </w:rPr>
        <w:t xml:space="preserve"> is given for the number of </w:t>
      </w:r>
      <w:r w:rsidR="006104DB" w:rsidRPr="00FA42EA">
        <w:rPr>
          <w:rFonts w:ascii="Book Antiqua" w:hAnsi="Book Antiqua" w:cs="Arial"/>
        </w:rPr>
        <w:t>neurologists</w:t>
      </w:r>
      <w:r w:rsidR="007B1E53" w:rsidRPr="00FA42EA">
        <w:rPr>
          <w:rFonts w:ascii="Book Antiqua" w:hAnsi="Book Antiqua" w:cs="Arial"/>
        </w:rPr>
        <w:t xml:space="preserve"> there are in Kenya.  </w:t>
      </w:r>
      <w:r w:rsidR="005B1AA0" w:rsidRPr="00FA42EA">
        <w:rPr>
          <w:rFonts w:ascii="Book Antiqua" w:hAnsi="Book Antiqua" w:cs="Arial"/>
        </w:rPr>
        <w:t xml:space="preserve">As to the affordability of healthcare for persons with muscular </w:t>
      </w:r>
      <w:r w:rsidR="006104DB" w:rsidRPr="00FA42EA">
        <w:rPr>
          <w:rFonts w:ascii="Book Antiqua" w:hAnsi="Book Antiqua" w:cs="Arial"/>
        </w:rPr>
        <w:t>dystrophy</w:t>
      </w:r>
      <w:r w:rsidR="005B1AA0" w:rsidRPr="00FA42EA">
        <w:rPr>
          <w:rFonts w:ascii="Book Antiqua" w:hAnsi="Book Antiqua" w:cs="Arial"/>
        </w:rPr>
        <w:t xml:space="preserve">, one doctor responded that treatment for muscular dystrophy is not easily accessible for the average Kenyan as it is very expensive.  Information is given in the report as to the costs of obtaining medical care on a private paying basis.  I note that one of the tables of costs of treatment indicates that assistive devices such as hoists and commodes are not available in </w:t>
      </w:r>
      <w:smartTag w:uri="urn:schemas-microsoft-com:office:smarttags" w:element="country-region">
        <w:smartTag w:uri="urn:schemas-microsoft-com:office:smarttags" w:element="place">
          <w:r w:rsidR="005B1AA0" w:rsidRPr="00FA42EA">
            <w:rPr>
              <w:rFonts w:ascii="Book Antiqua" w:hAnsi="Book Antiqua" w:cs="Arial"/>
            </w:rPr>
            <w:t>Kenya</w:t>
          </w:r>
        </w:smartTag>
      </w:smartTag>
      <w:r w:rsidR="005B1AA0" w:rsidRPr="00FA42EA">
        <w:rPr>
          <w:rFonts w:ascii="Book Antiqua" w:hAnsi="Book Antiqua" w:cs="Arial"/>
        </w:rPr>
        <w:t xml:space="preserve">.  </w:t>
      </w:r>
    </w:p>
    <w:p w:rsidR="00E269C4" w:rsidRDefault="005B1AA0"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At paragraph 4.6 the issue of attitudes towards disabled people, in particular disabled women and pregnant disabled women, is addressed.  The report states that generally negative attitudes prevail against persons with </w:t>
      </w:r>
      <w:r w:rsidR="006104DB" w:rsidRPr="00FA42EA">
        <w:rPr>
          <w:rFonts w:ascii="Book Antiqua" w:hAnsi="Book Antiqua" w:cs="Arial"/>
        </w:rPr>
        <w:t>disabilities</w:t>
      </w:r>
      <w:r w:rsidRPr="00FA42EA">
        <w:rPr>
          <w:rFonts w:ascii="Book Antiqua" w:hAnsi="Book Antiqua" w:cs="Arial"/>
        </w:rPr>
        <w:t xml:space="preserve">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The United Nations Humans Rights Office Report from 2010 states that disability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was and still is viewed by some members of society as a curse, taboo and a burden.  Persons with disabilities are often concealed from the public and subjected to physical and psychological abuse due to ignorance, poverty and lack of awareness.  Ms </w:t>
      </w:r>
      <w:proofErr w:type="spellStart"/>
      <w:r w:rsidR="006104DB">
        <w:rPr>
          <w:rFonts w:ascii="Book Antiqua" w:hAnsi="Book Antiqua" w:cs="Arial"/>
        </w:rPr>
        <w:t>Kamundia</w:t>
      </w:r>
      <w:proofErr w:type="spellEnd"/>
      <w:r w:rsidRPr="00FA42EA">
        <w:rPr>
          <w:rFonts w:ascii="Book Antiqua" w:hAnsi="Book Antiqua" w:cs="Arial"/>
        </w:rPr>
        <w:t xml:space="preserve"> states that there are discriminatory attitudes against women with disabilities in </w:t>
      </w:r>
      <w:smartTag w:uri="urn:schemas-microsoft-com:office:smarttags" w:element="place">
        <w:smartTag w:uri="urn:schemas-microsoft-com:office:smarttags" w:element="country-region">
          <w:r w:rsidRPr="00FA42EA">
            <w:rPr>
              <w:rFonts w:ascii="Book Antiqua" w:hAnsi="Book Antiqua" w:cs="Arial"/>
            </w:rPr>
            <w:t>Kenya</w:t>
          </w:r>
        </w:smartTag>
      </w:smartTag>
      <w:r w:rsidRPr="00FA42EA">
        <w:rPr>
          <w:rFonts w:ascii="Book Antiqua" w:hAnsi="Book Antiqua" w:cs="Arial"/>
        </w:rPr>
        <w:t xml:space="preserve"> and in many cases such attitudes are worse when a woman with a disability is pregnant. </w:t>
      </w:r>
    </w:p>
    <w:p w:rsidR="005B1AA0" w:rsidRPr="00FA42EA" w:rsidRDefault="005B1AA0"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The report from 2014 by the Kenyan National Commission on Human Rights states that on reproductive health, women with disabilities complained that </w:t>
      </w:r>
      <w:r w:rsidR="006104DB" w:rsidRPr="00FA42EA">
        <w:rPr>
          <w:rFonts w:ascii="Book Antiqua" w:hAnsi="Book Antiqua" w:cs="Arial"/>
        </w:rPr>
        <w:t>their</w:t>
      </w:r>
      <w:r w:rsidRPr="00FA42EA">
        <w:rPr>
          <w:rFonts w:ascii="Book Antiqua" w:hAnsi="Book Antiqua" w:cs="Arial"/>
        </w:rPr>
        <w:t xml:space="preserve"> visits to hospital seeking services, </w:t>
      </w:r>
      <w:r w:rsidR="006104DB" w:rsidRPr="00FA42EA">
        <w:rPr>
          <w:rFonts w:ascii="Book Antiqua" w:hAnsi="Book Antiqua" w:cs="Arial"/>
        </w:rPr>
        <w:t>especially</w:t>
      </w:r>
      <w:r w:rsidRPr="00FA42EA">
        <w:rPr>
          <w:rFonts w:ascii="Book Antiqua" w:hAnsi="Book Antiqua" w:cs="Arial"/>
        </w:rPr>
        <w:t xml:space="preserve"> on pre-natal and ante-natal care, were “a nightmare”.  The nurses were </w:t>
      </w:r>
      <w:r w:rsidR="006104DB" w:rsidRPr="00FA42EA">
        <w:rPr>
          <w:rFonts w:ascii="Book Antiqua" w:hAnsi="Book Antiqua" w:cs="Arial"/>
        </w:rPr>
        <w:t>reported</w:t>
      </w:r>
      <w:r w:rsidRPr="00FA42EA">
        <w:rPr>
          <w:rFonts w:ascii="Book Antiqua" w:hAnsi="Book Antiqua" w:cs="Arial"/>
        </w:rPr>
        <w:t xml:space="preserve"> to be using demeaning language which implied that getting pregnant or giving birth by women and </w:t>
      </w:r>
      <w:r w:rsidR="006104DB" w:rsidRPr="00FA42EA">
        <w:rPr>
          <w:rFonts w:ascii="Book Antiqua" w:hAnsi="Book Antiqua" w:cs="Arial"/>
        </w:rPr>
        <w:t>girls</w:t>
      </w:r>
      <w:r w:rsidRPr="00FA42EA">
        <w:rPr>
          <w:rFonts w:ascii="Book Antiqua" w:hAnsi="Book Antiqua" w:cs="Arial"/>
        </w:rPr>
        <w:t xml:space="preserve"> with </w:t>
      </w:r>
      <w:r w:rsidR="006104DB" w:rsidRPr="00FA42EA">
        <w:rPr>
          <w:rFonts w:ascii="Book Antiqua" w:hAnsi="Book Antiqua" w:cs="Arial"/>
        </w:rPr>
        <w:t>disabilities</w:t>
      </w:r>
      <w:r w:rsidRPr="00FA42EA">
        <w:rPr>
          <w:rFonts w:ascii="Book Antiqua" w:hAnsi="Book Antiqua" w:cs="Arial"/>
        </w:rPr>
        <w:t xml:space="preserve"> was like a tragedy.  That </w:t>
      </w:r>
      <w:r w:rsidR="006104DB" w:rsidRPr="00FA42EA">
        <w:rPr>
          <w:rFonts w:ascii="Book Antiqua" w:hAnsi="Book Antiqua" w:cs="Arial"/>
        </w:rPr>
        <w:t>report</w:t>
      </w:r>
      <w:r w:rsidRPr="00FA42EA">
        <w:rPr>
          <w:rFonts w:ascii="Book Antiqua" w:hAnsi="Book Antiqua" w:cs="Arial"/>
        </w:rPr>
        <w:t xml:space="preserve"> is dated 2014.  A 2012 public </w:t>
      </w:r>
      <w:r w:rsidR="006104DB" w:rsidRPr="00FA42EA">
        <w:rPr>
          <w:rFonts w:ascii="Book Antiqua" w:hAnsi="Book Antiqua" w:cs="Arial"/>
        </w:rPr>
        <w:t>inquiry</w:t>
      </w:r>
      <w:r w:rsidRPr="00FA42EA">
        <w:rPr>
          <w:rFonts w:ascii="Book Antiqua" w:hAnsi="Book Antiqua" w:cs="Arial"/>
        </w:rPr>
        <w:t xml:space="preserve"> into violations of sexual and reproductive health rights in Kenya reported that </w:t>
      </w:r>
      <w:r w:rsidR="006104DB" w:rsidRPr="00FA42EA">
        <w:rPr>
          <w:rFonts w:ascii="Book Antiqua" w:hAnsi="Book Antiqua" w:cs="Arial"/>
        </w:rPr>
        <w:t>pregnant</w:t>
      </w:r>
      <w:r w:rsidRPr="00FA42EA">
        <w:rPr>
          <w:rFonts w:ascii="Book Antiqua" w:hAnsi="Book Antiqua" w:cs="Arial"/>
        </w:rPr>
        <w:t xml:space="preserve"> women with physical </w:t>
      </w:r>
      <w:r w:rsidR="006104DB" w:rsidRPr="00FA42EA">
        <w:rPr>
          <w:rFonts w:ascii="Book Antiqua" w:hAnsi="Book Antiqua" w:cs="Arial"/>
        </w:rPr>
        <w:t>disabilities</w:t>
      </w:r>
      <w:r w:rsidRPr="00FA42EA">
        <w:rPr>
          <w:rFonts w:ascii="Book Antiqua" w:hAnsi="Book Antiqua" w:cs="Arial"/>
        </w:rPr>
        <w:t xml:space="preserve"> informed the </w:t>
      </w:r>
      <w:r w:rsidR="006104DB" w:rsidRPr="00FA42EA">
        <w:rPr>
          <w:rFonts w:ascii="Book Antiqua" w:hAnsi="Book Antiqua" w:cs="Arial"/>
        </w:rPr>
        <w:t>inquiry</w:t>
      </w:r>
      <w:r w:rsidRPr="00FA42EA">
        <w:rPr>
          <w:rFonts w:ascii="Book Antiqua" w:hAnsi="Book Antiqua" w:cs="Arial"/>
        </w:rPr>
        <w:t xml:space="preserve"> </w:t>
      </w:r>
      <w:r w:rsidR="006104DB" w:rsidRPr="00FA42EA">
        <w:rPr>
          <w:rFonts w:ascii="Book Antiqua" w:hAnsi="Book Antiqua" w:cs="Arial"/>
        </w:rPr>
        <w:t>that</w:t>
      </w:r>
      <w:r w:rsidRPr="00FA42EA">
        <w:rPr>
          <w:rFonts w:ascii="Book Antiqua" w:hAnsi="Book Antiqua" w:cs="Arial"/>
        </w:rPr>
        <w:t xml:space="preserve"> they suffered abuses from the health providers who stigmatised them “and showed sympathy with their ‘double tragedy’ of being disabled and pregnant”.  Ms </w:t>
      </w:r>
      <w:proofErr w:type="spellStart"/>
      <w:r w:rsidRPr="00FA42EA">
        <w:rPr>
          <w:rFonts w:ascii="Book Antiqua" w:hAnsi="Book Antiqua" w:cs="Arial"/>
        </w:rPr>
        <w:t>Kamundia’s</w:t>
      </w:r>
      <w:proofErr w:type="spellEnd"/>
      <w:r w:rsidRPr="00FA42EA">
        <w:rPr>
          <w:rFonts w:ascii="Book Antiqua" w:hAnsi="Book Antiqua" w:cs="Arial"/>
        </w:rPr>
        <w:t xml:space="preserve"> report states that according to a Team Leader of the Muscular Dystrophy </w:t>
      </w:r>
      <w:r w:rsidR="006104DB" w:rsidRPr="00FA42EA">
        <w:rPr>
          <w:rFonts w:ascii="Book Antiqua" w:hAnsi="Book Antiqua" w:cs="Arial"/>
        </w:rPr>
        <w:t>Society</w:t>
      </w:r>
      <w:r w:rsidRPr="00FA42EA">
        <w:rPr>
          <w:rFonts w:ascii="Book Antiqua" w:hAnsi="Book Antiqua" w:cs="Arial"/>
        </w:rPr>
        <w:t xml:space="preserve">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following an interview in January 2017, there is also the misconception that women with disabilities cannot be sexually active and they may at times be ridiculed when seeking reproductive health services.</w:t>
      </w:r>
    </w:p>
    <w:p w:rsidR="005B1AA0" w:rsidRPr="00FA42EA" w:rsidRDefault="005B1AA0"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lastRenderedPageBreak/>
        <w:t xml:space="preserve">The </w:t>
      </w:r>
      <w:r w:rsidR="006104DB" w:rsidRPr="00FA42EA">
        <w:rPr>
          <w:rFonts w:ascii="Book Antiqua" w:hAnsi="Book Antiqua" w:cs="Arial"/>
        </w:rPr>
        <w:t>report</w:t>
      </w:r>
      <w:r w:rsidRPr="00FA42EA">
        <w:rPr>
          <w:rFonts w:ascii="Book Antiqua" w:hAnsi="Book Antiqua" w:cs="Arial"/>
        </w:rPr>
        <w:t xml:space="preserve"> continues that while it is unlikely that a disabled woman would be turned away from accessing healthcare </w:t>
      </w:r>
      <w:r w:rsidR="006104DB" w:rsidRPr="00FA42EA">
        <w:rPr>
          <w:rFonts w:ascii="Book Antiqua" w:hAnsi="Book Antiqua" w:cs="Arial"/>
        </w:rPr>
        <w:t>services</w:t>
      </w:r>
      <w:r w:rsidRPr="00FA42EA">
        <w:rPr>
          <w:rFonts w:ascii="Book Antiqua" w:hAnsi="Book Antiqua" w:cs="Arial"/>
        </w:rPr>
        <w:t xml:space="preserve"> on</w:t>
      </w:r>
      <w:r w:rsidR="00330443" w:rsidRPr="00FA42EA">
        <w:rPr>
          <w:rFonts w:ascii="Book Antiqua" w:hAnsi="Book Antiqua" w:cs="Arial"/>
        </w:rPr>
        <w:t xml:space="preserve"> </w:t>
      </w:r>
      <w:r w:rsidR="006104DB" w:rsidRPr="00FA42EA">
        <w:rPr>
          <w:rFonts w:ascii="Book Antiqua" w:hAnsi="Book Antiqua" w:cs="Arial"/>
        </w:rPr>
        <w:t>account</w:t>
      </w:r>
      <w:r w:rsidR="00330443" w:rsidRPr="00FA42EA">
        <w:rPr>
          <w:rFonts w:ascii="Book Antiqua" w:hAnsi="Book Antiqua" w:cs="Arial"/>
        </w:rPr>
        <w:t xml:space="preserve"> of having a disability, encounters between </w:t>
      </w:r>
      <w:r w:rsidR="006104DB" w:rsidRPr="00FA42EA">
        <w:rPr>
          <w:rFonts w:ascii="Book Antiqua" w:hAnsi="Book Antiqua" w:cs="Arial"/>
        </w:rPr>
        <w:t>women</w:t>
      </w:r>
      <w:r w:rsidR="00330443" w:rsidRPr="00FA42EA">
        <w:rPr>
          <w:rFonts w:ascii="Book Antiqua" w:hAnsi="Book Antiqua" w:cs="Arial"/>
        </w:rPr>
        <w:t xml:space="preserve"> with </w:t>
      </w:r>
      <w:r w:rsidR="006104DB" w:rsidRPr="00FA42EA">
        <w:rPr>
          <w:rFonts w:ascii="Book Antiqua" w:hAnsi="Book Antiqua" w:cs="Arial"/>
        </w:rPr>
        <w:t>disabilities</w:t>
      </w:r>
      <w:r w:rsidR="00330443" w:rsidRPr="00FA42EA">
        <w:rPr>
          <w:rFonts w:ascii="Book Antiqua" w:hAnsi="Book Antiqua" w:cs="Arial"/>
        </w:rPr>
        <w:t xml:space="preserve"> and medical </w:t>
      </w:r>
      <w:r w:rsidR="006104DB" w:rsidRPr="00FA42EA">
        <w:rPr>
          <w:rFonts w:ascii="Book Antiqua" w:hAnsi="Book Antiqua" w:cs="Arial"/>
        </w:rPr>
        <w:t>professionals</w:t>
      </w:r>
      <w:r w:rsidR="00330443" w:rsidRPr="00FA42EA">
        <w:rPr>
          <w:rFonts w:ascii="Book Antiqua" w:hAnsi="Book Antiqua" w:cs="Arial"/>
        </w:rPr>
        <w:t xml:space="preserve"> in </w:t>
      </w:r>
      <w:r w:rsidR="00B102B7" w:rsidRPr="00FA42EA">
        <w:rPr>
          <w:rFonts w:ascii="Book Antiqua" w:hAnsi="Book Antiqua" w:cs="Arial"/>
        </w:rPr>
        <w:t xml:space="preserve">ante-natal and maternity care are markedly negative.  It is stated that the more important barrier to actual access to reproductive healthcare services is lack of expertise of health professionals who are trained on high-risk pregnancies and physical inaccessibility of hospitals and hospital equipment.  </w:t>
      </w:r>
    </w:p>
    <w:p w:rsidR="00B102B7" w:rsidRPr="00FA42EA" w:rsidRDefault="00B102B7"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According to paragraph 4.7, the Kenyan Government rolled out a free maternity services programme </w:t>
      </w:r>
      <w:r w:rsidR="00B10C31" w:rsidRPr="00FA42EA">
        <w:rPr>
          <w:rFonts w:ascii="Book Antiqua" w:hAnsi="Book Antiqua" w:cs="Arial"/>
        </w:rPr>
        <w:t xml:space="preserve">on 1 June 2013 through a </w:t>
      </w:r>
      <w:r w:rsidR="006104DB" w:rsidRPr="00FA42EA">
        <w:rPr>
          <w:rFonts w:ascii="Book Antiqua" w:hAnsi="Book Antiqua" w:cs="Arial"/>
        </w:rPr>
        <w:t>Presidential</w:t>
      </w:r>
      <w:r w:rsidR="00B10C31" w:rsidRPr="00FA42EA">
        <w:rPr>
          <w:rFonts w:ascii="Book Antiqua" w:hAnsi="Book Antiqua" w:cs="Arial"/>
        </w:rPr>
        <w:t xml:space="preserve"> declaration.  The report however states that there are few specialists on high-risk pregnancies in public hospital and even fewer specialists with expertise on the specific situation of women with Limb </w:t>
      </w:r>
      <w:r w:rsidR="006104DB" w:rsidRPr="00FA42EA">
        <w:rPr>
          <w:rFonts w:ascii="Book Antiqua" w:hAnsi="Book Antiqua" w:cs="Arial"/>
        </w:rPr>
        <w:t>Girdle</w:t>
      </w:r>
      <w:r w:rsidR="00B10C31" w:rsidRPr="00FA42EA">
        <w:rPr>
          <w:rFonts w:ascii="Book Antiqua" w:hAnsi="Book Antiqua" w:cs="Arial"/>
        </w:rPr>
        <w:t xml:space="preserve"> Muscular Dystrophy.  According to an interview with a </w:t>
      </w:r>
      <w:r w:rsidR="006104DB" w:rsidRPr="00FA42EA">
        <w:rPr>
          <w:rFonts w:ascii="Book Antiqua" w:hAnsi="Book Antiqua" w:cs="Arial"/>
        </w:rPr>
        <w:t>particular</w:t>
      </w:r>
      <w:r w:rsidR="00B10C31" w:rsidRPr="00FA42EA">
        <w:rPr>
          <w:rFonts w:ascii="Book Antiqua" w:hAnsi="Book Antiqua" w:cs="Arial"/>
        </w:rPr>
        <w:t xml:space="preserve"> gynaecologist on 9 February 2017, Kenya does not have adequate specialist ante-natal and maternity care services for women with disabilities.  Most specialists on high-risk pregnancies are said not to be easily available in public hospitals and most operate on a private basis.  The Team Leader previously referred to stated that they do not have specialist </w:t>
      </w:r>
      <w:r w:rsidR="00E269C4">
        <w:rPr>
          <w:rFonts w:ascii="Book Antiqua" w:hAnsi="Book Antiqua" w:cs="Arial"/>
        </w:rPr>
        <w:t>‘</w:t>
      </w:r>
      <w:proofErr w:type="spellStart"/>
      <w:r w:rsidR="00B10C31" w:rsidRPr="00FA42EA">
        <w:rPr>
          <w:rFonts w:ascii="Book Antiqua" w:hAnsi="Book Antiqua" w:cs="Arial"/>
        </w:rPr>
        <w:t>Obs-Gyn</w:t>
      </w:r>
      <w:proofErr w:type="spellEnd"/>
      <w:r w:rsidR="00E269C4">
        <w:rPr>
          <w:rFonts w:ascii="Book Antiqua" w:hAnsi="Book Antiqua" w:cs="Arial"/>
        </w:rPr>
        <w:t>’</w:t>
      </w:r>
      <w:r w:rsidR="00B10C31" w:rsidRPr="00FA42EA">
        <w:rPr>
          <w:rFonts w:ascii="Book Antiqua" w:hAnsi="Book Antiqua" w:cs="Arial"/>
        </w:rPr>
        <w:t xml:space="preserve"> for women with muscular dystrophy and the specialist that she met on high-risk pregnancies knew next to nothing about the specific care of women with muscular dystrophy.  The report then gives information on the cost of specialist ante-natal care and maternity services for disabled women on a </w:t>
      </w:r>
      <w:r w:rsidR="006104DB" w:rsidRPr="00FA42EA">
        <w:rPr>
          <w:rFonts w:ascii="Book Antiqua" w:hAnsi="Book Antiqua" w:cs="Arial"/>
        </w:rPr>
        <w:t>private</w:t>
      </w:r>
      <w:r w:rsidR="00B10C31" w:rsidRPr="00FA42EA">
        <w:rPr>
          <w:rFonts w:ascii="Book Antiqua" w:hAnsi="Book Antiqua" w:cs="Arial"/>
        </w:rPr>
        <w:t xml:space="preserve"> paying basis.  </w:t>
      </w:r>
    </w:p>
    <w:p w:rsidR="00B10C31" w:rsidRPr="00FA42EA" w:rsidRDefault="00B10C31"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At paragraph 4.8.1, under the sub-heading “Provisions for disabled people in cities such as Nairobi” it states that healthcare facilities in Kenya are for the most part </w:t>
      </w:r>
      <w:r w:rsidR="006104DB" w:rsidRPr="00FA42EA">
        <w:rPr>
          <w:rFonts w:ascii="Book Antiqua" w:hAnsi="Book Antiqua" w:cs="Arial"/>
        </w:rPr>
        <w:t>inaccessible</w:t>
      </w:r>
      <w:r w:rsidRPr="00FA42EA">
        <w:rPr>
          <w:rFonts w:ascii="Book Antiqua" w:hAnsi="Book Antiqua" w:cs="Arial"/>
        </w:rPr>
        <w:t xml:space="preserve"> although such accessibility is better in towns than cities such as Nairobi</w:t>
      </w:r>
      <w:r w:rsidR="00E269C4">
        <w:rPr>
          <w:rFonts w:ascii="Book Antiqua" w:hAnsi="Book Antiqua" w:cs="Arial"/>
        </w:rPr>
        <w:t>,</w:t>
      </w:r>
      <w:r w:rsidRPr="00FA42EA">
        <w:rPr>
          <w:rFonts w:ascii="Book Antiqua" w:hAnsi="Book Antiqua" w:cs="Arial"/>
        </w:rPr>
        <w:t xml:space="preserve"> compared to rural areas.  </w:t>
      </w:r>
    </w:p>
    <w:p w:rsidR="00B10C31" w:rsidRPr="00FA42EA" w:rsidRDefault="00B10C31"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Paragraph 4.8.2 states that negative attitudes towards disabled persons are rife in Kenya </w:t>
      </w:r>
      <w:r w:rsidR="006104DB" w:rsidRPr="00FA42EA">
        <w:rPr>
          <w:rFonts w:ascii="Book Antiqua" w:hAnsi="Book Antiqua" w:cs="Arial"/>
        </w:rPr>
        <w:t>although</w:t>
      </w:r>
      <w:r w:rsidRPr="00FA42EA">
        <w:rPr>
          <w:rFonts w:ascii="Book Antiqua" w:hAnsi="Book Antiqua" w:cs="Arial"/>
        </w:rPr>
        <w:t xml:space="preserve"> the </w:t>
      </w:r>
      <w:r w:rsidR="006104DB" w:rsidRPr="00FA42EA">
        <w:rPr>
          <w:rFonts w:ascii="Book Antiqua" w:hAnsi="Book Antiqua" w:cs="Arial"/>
        </w:rPr>
        <w:t>situation</w:t>
      </w:r>
      <w:r w:rsidRPr="00FA42EA">
        <w:rPr>
          <w:rFonts w:ascii="Book Antiqua" w:hAnsi="Book Antiqua" w:cs="Arial"/>
        </w:rPr>
        <w:t xml:space="preserve"> is better in urban areas such as Nairobi</w:t>
      </w:r>
      <w:r w:rsidR="00213DA8" w:rsidRPr="00FA42EA">
        <w:rPr>
          <w:rFonts w:ascii="Book Antiqua" w:hAnsi="Book Antiqua" w:cs="Arial"/>
        </w:rPr>
        <w:t xml:space="preserve"> compared to rural areas.  The State Report to the United Nations Convention on the Rights of Persons with </w:t>
      </w:r>
      <w:r w:rsidR="006104DB" w:rsidRPr="00FA42EA">
        <w:rPr>
          <w:rFonts w:ascii="Book Antiqua" w:hAnsi="Book Antiqua" w:cs="Arial"/>
        </w:rPr>
        <w:t>Disabilities</w:t>
      </w:r>
      <w:r w:rsidR="00213DA8" w:rsidRPr="00FA42EA">
        <w:rPr>
          <w:rFonts w:ascii="Book Antiqua" w:hAnsi="Book Antiqua" w:cs="Arial"/>
        </w:rPr>
        <w:t xml:space="preserve"> (“CRPD”) Kenya noted that </w:t>
      </w:r>
      <w:r w:rsidR="00DA19DF" w:rsidRPr="00FA42EA">
        <w:rPr>
          <w:rFonts w:ascii="Book Antiqua" w:hAnsi="Book Antiqua" w:cs="Arial"/>
        </w:rPr>
        <w:t>there had been a slow but noticeable improvement in public perception towards and treatment of persons with disabilities even in employment, as person</w:t>
      </w:r>
      <w:r w:rsidR="00E269C4">
        <w:rPr>
          <w:rFonts w:ascii="Book Antiqua" w:hAnsi="Book Antiqua" w:cs="Arial"/>
        </w:rPr>
        <w:t>s</w:t>
      </w:r>
      <w:r w:rsidR="00DA19DF" w:rsidRPr="00FA42EA">
        <w:rPr>
          <w:rFonts w:ascii="Book Antiqua" w:hAnsi="Book Antiqua" w:cs="Arial"/>
        </w:rPr>
        <w:t xml:space="preserve"> with disabilities are </w:t>
      </w:r>
      <w:r w:rsidR="006104DB" w:rsidRPr="00FA42EA">
        <w:rPr>
          <w:rFonts w:ascii="Book Antiqua" w:hAnsi="Book Antiqua" w:cs="Arial"/>
        </w:rPr>
        <w:t>increasingly</w:t>
      </w:r>
      <w:r w:rsidR="00DA19DF" w:rsidRPr="00FA42EA">
        <w:rPr>
          <w:rFonts w:ascii="Book Antiqua" w:hAnsi="Book Antiqua" w:cs="Arial"/>
        </w:rPr>
        <w:t xml:space="preserve"> holding more positions of responsibility in society.  It was acknowledged however</w:t>
      </w:r>
      <w:r w:rsidR="00E269C4">
        <w:rPr>
          <w:rFonts w:ascii="Book Antiqua" w:hAnsi="Book Antiqua" w:cs="Arial"/>
        </w:rPr>
        <w:t>,</w:t>
      </w:r>
      <w:r w:rsidR="00DA19DF" w:rsidRPr="00FA42EA">
        <w:rPr>
          <w:rFonts w:ascii="Book Antiqua" w:hAnsi="Book Antiqua" w:cs="Arial"/>
        </w:rPr>
        <w:t xml:space="preserve"> that a lot still needed to be done to ensure that all Kenyans recognised and uph</w:t>
      </w:r>
      <w:r w:rsidR="00B94A18">
        <w:rPr>
          <w:rFonts w:ascii="Book Antiqua" w:hAnsi="Book Antiqua" w:cs="Arial"/>
        </w:rPr>
        <w:t>e</w:t>
      </w:r>
      <w:r w:rsidR="00DA19DF" w:rsidRPr="00FA42EA">
        <w:rPr>
          <w:rFonts w:ascii="Book Antiqua" w:hAnsi="Book Antiqua" w:cs="Arial"/>
        </w:rPr>
        <w:t xml:space="preserve">ld the rights of persons with disabilities.  </w:t>
      </w:r>
      <w:r w:rsidR="00C44D32" w:rsidRPr="00FA42EA">
        <w:rPr>
          <w:rFonts w:ascii="Book Antiqua" w:hAnsi="Book Antiqua" w:cs="Arial"/>
        </w:rPr>
        <w:t xml:space="preserve">A report by The Equal Rights Trust and Kenya Human Rights Commission stated that the lives of persons with </w:t>
      </w:r>
      <w:r w:rsidR="006104DB" w:rsidRPr="00FA42EA">
        <w:rPr>
          <w:rFonts w:ascii="Book Antiqua" w:hAnsi="Book Antiqua" w:cs="Arial"/>
        </w:rPr>
        <w:t>disabilities</w:t>
      </w:r>
      <w:r w:rsidR="00C44D32" w:rsidRPr="00FA42EA">
        <w:rPr>
          <w:rFonts w:ascii="Book Antiqua" w:hAnsi="Book Antiqua" w:cs="Arial"/>
        </w:rPr>
        <w:t xml:space="preserve"> in </w:t>
      </w:r>
      <w:smartTag w:uri="urn:schemas-microsoft-com:office:smarttags" w:element="country-region">
        <w:smartTag w:uri="urn:schemas-microsoft-com:office:smarttags" w:element="place">
          <w:r w:rsidR="00C44D32" w:rsidRPr="00FA42EA">
            <w:rPr>
              <w:rFonts w:ascii="Book Antiqua" w:hAnsi="Book Antiqua" w:cs="Arial"/>
            </w:rPr>
            <w:t>Kenya</w:t>
          </w:r>
        </w:smartTag>
      </w:smartTag>
      <w:r w:rsidR="00C44D32" w:rsidRPr="00FA42EA">
        <w:rPr>
          <w:rFonts w:ascii="Book Antiqua" w:hAnsi="Book Antiqua" w:cs="Arial"/>
        </w:rPr>
        <w:t xml:space="preserve"> are marked by experiences of discrimination, prejudice and </w:t>
      </w:r>
      <w:r w:rsidR="006104DB" w:rsidRPr="00FA42EA">
        <w:rPr>
          <w:rFonts w:ascii="Book Antiqua" w:hAnsi="Book Antiqua" w:cs="Arial"/>
        </w:rPr>
        <w:t>inequality</w:t>
      </w:r>
      <w:r w:rsidR="00C44D32" w:rsidRPr="00FA42EA">
        <w:rPr>
          <w:rFonts w:ascii="Book Antiqua" w:hAnsi="Book Antiqua" w:cs="Arial"/>
        </w:rPr>
        <w:t xml:space="preserve">.  </w:t>
      </w:r>
    </w:p>
    <w:p w:rsidR="00C44D32" w:rsidRPr="00FA42EA" w:rsidRDefault="00C44D32"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her summary of conclusions, Ms </w:t>
      </w:r>
      <w:proofErr w:type="spellStart"/>
      <w:r w:rsidRPr="00FA42EA">
        <w:rPr>
          <w:rFonts w:ascii="Book Antiqua" w:hAnsi="Book Antiqua" w:cs="Arial"/>
        </w:rPr>
        <w:t>Kamundia</w:t>
      </w:r>
      <w:proofErr w:type="spellEnd"/>
      <w:r w:rsidRPr="00FA42EA">
        <w:rPr>
          <w:rFonts w:ascii="Book Antiqua" w:hAnsi="Book Antiqua" w:cs="Arial"/>
        </w:rPr>
        <w:t xml:space="preserve"> states, amongst other things, that there is no provision of state-funded home carer and/or assisted living services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and the cost of obtaining assisted living services on a private paying basis would be unaffordable for the appellant.  In </w:t>
      </w:r>
      <w:r w:rsidR="006104DB" w:rsidRPr="00FA42EA">
        <w:rPr>
          <w:rFonts w:ascii="Book Antiqua" w:hAnsi="Book Antiqua" w:cs="Arial"/>
        </w:rPr>
        <w:t>addition</w:t>
      </w:r>
      <w:r w:rsidRPr="00FA42EA">
        <w:rPr>
          <w:rFonts w:ascii="Book Antiqua" w:hAnsi="Book Antiqua" w:cs="Arial"/>
        </w:rPr>
        <w:t xml:space="preserve">, she would not be able to access care of a similar standard to that in the </w:t>
      </w:r>
      <w:smartTag w:uri="urn:schemas-microsoft-com:office:smarttags" w:element="country-region">
        <w:smartTag w:uri="urn:schemas-microsoft-com:office:smarttags" w:element="place">
          <w:r w:rsidRPr="00FA42EA">
            <w:rPr>
              <w:rFonts w:ascii="Book Antiqua" w:hAnsi="Book Antiqua" w:cs="Arial"/>
            </w:rPr>
            <w:t>UK</w:t>
          </w:r>
        </w:smartTag>
      </w:smartTag>
      <w:r w:rsidRPr="00FA42EA">
        <w:rPr>
          <w:rFonts w:ascii="Book Antiqua" w:hAnsi="Book Antiqua" w:cs="Arial"/>
        </w:rPr>
        <w:t xml:space="preserve">.  </w:t>
      </w:r>
      <w:r w:rsidR="00331DD0" w:rsidRPr="00FA42EA">
        <w:rPr>
          <w:rFonts w:ascii="Book Antiqua" w:hAnsi="Book Antiqua" w:cs="Arial"/>
        </w:rPr>
        <w:t xml:space="preserve">She </w:t>
      </w:r>
      <w:r w:rsidR="006104DB" w:rsidRPr="00FA42EA">
        <w:rPr>
          <w:rFonts w:ascii="Book Antiqua" w:hAnsi="Book Antiqua" w:cs="Arial"/>
        </w:rPr>
        <w:t>concludes</w:t>
      </w:r>
      <w:r w:rsidR="00331DD0" w:rsidRPr="00FA42EA">
        <w:rPr>
          <w:rFonts w:ascii="Book Antiqua" w:hAnsi="Book Antiqua" w:cs="Arial"/>
        </w:rPr>
        <w:t xml:space="preserve"> that the appellant would experience significant barriers in accessing healthcare in Kenya such as high cost of care, physical barriers, long-distance to health facilities in the light of inaccessible transport, and </w:t>
      </w:r>
      <w:r w:rsidR="00331DD0" w:rsidRPr="00FA42EA">
        <w:rPr>
          <w:rFonts w:ascii="Book Antiqua" w:hAnsi="Book Antiqua" w:cs="Arial"/>
        </w:rPr>
        <w:lastRenderedPageBreak/>
        <w:t xml:space="preserve">negative attitudes of health staff and the lack of family support in the event that she is unwell at the same time as her husband has a sickle cell crisis.  </w:t>
      </w:r>
    </w:p>
    <w:p w:rsidR="00B94A18" w:rsidRDefault="00331DD0"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The 2015 US State Department Report on Human Rights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states that the law prohibits discrimination against persons with physical or mental </w:t>
      </w:r>
      <w:r w:rsidR="006104DB" w:rsidRPr="00FA42EA">
        <w:rPr>
          <w:rFonts w:ascii="Book Antiqua" w:hAnsi="Book Antiqua" w:cs="Arial"/>
        </w:rPr>
        <w:t>disabilities</w:t>
      </w:r>
      <w:r w:rsidRPr="00FA42EA">
        <w:rPr>
          <w:rFonts w:ascii="Book Antiqua" w:hAnsi="Book Antiqua" w:cs="Arial"/>
        </w:rPr>
        <w:t xml:space="preserve"> in employment, </w:t>
      </w:r>
      <w:r w:rsidR="006104DB" w:rsidRPr="00FA42EA">
        <w:rPr>
          <w:rFonts w:ascii="Book Antiqua" w:hAnsi="Book Antiqua" w:cs="Arial"/>
        </w:rPr>
        <w:t>education</w:t>
      </w:r>
      <w:r w:rsidRPr="00FA42EA">
        <w:rPr>
          <w:rFonts w:ascii="Book Antiqua" w:hAnsi="Book Antiqua" w:cs="Arial"/>
        </w:rPr>
        <w:t xml:space="preserve">, access to healthcare or the </w:t>
      </w:r>
      <w:r w:rsidR="006104DB" w:rsidRPr="00FA42EA">
        <w:rPr>
          <w:rFonts w:ascii="Book Antiqua" w:hAnsi="Book Antiqua" w:cs="Arial"/>
        </w:rPr>
        <w:t>provision</w:t>
      </w:r>
      <w:r w:rsidRPr="00FA42EA">
        <w:rPr>
          <w:rFonts w:ascii="Book Antiqua" w:hAnsi="Book Antiqua" w:cs="Arial"/>
        </w:rPr>
        <w:t xml:space="preserve"> of other state services.  However, the Government did not </w:t>
      </w:r>
      <w:r w:rsidR="006104DB" w:rsidRPr="00FA42EA">
        <w:rPr>
          <w:rFonts w:ascii="Book Antiqua" w:hAnsi="Book Antiqua" w:cs="Arial"/>
        </w:rPr>
        <w:t>effectively</w:t>
      </w:r>
      <w:r w:rsidRPr="00FA42EA">
        <w:rPr>
          <w:rFonts w:ascii="Book Antiqua" w:hAnsi="Book Antiqua" w:cs="Arial"/>
        </w:rPr>
        <w:t xml:space="preserve"> enforce those provisions</w:t>
      </w:r>
      <w:r w:rsidR="00B94A18">
        <w:rPr>
          <w:rFonts w:ascii="Book Antiqua" w:hAnsi="Book Antiqua" w:cs="Arial"/>
        </w:rPr>
        <w:t xml:space="preserve"> it states</w:t>
      </w:r>
      <w:r w:rsidRPr="00FA42EA">
        <w:rPr>
          <w:rFonts w:ascii="Book Antiqua" w:hAnsi="Book Antiqua" w:cs="Arial"/>
        </w:rPr>
        <w:t xml:space="preserve">.  The constitution provides legal safeguards for the representation of persons with disabilities in legislative and appointive bodies.  The law provides that </w:t>
      </w:r>
      <w:r w:rsidR="006104DB" w:rsidRPr="00FA42EA">
        <w:rPr>
          <w:rFonts w:ascii="Book Antiqua" w:hAnsi="Book Antiqua" w:cs="Arial"/>
        </w:rPr>
        <w:t>persons</w:t>
      </w:r>
      <w:r w:rsidRPr="00FA42EA">
        <w:rPr>
          <w:rFonts w:ascii="Book Antiqua" w:hAnsi="Book Antiqua" w:cs="Arial"/>
        </w:rPr>
        <w:t xml:space="preserve"> with disabilities should have access to public buildings and some buildings in major cities had wheelchair ramps and modified elevators and restrooms.  However, the Government did not enforce the law and new construction often did not include accommodations for persons with </w:t>
      </w:r>
      <w:r w:rsidR="006104DB" w:rsidRPr="00FA42EA">
        <w:rPr>
          <w:rFonts w:ascii="Book Antiqua" w:hAnsi="Book Antiqua" w:cs="Arial"/>
        </w:rPr>
        <w:t>disabilities</w:t>
      </w:r>
      <w:r w:rsidRPr="00FA42EA">
        <w:rPr>
          <w:rFonts w:ascii="Book Antiqua" w:hAnsi="Book Antiqua" w:cs="Arial"/>
        </w:rPr>
        <w:t xml:space="preserve">.  Government buildings in rural areas generally were not accessible for persons with </w:t>
      </w:r>
      <w:r w:rsidR="006104DB" w:rsidRPr="00FA42EA">
        <w:rPr>
          <w:rFonts w:ascii="Book Antiqua" w:hAnsi="Book Antiqua" w:cs="Arial"/>
        </w:rPr>
        <w:t>disabilities</w:t>
      </w:r>
      <w:r w:rsidRPr="00FA42EA">
        <w:rPr>
          <w:rFonts w:ascii="Book Antiqua" w:hAnsi="Book Antiqua" w:cs="Arial"/>
        </w:rPr>
        <w:t xml:space="preserve">.  According to NGOs, police stations remained largely inaccessible to those with </w:t>
      </w:r>
      <w:r w:rsidR="006104DB" w:rsidRPr="00FA42EA">
        <w:rPr>
          <w:rFonts w:ascii="Book Antiqua" w:hAnsi="Book Antiqua" w:cs="Arial"/>
        </w:rPr>
        <w:t>mobility</w:t>
      </w:r>
      <w:r w:rsidRPr="00FA42EA">
        <w:rPr>
          <w:rFonts w:ascii="Book Antiqua" w:hAnsi="Book Antiqua" w:cs="Arial"/>
        </w:rPr>
        <w:t xml:space="preserve"> disabilities. </w:t>
      </w:r>
    </w:p>
    <w:p w:rsidR="00331DD0" w:rsidRPr="00FA42EA" w:rsidRDefault="00331DD0"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In a 2014 report to the UN Human Rights Council it was estimated that there w</w:t>
      </w:r>
      <w:r w:rsidR="00ED28AE">
        <w:rPr>
          <w:rFonts w:ascii="Book Antiqua" w:hAnsi="Book Antiqua" w:cs="Arial"/>
        </w:rPr>
        <w:t>ere</w:t>
      </w:r>
      <w:r w:rsidRPr="00FA42EA">
        <w:rPr>
          <w:rFonts w:ascii="Book Antiqua" w:hAnsi="Book Antiqua" w:cs="Arial"/>
        </w:rPr>
        <w:t xml:space="preserve"> seven million persons with some form of disability in the country.  There was limited societal awareness of persons with disabilities and significant stigma attached to disability.  According to a 2014 survey by the NGO Handicap International on the rights of persons with </w:t>
      </w:r>
      <w:r w:rsidR="006104DB" w:rsidRPr="00FA42EA">
        <w:rPr>
          <w:rFonts w:ascii="Book Antiqua" w:hAnsi="Book Antiqua" w:cs="Arial"/>
        </w:rPr>
        <w:t>disabilities</w:t>
      </w:r>
      <w:r w:rsidRPr="00FA42EA">
        <w:rPr>
          <w:rFonts w:ascii="Book Antiqua" w:hAnsi="Book Antiqua" w:cs="Arial"/>
        </w:rPr>
        <w:t xml:space="preserve">, 85% of persons with </w:t>
      </w:r>
      <w:r w:rsidR="006104DB" w:rsidRPr="00FA42EA">
        <w:rPr>
          <w:rFonts w:ascii="Book Antiqua" w:hAnsi="Book Antiqua" w:cs="Arial"/>
        </w:rPr>
        <w:t>disabilities</w:t>
      </w:r>
      <w:r w:rsidRPr="00FA42EA">
        <w:rPr>
          <w:rFonts w:ascii="Book Antiqua" w:hAnsi="Book Antiqua" w:cs="Arial"/>
        </w:rPr>
        <w:t xml:space="preserve"> experienced verbal abuse related to their disability and 17% experienced gender-</w:t>
      </w:r>
      <w:r w:rsidR="006104DB" w:rsidRPr="00FA42EA">
        <w:rPr>
          <w:rFonts w:ascii="Book Antiqua" w:hAnsi="Book Antiqua" w:cs="Arial"/>
        </w:rPr>
        <w:t>based</w:t>
      </w:r>
      <w:r w:rsidRPr="00FA42EA">
        <w:rPr>
          <w:rFonts w:ascii="Book Antiqua" w:hAnsi="Book Antiqua" w:cs="Arial"/>
        </w:rPr>
        <w:t xml:space="preserve"> violence.  Of those who reported abuse, 47% neither reported the incident to police or other authorities nor sought medical help or counselling, citing</w:t>
      </w:r>
      <w:r w:rsidR="009016F5" w:rsidRPr="00FA42EA">
        <w:rPr>
          <w:rFonts w:ascii="Book Antiqua" w:hAnsi="Book Antiqua" w:cs="Arial"/>
        </w:rPr>
        <w:t xml:space="preserve"> being misunderstood as their reasons.  The majority reported the incident</w:t>
      </w:r>
      <w:r w:rsidR="00B94A18">
        <w:rPr>
          <w:rFonts w:ascii="Book Antiqua" w:hAnsi="Book Antiqua" w:cs="Arial"/>
        </w:rPr>
        <w:t>s</w:t>
      </w:r>
      <w:r w:rsidR="009016F5" w:rsidRPr="00FA42EA">
        <w:rPr>
          <w:rFonts w:ascii="Book Antiqua" w:hAnsi="Book Antiqua" w:cs="Arial"/>
        </w:rPr>
        <w:t xml:space="preserve"> to community elders rather than police, of those who reported abuse to some authority.  Authorities received reports of killings of persons with disabilities as well as torture and abuse, and the Government took action in some cases.  </w:t>
      </w:r>
    </w:p>
    <w:p w:rsidR="009016F5" w:rsidRPr="00FA42EA" w:rsidRDefault="009016F5"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Persons with </w:t>
      </w:r>
      <w:r w:rsidR="006104DB">
        <w:rPr>
          <w:rFonts w:ascii="Book Antiqua" w:hAnsi="Book Antiqua" w:cs="Arial"/>
        </w:rPr>
        <w:t>disabilities</w:t>
      </w:r>
      <w:r w:rsidRPr="00FA42EA">
        <w:rPr>
          <w:rFonts w:ascii="Book Antiqua" w:hAnsi="Book Antiqua" w:cs="Arial"/>
        </w:rPr>
        <w:t xml:space="preserve"> are said in the report to face </w:t>
      </w:r>
      <w:r w:rsidR="006104DB" w:rsidRPr="00FA42EA">
        <w:rPr>
          <w:rFonts w:ascii="Book Antiqua" w:hAnsi="Book Antiqua" w:cs="Arial"/>
        </w:rPr>
        <w:t>significant</w:t>
      </w:r>
      <w:r w:rsidRPr="00FA42EA">
        <w:rPr>
          <w:rFonts w:ascii="Book Antiqua" w:hAnsi="Book Antiqua" w:cs="Arial"/>
        </w:rPr>
        <w:t xml:space="preserve"> barriers to accessing healthcare and there was a perception that they should not engage in </w:t>
      </w:r>
      <w:r w:rsidR="006104DB" w:rsidRPr="00FA42EA">
        <w:rPr>
          <w:rFonts w:ascii="Book Antiqua" w:hAnsi="Book Antiqua" w:cs="Arial"/>
        </w:rPr>
        <w:t>sexual</w:t>
      </w:r>
      <w:r w:rsidRPr="00FA42EA">
        <w:rPr>
          <w:rFonts w:ascii="Book Antiqua" w:hAnsi="Book Antiqua" w:cs="Arial"/>
        </w:rPr>
        <w:t xml:space="preserve"> activity.  Aspects of the US State </w:t>
      </w:r>
      <w:r w:rsidR="006104DB" w:rsidRPr="00FA42EA">
        <w:rPr>
          <w:rFonts w:ascii="Book Antiqua" w:hAnsi="Book Antiqua" w:cs="Arial"/>
        </w:rPr>
        <w:t>Department</w:t>
      </w:r>
      <w:r w:rsidRPr="00FA42EA">
        <w:rPr>
          <w:rFonts w:ascii="Book Antiqua" w:hAnsi="Book Antiqua" w:cs="Arial"/>
        </w:rPr>
        <w:t xml:space="preserve"> Report reflect the information in Ms </w:t>
      </w:r>
      <w:proofErr w:type="spellStart"/>
      <w:r w:rsidRPr="00FA42EA">
        <w:rPr>
          <w:rFonts w:ascii="Book Antiqua" w:hAnsi="Book Antiqua" w:cs="Arial"/>
        </w:rPr>
        <w:t>Kamundia’s</w:t>
      </w:r>
      <w:proofErr w:type="spellEnd"/>
      <w:r w:rsidRPr="00FA42EA">
        <w:rPr>
          <w:rFonts w:ascii="Book Antiqua" w:hAnsi="Book Antiqua" w:cs="Arial"/>
        </w:rPr>
        <w:t xml:space="preserve"> report.  The US State Department Report states that the </w:t>
      </w:r>
      <w:r w:rsidR="006104DB" w:rsidRPr="00FA42EA">
        <w:rPr>
          <w:rFonts w:ascii="Book Antiqua" w:hAnsi="Book Antiqua" w:cs="Arial"/>
        </w:rPr>
        <w:t>association</w:t>
      </w:r>
      <w:r w:rsidRPr="00FA42EA">
        <w:rPr>
          <w:rFonts w:ascii="Book Antiqua" w:hAnsi="Book Antiqua" w:cs="Arial"/>
        </w:rPr>
        <w:t xml:space="preserve"> for the Physically Disabled of Kenya carried out advocacy campaigns on behalf of persons with disabilities, distributing wheelchairs, and worked with public institutions to promote the rights of persons with disabilities.  As a result it was noted that awareness of the rights of persons with disabilities increased in some counties but the Government was faulted for not ensuring equal protection of the rights of persons with disabilities throughout the country.  Nominated and elected parliamentarians with disabilities formed the Kenya Disability </w:t>
      </w:r>
      <w:r w:rsidR="006104DB" w:rsidRPr="00FA42EA">
        <w:rPr>
          <w:rFonts w:ascii="Book Antiqua" w:hAnsi="Book Antiqua" w:cs="Arial"/>
        </w:rPr>
        <w:t>Parliamentary</w:t>
      </w:r>
      <w:r w:rsidRPr="00FA42EA">
        <w:rPr>
          <w:rFonts w:ascii="Book Antiqua" w:hAnsi="Book Antiqua" w:cs="Arial"/>
        </w:rPr>
        <w:t xml:space="preserve"> Caucus in 2013 and issued a strategy statement focusing on improving </w:t>
      </w:r>
      <w:r w:rsidR="0056251F" w:rsidRPr="00FA42EA">
        <w:rPr>
          <w:rFonts w:ascii="Book Antiqua" w:hAnsi="Book Antiqua" w:cs="Arial"/>
        </w:rPr>
        <w:t xml:space="preserve">economic empowerment and physical access for persons with </w:t>
      </w:r>
      <w:r w:rsidR="006104DB" w:rsidRPr="00FA42EA">
        <w:rPr>
          <w:rFonts w:ascii="Book Antiqua" w:hAnsi="Book Antiqua" w:cs="Arial"/>
        </w:rPr>
        <w:t>disabilities</w:t>
      </w:r>
      <w:r w:rsidR="0056251F" w:rsidRPr="00FA42EA">
        <w:rPr>
          <w:rFonts w:ascii="Book Antiqua" w:hAnsi="Book Antiqua" w:cs="Arial"/>
        </w:rPr>
        <w:t xml:space="preserve"> as well as integrating disability rights into </w:t>
      </w:r>
      <w:smartTag w:uri="urn:schemas-microsoft-com:office:smarttags" w:element="place">
        <w:smartTag w:uri="urn:schemas-microsoft-com:office:smarttags" w:element="PlaceType">
          <w:r w:rsidR="0056251F" w:rsidRPr="00FA42EA">
            <w:rPr>
              <w:rFonts w:ascii="Book Antiqua" w:hAnsi="Book Antiqua" w:cs="Arial"/>
            </w:rPr>
            <w:t>county</w:t>
          </w:r>
        </w:smartTag>
        <w:r w:rsidR="0056251F" w:rsidRPr="00FA42EA">
          <w:rPr>
            <w:rFonts w:ascii="Book Antiqua" w:hAnsi="Book Antiqua" w:cs="Arial"/>
          </w:rPr>
          <w:t xml:space="preserve"> </w:t>
        </w:r>
        <w:smartTag w:uri="urn:schemas-microsoft-com:office:smarttags" w:element="PlaceName">
          <w:r w:rsidR="0056251F" w:rsidRPr="00FA42EA">
            <w:rPr>
              <w:rFonts w:ascii="Book Antiqua" w:hAnsi="Book Antiqua" w:cs="Arial"/>
            </w:rPr>
            <w:t>Government</w:t>
          </w:r>
        </w:smartTag>
      </w:smartTag>
      <w:r w:rsidR="0056251F" w:rsidRPr="00FA42EA">
        <w:rPr>
          <w:rFonts w:ascii="Book Antiqua" w:hAnsi="Book Antiqua" w:cs="Arial"/>
        </w:rPr>
        <w:t xml:space="preserve"> policies.  </w:t>
      </w:r>
    </w:p>
    <w:p w:rsidR="0056251F" w:rsidRPr="00FA42EA" w:rsidRDefault="0056251F"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A report by the Swedish </w:t>
      </w:r>
      <w:r w:rsidR="006104DB" w:rsidRPr="00FA42EA">
        <w:rPr>
          <w:rFonts w:ascii="Book Antiqua" w:hAnsi="Book Antiqua" w:cs="Arial"/>
        </w:rPr>
        <w:t>International</w:t>
      </w:r>
      <w:r w:rsidRPr="00FA42EA">
        <w:rPr>
          <w:rFonts w:ascii="Book Antiqua" w:hAnsi="Book Antiqua" w:cs="Arial"/>
        </w:rPr>
        <w:t xml:space="preserve"> </w:t>
      </w:r>
      <w:r w:rsidR="006104DB" w:rsidRPr="00FA42EA">
        <w:rPr>
          <w:rFonts w:ascii="Book Antiqua" w:hAnsi="Book Antiqua" w:cs="Arial"/>
        </w:rPr>
        <w:t>Development</w:t>
      </w:r>
      <w:r w:rsidRPr="00FA42EA">
        <w:rPr>
          <w:rFonts w:ascii="Book Antiqua" w:hAnsi="Book Antiqua" w:cs="Arial"/>
        </w:rPr>
        <w:t xml:space="preserve"> Co-</w:t>
      </w:r>
      <w:r w:rsidR="006104DB" w:rsidRPr="00FA42EA">
        <w:rPr>
          <w:rFonts w:ascii="Book Antiqua" w:hAnsi="Book Antiqua" w:cs="Arial"/>
        </w:rPr>
        <w:t>operation</w:t>
      </w:r>
      <w:r w:rsidRPr="00FA42EA">
        <w:rPr>
          <w:rFonts w:ascii="Book Antiqua" w:hAnsi="Book Antiqua" w:cs="Arial"/>
        </w:rPr>
        <w:t xml:space="preserve"> Agency entitled “</w:t>
      </w:r>
      <w:r w:rsidR="006104DB" w:rsidRPr="00FA42EA">
        <w:rPr>
          <w:rFonts w:ascii="Book Antiqua" w:hAnsi="Book Antiqua" w:cs="Arial"/>
        </w:rPr>
        <w:t>Disability</w:t>
      </w:r>
      <w:r w:rsidRPr="00FA42EA">
        <w:rPr>
          <w:rFonts w:ascii="Book Antiqua" w:hAnsi="Book Antiqua" w:cs="Arial"/>
        </w:rPr>
        <w:t xml:space="preserve"> Rights in Kenya”, of 2015 states</w:t>
      </w:r>
      <w:r w:rsidR="00B94A18">
        <w:rPr>
          <w:rFonts w:ascii="Book Antiqua" w:hAnsi="Book Antiqua" w:cs="Arial"/>
        </w:rPr>
        <w:t>,</w:t>
      </w:r>
      <w:r w:rsidRPr="00FA42EA">
        <w:rPr>
          <w:rFonts w:ascii="Book Antiqua" w:hAnsi="Book Antiqua" w:cs="Arial"/>
        </w:rPr>
        <w:t xml:space="preserve"> on page 3 that a National Council for People with Disabilities was established in 2004.  It is a semi-autonomous Government </w:t>
      </w:r>
      <w:r w:rsidRPr="00FA42EA">
        <w:rPr>
          <w:rFonts w:ascii="Book Antiqua" w:hAnsi="Book Antiqua" w:cs="Arial"/>
        </w:rPr>
        <w:lastRenderedPageBreak/>
        <w:t xml:space="preserve">Agency under the Ministry of Labour, Social Security and Services.  Its 21 members represent various disability organisations and Government </w:t>
      </w:r>
      <w:r w:rsidR="006104DB" w:rsidRPr="00FA42EA">
        <w:rPr>
          <w:rFonts w:ascii="Book Antiqua" w:hAnsi="Book Antiqua" w:cs="Arial"/>
        </w:rPr>
        <w:t>ministries</w:t>
      </w:r>
      <w:r w:rsidR="00202D06" w:rsidRPr="00FA42EA">
        <w:rPr>
          <w:rFonts w:ascii="Book Antiqua" w:hAnsi="Book Antiqua" w:cs="Arial"/>
        </w:rPr>
        <w:t xml:space="preserve">.  The Council is also engaged in administration of educational grants and cash transfer schemes, in awareness raising and in monitoring and evaluation.  </w:t>
      </w:r>
      <w:r w:rsidR="00902BB1" w:rsidRPr="00FA42EA">
        <w:rPr>
          <w:rFonts w:ascii="Book Antiqua" w:hAnsi="Book Antiqua" w:cs="Arial"/>
        </w:rPr>
        <w:t xml:space="preserve">It is overseeing the implementation of the action plan of the African Decade of persons with disabilities 1999-2009, extended until 2019.  The Council has established the National Development Fund for Persons with </w:t>
      </w:r>
      <w:r w:rsidR="006104DB" w:rsidRPr="00FA42EA">
        <w:rPr>
          <w:rFonts w:ascii="Book Antiqua" w:hAnsi="Book Antiqua" w:cs="Arial"/>
        </w:rPr>
        <w:t>Disabilities</w:t>
      </w:r>
      <w:r w:rsidR="00902BB1" w:rsidRPr="00FA42EA">
        <w:rPr>
          <w:rFonts w:ascii="Book Antiqua" w:hAnsi="Book Antiqua" w:cs="Arial"/>
        </w:rPr>
        <w:t xml:space="preserve">, provided for in the 2003 People with </w:t>
      </w:r>
      <w:r w:rsidR="006104DB" w:rsidRPr="00FA42EA">
        <w:rPr>
          <w:rFonts w:ascii="Book Antiqua" w:hAnsi="Book Antiqua" w:cs="Arial"/>
        </w:rPr>
        <w:t>Disabilities</w:t>
      </w:r>
      <w:r w:rsidR="00902BB1" w:rsidRPr="00FA42EA">
        <w:rPr>
          <w:rFonts w:ascii="Book Antiqua" w:hAnsi="Book Antiqua" w:cs="Arial"/>
        </w:rPr>
        <w:t xml:space="preserve"> Act.  The fund supports organisations of and for</w:t>
      </w:r>
      <w:r w:rsidR="00B94A18">
        <w:rPr>
          <w:rFonts w:ascii="Book Antiqua" w:hAnsi="Book Antiqua" w:cs="Arial"/>
        </w:rPr>
        <w:t>,</w:t>
      </w:r>
      <w:r w:rsidR="00902BB1" w:rsidRPr="00FA42EA">
        <w:rPr>
          <w:rFonts w:ascii="Book Antiqua" w:hAnsi="Book Antiqua" w:cs="Arial"/>
        </w:rPr>
        <w:t xml:space="preserve"> persons with disabilities.  On the same page of that report, it states that the Ministry of Health is responsible for </w:t>
      </w:r>
      <w:r w:rsidR="006104DB" w:rsidRPr="00FA42EA">
        <w:rPr>
          <w:rFonts w:ascii="Book Antiqua" w:hAnsi="Book Antiqua" w:cs="Arial"/>
        </w:rPr>
        <w:t>provision</w:t>
      </w:r>
      <w:r w:rsidR="00902BB1" w:rsidRPr="00FA42EA">
        <w:rPr>
          <w:rFonts w:ascii="Book Antiqua" w:hAnsi="Book Antiqua" w:cs="Arial"/>
        </w:rPr>
        <w:t xml:space="preserve"> of health services and the system offers a number of specialised services for persons with </w:t>
      </w:r>
      <w:r w:rsidR="006104DB" w:rsidRPr="00FA42EA">
        <w:rPr>
          <w:rFonts w:ascii="Book Antiqua" w:hAnsi="Book Antiqua" w:cs="Arial"/>
        </w:rPr>
        <w:t>disabilities</w:t>
      </w:r>
      <w:r w:rsidR="00902BB1" w:rsidRPr="00FA42EA">
        <w:rPr>
          <w:rFonts w:ascii="Book Antiqua" w:hAnsi="Book Antiqua" w:cs="Arial"/>
        </w:rPr>
        <w:t xml:space="preserve"> including assistive devices, occupational therapy and physiotherapy through the Division of Rehabilitative Health Services.  </w:t>
      </w:r>
      <w:r w:rsidR="008E52C5" w:rsidRPr="00FA42EA">
        <w:rPr>
          <w:rFonts w:ascii="Book Antiqua" w:hAnsi="Book Antiqua" w:cs="Arial"/>
        </w:rPr>
        <w:t xml:space="preserve">However, </w:t>
      </w:r>
      <w:r w:rsidR="006104DB" w:rsidRPr="00FA42EA">
        <w:rPr>
          <w:rFonts w:ascii="Book Antiqua" w:hAnsi="Book Antiqua" w:cs="Arial"/>
        </w:rPr>
        <w:t>accessibility</w:t>
      </w:r>
      <w:r w:rsidR="008E52C5" w:rsidRPr="00FA42EA">
        <w:rPr>
          <w:rFonts w:ascii="Book Antiqua" w:hAnsi="Book Antiqua" w:cs="Arial"/>
        </w:rPr>
        <w:t xml:space="preserve"> to these services is limited for poor and for men and women with particularly severe disabilities.  A survey in 2007 and a report from Handicap </w:t>
      </w:r>
      <w:r w:rsidR="006104DB" w:rsidRPr="00FA42EA">
        <w:rPr>
          <w:rFonts w:ascii="Book Antiqua" w:hAnsi="Book Antiqua" w:cs="Arial"/>
        </w:rPr>
        <w:t>International</w:t>
      </w:r>
      <w:r w:rsidR="008E52C5" w:rsidRPr="00FA42EA">
        <w:rPr>
          <w:rFonts w:ascii="Book Antiqua" w:hAnsi="Book Antiqua" w:cs="Arial"/>
        </w:rPr>
        <w:t xml:space="preserve"> both indicated that the ignorance and insensitivity of</w:t>
      </w:r>
      <w:r w:rsidR="00B94A18">
        <w:rPr>
          <w:rFonts w:ascii="Book Antiqua" w:hAnsi="Book Antiqua" w:cs="Arial"/>
        </w:rPr>
        <w:t xml:space="preserve"> [the]</w:t>
      </w:r>
      <w:r w:rsidR="008E52C5" w:rsidRPr="00FA42EA">
        <w:rPr>
          <w:rFonts w:ascii="Book Antiqua" w:hAnsi="Book Antiqua" w:cs="Arial"/>
        </w:rPr>
        <w:t xml:space="preserve"> health service is a major obstacle.  </w:t>
      </w:r>
    </w:p>
    <w:p w:rsidR="008E52C5" w:rsidRPr="00FA42EA" w:rsidRDefault="008E52C5"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Page 4 of the same report </w:t>
      </w:r>
      <w:r w:rsidR="006104DB" w:rsidRPr="00FA42EA">
        <w:rPr>
          <w:rFonts w:ascii="Book Antiqua" w:hAnsi="Book Antiqua" w:cs="Arial"/>
        </w:rPr>
        <w:t>states</w:t>
      </w:r>
      <w:r w:rsidRPr="00FA42EA">
        <w:rPr>
          <w:rFonts w:ascii="Book Antiqua" w:hAnsi="Book Antiqua" w:cs="Arial"/>
        </w:rPr>
        <w:t xml:space="preserve"> that the disability movement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has quite a long history and human rights actions by disabled people’s organisations began in the late 1950s.  The first was established in 1959 and in the 1980s the Kenya Society of the Physically Handicapped</w:t>
      </w:r>
      <w:r w:rsidR="00B94A18">
        <w:rPr>
          <w:rFonts w:ascii="Book Antiqua" w:hAnsi="Book Antiqua" w:cs="Arial"/>
        </w:rPr>
        <w:t>,</w:t>
      </w:r>
      <w:r w:rsidRPr="00FA42EA">
        <w:rPr>
          <w:rFonts w:ascii="Book Antiqua" w:hAnsi="Book Antiqua" w:cs="Arial"/>
        </w:rPr>
        <w:t xml:space="preserve"> amongst </w:t>
      </w:r>
      <w:r w:rsidR="006104DB" w:rsidRPr="00FA42EA">
        <w:rPr>
          <w:rFonts w:ascii="Book Antiqua" w:hAnsi="Book Antiqua" w:cs="Arial"/>
        </w:rPr>
        <w:t>others</w:t>
      </w:r>
      <w:r w:rsidR="00B94A18">
        <w:rPr>
          <w:rFonts w:ascii="Book Antiqua" w:hAnsi="Book Antiqua" w:cs="Arial"/>
        </w:rPr>
        <w:t>,</w:t>
      </w:r>
      <w:r w:rsidRPr="00FA42EA">
        <w:rPr>
          <w:rFonts w:ascii="Book Antiqua" w:hAnsi="Book Antiqua" w:cs="Arial"/>
        </w:rPr>
        <w:t xml:space="preserve"> was established.  It is said that traditionally many of the organisations have been charity-based and the medical </w:t>
      </w:r>
      <w:r w:rsidR="006104DB" w:rsidRPr="00FA42EA">
        <w:rPr>
          <w:rFonts w:ascii="Book Antiqua" w:hAnsi="Book Antiqua" w:cs="Arial"/>
        </w:rPr>
        <w:t>rehabilitation</w:t>
      </w:r>
      <w:r w:rsidRPr="00FA42EA">
        <w:rPr>
          <w:rFonts w:ascii="Book Antiqua" w:hAnsi="Book Antiqua" w:cs="Arial"/>
        </w:rPr>
        <w:t xml:space="preserve"> model with homes and centres for people with </w:t>
      </w:r>
      <w:r w:rsidR="006104DB" w:rsidRPr="00FA42EA">
        <w:rPr>
          <w:rFonts w:ascii="Book Antiqua" w:hAnsi="Book Antiqua" w:cs="Arial"/>
        </w:rPr>
        <w:t>disabilities</w:t>
      </w:r>
      <w:r w:rsidRPr="00FA42EA">
        <w:rPr>
          <w:rFonts w:ascii="Book Antiqua" w:hAnsi="Book Antiqua" w:cs="Arial"/>
        </w:rPr>
        <w:t xml:space="preserve"> has to a large extent dominated the scene.  However, there had been a shift towards a </w:t>
      </w:r>
      <w:r w:rsidR="0034295B" w:rsidRPr="00FA42EA">
        <w:rPr>
          <w:rFonts w:ascii="Book Antiqua" w:hAnsi="Book Antiqua" w:cs="Arial"/>
        </w:rPr>
        <w:t xml:space="preserve">more human rights </w:t>
      </w:r>
      <w:r w:rsidR="006104DB" w:rsidRPr="00FA42EA">
        <w:rPr>
          <w:rFonts w:ascii="Book Antiqua" w:hAnsi="Book Antiqua" w:cs="Arial"/>
        </w:rPr>
        <w:t>based</w:t>
      </w:r>
      <w:r w:rsidR="0034295B" w:rsidRPr="00FA42EA">
        <w:rPr>
          <w:rFonts w:ascii="Book Antiqua" w:hAnsi="Book Antiqua" w:cs="Arial"/>
        </w:rPr>
        <w:t xml:space="preserve"> movement in recent years with self-</w:t>
      </w:r>
      <w:r w:rsidR="006104DB" w:rsidRPr="00FA42EA">
        <w:rPr>
          <w:rFonts w:ascii="Book Antiqua" w:hAnsi="Book Antiqua" w:cs="Arial"/>
        </w:rPr>
        <w:t>advocacy</w:t>
      </w:r>
      <w:r w:rsidR="0034295B" w:rsidRPr="00FA42EA">
        <w:rPr>
          <w:rFonts w:ascii="Book Antiqua" w:hAnsi="Book Antiqua" w:cs="Arial"/>
        </w:rPr>
        <w:t xml:space="preserve"> organisations </w:t>
      </w:r>
      <w:r w:rsidR="006104DB" w:rsidRPr="00FA42EA">
        <w:rPr>
          <w:rFonts w:ascii="Book Antiqua" w:hAnsi="Book Antiqua" w:cs="Arial"/>
        </w:rPr>
        <w:t>coming</w:t>
      </w:r>
      <w:r w:rsidR="0034295B" w:rsidRPr="00FA42EA">
        <w:rPr>
          <w:rFonts w:ascii="Book Antiqua" w:hAnsi="Book Antiqua" w:cs="Arial"/>
        </w:rPr>
        <w:t xml:space="preserve"> to the forefront.  </w:t>
      </w:r>
    </w:p>
    <w:p w:rsidR="0034295B" w:rsidRPr="00FA42EA" w:rsidRDefault="006104DB"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A report which appears to be dated 24 October 2016 entitled Cultural Stigma and Myth: Disabled Women in Kenya are Vulnerable to Sexual Violence</w:t>
      </w:r>
      <w:r w:rsidR="00B94A18">
        <w:rPr>
          <w:rFonts w:ascii="Book Antiqua" w:hAnsi="Book Antiqua" w:cs="Arial"/>
        </w:rPr>
        <w:t>,</w:t>
      </w:r>
      <w:r w:rsidRPr="00FA42EA">
        <w:rPr>
          <w:rFonts w:ascii="Book Antiqua" w:hAnsi="Book Antiqua" w:cs="Arial"/>
        </w:rPr>
        <w:t xml:space="preserve"> states that a recent study by the Federation of Women Lawyers in Kenya, a women’s rights advocacy organisation that works for gender equality through Legal Aid, revealed that disabled women are up to three times more l</w:t>
      </w:r>
      <w:r>
        <w:rPr>
          <w:rFonts w:ascii="Book Antiqua" w:hAnsi="Book Antiqua" w:cs="Arial"/>
        </w:rPr>
        <w:t xml:space="preserve">ikely to be victims of </w:t>
      </w:r>
      <w:r w:rsidR="00B94A18">
        <w:rPr>
          <w:rFonts w:ascii="Book Antiqua" w:hAnsi="Book Antiqua" w:cs="Arial"/>
        </w:rPr>
        <w:t>physical</w:t>
      </w:r>
      <w:r w:rsidRPr="00FA42EA">
        <w:rPr>
          <w:rFonts w:ascii="Book Antiqua" w:hAnsi="Book Antiqua" w:cs="Arial"/>
        </w:rPr>
        <w:t xml:space="preserve"> and sexual abuse than their non-disabled counterparts.  </w:t>
      </w:r>
      <w:r w:rsidR="0018557D" w:rsidRPr="00FA42EA">
        <w:rPr>
          <w:rFonts w:ascii="Book Antiqua" w:hAnsi="Book Antiqua" w:cs="Arial"/>
        </w:rPr>
        <w:t xml:space="preserve">The study stated that disabled women in </w:t>
      </w:r>
      <w:smartTag w:uri="urn:schemas-microsoft-com:office:smarttags" w:element="country-region">
        <w:smartTag w:uri="urn:schemas-microsoft-com:office:smarttags" w:element="place">
          <w:r w:rsidR="0018557D" w:rsidRPr="00FA42EA">
            <w:rPr>
              <w:rFonts w:ascii="Book Antiqua" w:hAnsi="Book Antiqua" w:cs="Arial"/>
            </w:rPr>
            <w:t>Kenya</w:t>
          </w:r>
        </w:smartTag>
      </w:smartTag>
      <w:r w:rsidR="0018557D" w:rsidRPr="00FA42EA">
        <w:rPr>
          <w:rFonts w:ascii="Book Antiqua" w:hAnsi="Book Antiqua" w:cs="Arial"/>
        </w:rPr>
        <w:t xml:space="preserve"> are abused sexually under the pretext of culture and myths.  Reference is made to a belief that if one sleeps with a disabled woman there are chances of a cure </w:t>
      </w:r>
      <w:r w:rsidR="00C108E2" w:rsidRPr="00FA42EA">
        <w:rPr>
          <w:rFonts w:ascii="Book Antiqua" w:hAnsi="Book Antiqua" w:cs="Arial"/>
        </w:rPr>
        <w:t xml:space="preserve">for Aids.  Page 2 of that report gives examples of the sexual abuse that the interviewees reported and the anecdotal evidence of this being an everyday occurrence.  The report states that society’s negative perceptions and ostracism of women with disabilities affords them an invisible status, resulting in increased exposure to violence and fewer opportunities for recourse.  </w:t>
      </w:r>
    </w:p>
    <w:p w:rsidR="00C108E2" w:rsidRPr="00FA42EA" w:rsidRDefault="00C108E2"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A report dated 20 April 2015 from the UDPK refers to </w:t>
      </w:r>
      <w:r w:rsidR="00B94A18">
        <w:rPr>
          <w:rFonts w:ascii="Book Antiqua" w:hAnsi="Book Antiqua" w:cs="Arial"/>
        </w:rPr>
        <w:t>it</w:t>
      </w:r>
      <w:r w:rsidRPr="00FA42EA">
        <w:rPr>
          <w:rFonts w:ascii="Book Antiqua" w:hAnsi="Book Antiqua" w:cs="Arial"/>
        </w:rPr>
        <w:t xml:space="preserve"> as a non-profit making, non-political and non-partisan organisation.  It is an umbrella body for persons with </w:t>
      </w:r>
      <w:r w:rsidR="006104DB" w:rsidRPr="00FA42EA">
        <w:rPr>
          <w:rFonts w:ascii="Book Antiqua" w:hAnsi="Book Antiqua" w:cs="Arial"/>
        </w:rPr>
        <w:t>disabilities</w:t>
      </w:r>
      <w:r w:rsidRPr="00FA42EA">
        <w:rPr>
          <w:rFonts w:ascii="Book Antiqua" w:hAnsi="Book Antiqua" w:cs="Arial"/>
        </w:rPr>
        <w:t xml:space="preserve"> and comprises 120 member organisations being disabled persons’ </w:t>
      </w:r>
      <w:r w:rsidR="00B94A18">
        <w:rPr>
          <w:rFonts w:ascii="Book Antiqua" w:hAnsi="Book Antiqua" w:cs="Arial"/>
        </w:rPr>
        <w:t>o</w:t>
      </w:r>
      <w:r w:rsidRPr="00FA42EA">
        <w:rPr>
          <w:rFonts w:ascii="Book Antiqua" w:hAnsi="Book Antiqua" w:cs="Arial"/>
        </w:rPr>
        <w:t xml:space="preserve">rganisations, associations and groups of persons with disabilities.  Its core mandate is said to be to advocate for the </w:t>
      </w:r>
      <w:r w:rsidR="006104DB" w:rsidRPr="00FA42EA">
        <w:rPr>
          <w:rFonts w:ascii="Book Antiqua" w:hAnsi="Book Antiqua" w:cs="Arial"/>
        </w:rPr>
        <w:t>formulation</w:t>
      </w:r>
      <w:r w:rsidRPr="00FA42EA">
        <w:rPr>
          <w:rFonts w:ascii="Book Antiqua" w:hAnsi="Book Antiqua" w:cs="Arial"/>
        </w:rPr>
        <w:t xml:space="preserve"> of disability-</w:t>
      </w:r>
      <w:r w:rsidR="006104DB" w:rsidRPr="00FA42EA">
        <w:rPr>
          <w:rFonts w:ascii="Book Antiqua" w:hAnsi="Book Antiqua" w:cs="Arial"/>
        </w:rPr>
        <w:t>friendly</w:t>
      </w:r>
      <w:r w:rsidRPr="00FA42EA">
        <w:rPr>
          <w:rFonts w:ascii="Book Antiqua" w:hAnsi="Book Antiqua" w:cs="Arial"/>
        </w:rPr>
        <w:t xml:space="preserve"> policies and legislations locally, nationally and internationally geared towards improving the </w:t>
      </w:r>
      <w:r w:rsidRPr="00FA42EA">
        <w:rPr>
          <w:rFonts w:ascii="Book Antiqua" w:hAnsi="Book Antiqua" w:cs="Arial"/>
        </w:rPr>
        <w:lastRenderedPageBreak/>
        <w:t xml:space="preserve">livelihood of persons with disabilities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Since 2010 it is said to have been implementing a project on raising awareness and monitoring the implementation of the CRPD.  </w:t>
      </w:r>
    </w:p>
    <w:p w:rsidR="00C108E2" w:rsidRPr="00FA42EA" w:rsidRDefault="00C108E2"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part 2 of the report it states that it is commendable that Kenya developed and submitted its Initial State Report on the CRPD which proved that Kenya was open and transparent about its efforts in the realisation of the rights of persons with </w:t>
      </w:r>
      <w:r w:rsidR="006104DB" w:rsidRPr="00FA42EA">
        <w:rPr>
          <w:rFonts w:ascii="Book Antiqua" w:hAnsi="Book Antiqua" w:cs="Arial"/>
        </w:rPr>
        <w:t>disabilities</w:t>
      </w:r>
      <w:r w:rsidRPr="00FA42EA">
        <w:rPr>
          <w:rFonts w:ascii="Book Antiqua" w:hAnsi="Book Antiqua" w:cs="Arial"/>
        </w:rPr>
        <w:t xml:space="preserve">.  It states that it wished to commend the Kenyan Government for the efforts it had put in place to address the rights of persons with disabilities and particularly the passing of the constitution of Kenya 2010 that prohibits discrimination on the basis of disability.  It refers to various actions taken by the Government.  </w:t>
      </w:r>
    </w:p>
    <w:p w:rsidR="00C108E2" w:rsidRPr="00FA42EA" w:rsidRDefault="00C108E2"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Under a section entitled Women with Disabilities it is said that research indicated that the consequences of disability are particularly serious for women and girls.  They are likely to be sexually violated with impunity and there are high rates of rape, defilements and other forms of gender-based violence.  It is also said that women and girls with </w:t>
      </w:r>
      <w:r w:rsidR="006104DB" w:rsidRPr="00FA42EA">
        <w:rPr>
          <w:rFonts w:ascii="Book Antiqua" w:hAnsi="Book Antiqua" w:cs="Arial"/>
        </w:rPr>
        <w:t>disabilities</w:t>
      </w:r>
      <w:r w:rsidRPr="00FA42EA">
        <w:rPr>
          <w:rFonts w:ascii="Book Antiqua" w:hAnsi="Book Antiqua" w:cs="Arial"/>
        </w:rPr>
        <w:t xml:space="preserve"> are verbally and physically attacked and raped in the public sphere and in private, by family members, by teachers, by neighbours, and by strangers.  Such violence is rarely addressed by the authorities and women and girls with disabilities rarely report crimes against them for fear of further violence by the perpetrators.</w:t>
      </w:r>
    </w:p>
    <w:p w:rsidR="00833106" w:rsidRPr="00BE0F51" w:rsidRDefault="00C108E2" w:rsidP="00833106">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Further in that section it states that women with disabilities face a lot of challenges in </w:t>
      </w:r>
      <w:r w:rsidR="006104DB" w:rsidRPr="00FA42EA">
        <w:rPr>
          <w:rFonts w:ascii="Book Antiqua" w:hAnsi="Book Antiqua" w:cs="Arial"/>
        </w:rPr>
        <w:t>accessing</w:t>
      </w:r>
      <w:r w:rsidRPr="00FA42EA">
        <w:rPr>
          <w:rFonts w:ascii="Book Antiqua" w:hAnsi="Book Antiqua" w:cs="Arial"/>
        </w:rPr>
        <w:t xml:space="preserve"> reproductive health services.  There have been cases of forced </w:t>
      </w:r>
      <w:r w:rsidR="006104DB" w:rsidRPr="00FA42EA">
        <w:rPr>
          <w:rFonts w:ascii="Book Antiqua" w:hAnsi="Book Antiqua" w:cs="Arial"/>
        </w:rPr>
        <w:t>sterilisation</w:t>
      </w:r>
      <w:r w:rsidRPr="00FA42EA">
        <w:rPr>
          <w:rFonts w:ascii="Book Antiqua" w:hAnsi="Book Antiqua" w:cs="Arial"/>
        </w:rPr>
        <w:t xml:space="preserve"> (five in number) or women with disabilities being discouraged from having children “as they can pass the disability to their child”.  Also, stereotypes from </w:t>
      </w:r>
      <w:proofErr w:type="spellStart"/>
      <w:r w:rsidRPr="00FA42EA">
        <w:rPr>
          <w:rFonts w:ascii="Book Antiqua" w:hAnsi="Book Antiqua" w:cs="Arial"/>
        </w:rPr>
        <w:t>healthworkers</w:t>
      </w:r>
      <w:proofErr w:type="spellEnd"/>
      <w:r w:rsidRPr="00FA42EA">
        <w:rPr>
          <w:rFonts w:ascii="Book Antiqua" w:hAnsi="Book Antiqua" w:cs="Arial"/>
        </w:rPr>
        <w:t xml:space="preserve"> when women with disabilities attempt to access reproductive health services are one of the challenges they face.  Public ridicule of women with disabilities goes unabated by the public and public officials, as illustrated by an </w:t>
      </w:r>
      <w:r w:rsidR="006104DB" w:rsidRPr="00FA42EA">
        <w:rPr>
          <w:rFonts w:ascii="Book Antiqua" w:hAnsi="Book Antiqua" w:cs="Arial"/>
        </w:rPr>
        <w:t>example</w:t>
      </w:r>
      <w:r w:rsidRPr="00FA42EA">
        <w:rPr>
          <w:rFonts w:ascii="Book Antiqua" w:hAnsi="Book Antiqua" w:cs="Arial"/>
        </w:rPr>
        <w:t xml:space="preserve"> in the report.  In 2012 </w:t>
      </w:r>
      <w:proofErr w:type="spellStart"/>
      <w:r w:rsidRPr="00FA42EA">
        <w:rPr>
          <w:rFonts w:ascii="Book Antiqua" w:hAnsi="Book Antiqua" w:cs="Arial"/>
        </w:rPr>
        <w:t>an</w:t>
      </w:r>
      <w:proofErr w:type="spellEnd"/>
      <w:r w:rsidRPr="00FA42EA">
        <w:rPr>
          <w:rFonts w:ascii="Book Antiqua" w:hAnsi="Book Antiqua" w:cs="Arial"/>
        </w:rPr>
        <w:t xml:space="preserve"> 18 year old girl with mental disability was assaulted by a public transport operator.  She was dragged to the bush in broad daylight and sexually assaulted </w:t>
      </w:r>
      <w:r w:rsidR="00D4697C" w:rsidRPr="00FA42EA">
        <w:rPr>
          <w:rFonts w:ascii="Book Antiqua" w:hAnsi="Book Antiqua" w:cs="Arial"/>
        </w:rPr>
        <w:t xml:space="preserve">by the man.  Members of the </w:t>
      </w:r>
      <w:r w:rsidR="006104DB" w:rsidRPr="00FA42EA">
        <w:rPr>
          <w:rFonts w:ascii="Book Antiqua" w:hAnsi="Book Antiqua" w:cs="Arial"/>
        </w:rPr>
        <w:t>public</w:t>
      </w:r>
      <w:r w:rsidR="00D4697C" w:rsidRPr="00FA42EA">
        <w:rPr>
          <w:rFonts w:ascii="Book Antiqua" w:hAnsi="Book Antiqua" w:cs="Arial"/>
        </w:rPr>
        <w:t xml:space="preserve"> rescued her and took the man to the police.  </w:t>
      </w:r>
      <w:r w:rsidR="00833106" w:rsidRPr="00FA42EA">
        <w:rPr>
          <w:rFonts w:ascii="Book Antiqua" w:hAnsi="Book Antiqua" w:cs="Arial"/>
        </w:rPr>
        <w:t xml:space="preserve">However, he was not charged and the police </w:t>
      </w:r>
      <w:r w:rsidR="006104DB" w:rsidRPr="00FA42EA">
        <w:rPr>
          <w:rFonts w:ascii="Book Antiqua" w:hAnsi="Book Antiqua" w:cs="Arial"/>
        </w:rPr>
        <w:t>released him</w:t>
      </w:r>
      <w:r w:rsidR="00833106" w:rsidRPr="00FA42EA">
        <w:rPr>
          <w:rFonts w:ascii="Book Antiqua" w:hAnsi="Book Antiqua" w:cs="Arial"/>
        </w:rPr>
        <w:t xml:space="preserve"> without any charges.  </w:t>
      </w:r>
    </w:p>
    <w:p w:rsidR="00833106" w:rsidRPr="00FA42EA" w:rsidRDefault="00833106" w:rsidP="00D80EBB">
      <w:pPr>
        <w:spacing w:before="240"/>
        <w:ind w:firstLine="567"/>
        <w:jc w:val="both"/>
        <w:outlineLvl w:val="0"/>
        <w:rPr>
          <w:rFonts w:ascii="Book Antiqua" w:hAnsi="Book Antiqua" w:cs="Arial"/>
          <w:i/>
        </w:rPr>
      </w:pPr>
      <w:r w:rsidRPr="00FA42EA">
        <w:rPr>
          <w:rFonts w:ascii="Book Antiqua" w:hAnsi="Book Antiqua" w:cs="Arial"/>
          <w:i/>
        </w:rPr>
        <w:t xml:space="preserve">Preserved findings </w:t>
      </w:r>
    </w:p>
    <w:p w:rsidR="00833106" w:rsidRPr="00FA42EA" w:rsidRDefault="00833106"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As already indicated, the issue of what findings of fact made by the </w:t>
      </w:r>
      <w:proofErr w:type="spellStart"/>
      <w:r w:rsidRPr="00FA42EA">
        <w:rPr>
          <w:rFonts w:ascii="Book Antiqua" w:hAnsi="Book Antiqua" w:cs="Arial"/>
        </w:rPr>
        <w:t>FtJ</w:t>
      </w:r>
      <w:proofErr w:type="spellEnd"/>
      <w:r w:rsidRPr="00FA42EA">
        <w:rPr>
          <w:rFonts w:ascii="Book Antiqua" w:hAnsi="Book Antiqua" w:cs="Arial"/>
        </w:rPr>
        <w:t xml:space="preserve"> could be preserved was canvassed at the resumed hearing.  There was some limited disagreement between the parties in </w:t>
      </w:r>
      <w:r w:rsidR="006104DB" w:rsidRPr="00FA42EA">
        <w:rPr>
          <w:rFonts w:ascii="Book Antiqua" w:hAnsi="Book Antiqua" w:cs="Arial"/>
        </w:rPr>
        <w:t>relation</w:t>
      </w:r>
      <w:r w:rsidRPr="00FA42EA">
        <w:rPr>
          <w:rFonts w:ascii="Book Antiqua" w:hAnsi="Book Antiqua" w:cs="Arial"/>
        </w:rPr>
        <w:t xml:space="preserve"> to this issue.  In the light of my error of law decision and having reviewed the </w:t>
      </w:r>
      <w:proofErr w:type="spellStart"/>
      <w:r w:rsidRPr="00FA42EA">
        <w:rPr>
          <w:rFonts w:ascii="Book Antiqua" w:hAnsi="Book Antiqua" w:cs="Arial"/>
        </w:rPr>
        <w:t>FtJ’s</w:t>
      </w:r>
      <w:proofErr w:type="spellEnd"/>
      <w:r w:rsidRPr="00FA42EA">
        <w:rPr>
          <w:rFonts w:ascii="Book Antiqua" w:hAnsi="Book Antiqua" w:cs="Arial"/>
        </w:rPr>
        <w:t xml:space="preserve"> decision again, I set out below what I have decided are the findings of fact made by the </w:t>
      </w:r>
      <w:proofErr w:type="spellStart"/>
      <w:r w:rsidRPr="00FA42EA">
        <w:rPr>
          <w:rFonts w:ascii="Book Antiqua" w:hAnsi="Book Antiqua" w:cs="Arial"/>
        </w:rPr>
        <w:t>FtJ</w:t>
      </w:r>
      <w:proofErr w:type="spellEnd"/>
      <w:r w:rsidRPr="00FA42EA">
        <w:rPr>
          <w:rFonts w:ascii="Book Antiqua" w:hAnsi="Book Antiqua" w:cs="Arial"/>
        </w:rPr>
        <w:t xml:space="preserve"> that can be preserved.  Those findings are as follows:</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The appellant came to the </w:t>
      </w:r>
      <w:smartTag w:uri="urn:schemas-microsoft-com:office:smarttags" w:element="place">
        <w:smartTag w:uri="urn:schemas-microsoft-com:office:smarttags" w:element="country-region">
          <w:r w:rsidRPr="00FA42EA">
            <w:rPr>
              <w:rFonts w:ascii="Book Antiqua" w:hAnsi="Book Antiqua" w:cs="Arial"/>
            </w:rPr>
            <w:t>UK</w:t>
          </w:r>
        </w:smartTag>
      </w:smartTag>
      <w:r w:rsidRPr="00FA42EA">
        <w:rPr>
          <w:rFonts w:ascii="Book Antiqua" w:hAnsi="Book Antiqua" w:cs="Arial"/>
        </w:rPr>
        <w:t xml:space="preserve"> in September 2015 with her husband, with a visit visa to attend a two day conference relating to muscular dystrophy.  </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The appellant suffers from Limb Girdle Muscular </w:t>
      </w:r>
      <w:r w:rsidR="006104DB" w:rsidRPr="00FA42EA">
        <w:rPr>
          <w:rFonts w:ascii="Book Antiqua" w:hAnsi="Book Antiqua" w:cs="Arial"/>
        </w:rPr>
        <w:t>Dystrophy</w:t>
      </w:r>
      <w:r w:rsidRPr="00FA42EA">
        <w:rPr>
          <w:rFonts w:ascii="Book Antiqua" w:hAnsi="Book Antiqua" w:cs="Arial"/>
        </w:rPr>
        <w:t xml:space="preserve"> and her husband suffers from sickle cell anaemia and other conditions.  </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lastRenderedPageBreak/>
        <w:t>The</w:t>
      </w:r>
      <w:r w:rsidR="00ED28AE">
        <w:rPr>
          <w:rFonts w:ascii="Book Antiqua" w:hAnsi="Book Antiqua" w:cs="Arial"/>
        </w:rPr>
        <w:t>ir</w:t>
      </w:r>
      <w:r w:rsidRPr="00FA42EA">
        <w:rPr>
          <w:rFonts w:ascii="Book Antiqua" w:hAnsi="Book Antiqua" w:cs="Arial"/>
        </w:rPr>
        <w:t xml:space="preserve"> child was stillborn on 17 March 2016.  </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The appellant was rejected by her family in </w:t>
      </w:r>
      <w:smartTag w:uri="urn:schemas-microsoft-com:office:smarttags" w:element="country-region">
        <w:r w:rsidRPr="00FA42EA">
          <w:rPr>
            <w:rFonts w:ascii="Book Antiqua" w:hAnsi="Book Antiqua" w:cs="Arial"/>
          </w:rPr>
          <w:t>Kenya</w:t>
        </w:r>
      </w:smartTag>
      <w:r w:rsidRPr="00FA42EA">
        <w:rPr>
          <w:rFonts w:ascii="Book Antiqua" w:hAnsi="Book Antiqua" w:cs="Arial"/>
        </w:rPr>
        <w:t xml:space="preserve"> at the age of 23 due to her disability and maintains no contact with her family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She has a sister in the </w:t>
      </w:r>
      <w:smartTag w:uri="urn:schemas-microsoft-com:office:smarttags" w:element="country-region">
        <w:smartTag w:uri="urn:schemas-microsoft-com:office:smarttags" w:element="place">
          <w:r w:rsidRPr="00FA42EA">
            <w:rPr>
              <w:rFonts w:ascii="Book Antiqua" w:hAnsi="Book Antiqua" w:cs="Arial"/>
            </w:rPr>
            <w:t>UK</w:t>
          </w:r>
        </w:smartTag>
      </w:smartTag>
      <w:r w:rsidRPr="00FA42EA">
        <w:rPr>
          <w:rFonts w:ascii="Book Antiqua" w:hAnsi="Book Antiqua" w:cs="Arial"/>
        </w:rPr>
        <w:t xml:space="preserve"> with whom she has contact.  </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The appellant was the subject of an attempted rape when she was 14.  On another occasion a school bus purposely accelerated as she was alighting the bus.  A taxi reversed into her in 2014.  She was stared at by crowds in public, such as at a supermarket.</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She has been wheelchair-bound since 2010 and is reliant upon multiple carers on a daily basis, as well as her husband who acts as a carer to her.  </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At the time of the hearing</w:t>
      </w:r>
      <w:r w:rsidR="00BE0F51">
        <w:rPr>
          <w:rFonts w:ascii="Book Antiqua" w:hAnsi="Book Antiqua" w:cs="Arial"/>
        </w:rPr>
        <w:t xml:space="preserve"> before the </w:t>
      </w:r>
      <w:proofErr w:type="spellStart"/>
      <w:r w:rsidR="00BE0F51">
        <w:rPr>
          <w:rFonts w:ascii="Book Antiqua" w:hAnsi="Book Antiqua" w:cs="Arial"/>
        </w:rPr>
        <w:t>FtJ</w:t>
      </w:r>
      <w:proofErr w:type="spellEnd"/>
      <w:r w:rsidRPr="00FA42EA">
        <w:rPr>
          <w:rFonts w:ascii="Book Antiqua" w:hAnsi="Book Antiqua" w:cs="Arial"/>
        </w:rPr>
        <w:t xml:space="preserve"> the appellant was under the care of neurologists at Southmead Hospital.  At th</w:t>
      </w:r>
      <w:r w:rsidR="00BE0F51">
        <w:rPr>
          <w:rFonts w:ascii="Book Antiqua" w:hAnsi="Book Antiqua" w:cs="Arial"/>
        </w:rPr>
        <w:t>at same</w:t>
      </w:r>
      <w:r w:rsidRPr="00FA42EA">
        <w:rPr>
          <w:rFonts w:ascii="Book Antiqua" w:hAnsi="Book Antiqua" w:cs="Arial"/>
        </w:rPr>
        <w:t xml:space="preserve"> time there was no </w:t>
      </w:r>
      <w:r w:rsidR="006104DB" w:rsidRPr="00FA42EA">
        <w:rPr>
          <w:rFonts w:ascii="Book Antiqua" w:hAnsi="Book Antiqua" w:cs="Arial"/>
        </w:rPr>
        <w:t>definitive</w:t>
      </w:r>
      <w:r w:rsidRPr="00FA42EA">
        <w:rPr>
          <w:rFonts w:ascii="Book Antiqua" w:hAnsi="Book Antiqua" w:cs="Arial"/>
        </w:rPr>
        <w:t xml:space="preserve"> diagnosis of the </w:t>
      </w:r>
      <w:r w:rsidR="006104DB" w:rsidRPr="00FA42EA">
        <w:rPr>
          <w:rFonts w:ascii="Book Antiqua" w:hAnsi="Book Antiqua" w:cs="Arial"/>
        </w:rPr>
        <w:t>type</w:t>
      </w:r>
      <w:r w:rsidRPr="00FA42EA">
        <w:rPr>
          <w:rFonts w:ascii="Book Antiqua" w:hAnsi="Book Antiqua" w:cs="Arial"/>
        </w:rPr>
        <w:t xml:space="preserve"> of Limb Girdle Muscular Dystrophy that she has.  </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Medical evidence in relation to the appellant’s husband was to the effect that it was quite likely that he would have recurrent episodes of cholecystitis, increasing his chances of having repeated sickle cris</w:t>
      </w:r>
      <w:r w:rsidR="00ED28AE">
        <w:rPr>
          <w:rFonts w:ascii="Book Antiqua" w:hAnsi="Book Antiqua" w:cs="Arial"/>
        </w:rPr>
        <w:t>e</w:t>
      </w:r>
      <w:r w:rsidRPr="00FA42EA">
        <w:rPr>
          <w:rFonts w:ascii="Book Antiqua" w:hAnsi="Book Antiqua" w:cs="Arial"/>
        </w:rPr>
        <w:t xml:space="preserve">s and he would benefit from cholecystectomy.  Her husband suffers from a sickle cell disorder and is receiving ongoing medical treatment for that condition and other medical conditions.  </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The appellant was a “very credible” witness.  She gave credible evidence about having been rejected by her family and </w:t>
      </w:r>
      <w:r w:rsidR="00BE0F51">
        <w:rPr>
          <w:rFonts w:ascii="Book Antiqua" w:hAnsi="Book Antiqua" w:cs="Arial"/>
        </w:rPr>
        <w:t xml:space="preserve">being </w:t>
      </w:r>
      <w:r w:rsidRPr="00FA42EA">
        <w:rPr>
          <w:rFonts w:ascii="Book Antiqua" w:hAnsi="Book Antiqua" w:cs="Arial"/>
        </w:rPr>
        <w:t xml:space="preserve">required to leave the family home due to her disability.  </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The appellant’s </w:t>
      </w:r>
      <w:r w:rsidR="006104DB" w:rsidRPr="00FA42EA">
        <w:rPr>
          <w:rFonts w:ascii="Book Antiqua" w:hAnsi="Book Antiqua" w:cs="Arial"/>
        </w:rPr>
        <w:t>account</w:t>
      </w:r>
      <w:r w:rsidRPr="00FA42EA">
        <w:rPr>
          <w:rFonts w:ascii="Book Antiqua" w:hAnsi="Book Antiqua" w:cs="Arial"/>
        </w:rPr>
        <w:t xml:space="preserve"> of the attempted rape when she was aged 14 referred to her inability to get up when she fell over and the attempted rapist therefore taking advantage of her due to her vulnerability resulting from her disability.  </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In 1996 there was deliberate disregard for her safety by a bus driver and lack of regard for her disability.</w:t>
      </w:r>
    </w:p>
    <w:p w:rsidR="00833106" w:rsidRPr="00FA42EA" w:rsidRDefault="00833106"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The appellant’s </w:t>
      </w:r>
      <w:r w:rsidR="00F7500E" w:rsidRPr="00FA42EA">
        <w:rPr>
          <w:rFonts w:ascii="Book Antiqua" w:hAnsi="Book Antiqua" w:cs="Arial"/>
        </w:rPr>
        <w:t xml:space="preserve">accounts of those incidents were credible, as were the other incidents detailed in her asylum interview.  </w:t>
      </w:r>
    </w:p>
    <w:p w:rsidR="00F7500E" w:rsidRPr="00FA42EA" w:rsidRDefault="00634B57"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In relation to the incidents referred to by the appellant, they were a relatively limited number of incidents involving her disability spanning a relatively long period of time.  </w:t>
      </w:r>
    </w:p>
    <w:p w:rsidR="00634B57" w:rsidRPr="00FA42EA" w:rsidRDefault="00634B57"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The appellant’s husband was a credible witness.  He gave credible evidence as to the negative attitude in general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towards people with disabilities and the poor treatment received by his wife from his family.  </w:t>
      </w:r>
    </w:p>
    <w:p w:rsidR="00634B57" w:rsidRPr="00FA42EA" w:rsidRDefault="00634B57"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The expert report of Elizabeth </w:t>
      </w:r>
      <w:proofErr w:type="spellStart"/>
      <w:r w:rsidRPr="00FA42EA">
        <w:rPr>
          <w:rFonts w:ascii="Book Antiqua" w:hAnsi="Book Antiqua" w:cs="Arial"/>
        </w:rPr>
        <w:t>Kamundia</w:t>
      </w:r>
      <w:proofErr w:type="spellEnd"/>
      <w:r w:rsidRPr="00FA42EA">
        <w:rPr>
          <w:rFonts w:ascii="Book Antiqua" w:hAnsi="Book Antiqua" w:cs="Arial"/>
        </w:rPr>
        <w:t xml:space="preserve"> was “quite thorough” and fairly balanced.  </w:t>
      </w:r>
    </w:p>
    <w:p w:rsidR="00634B57" w:rsidRPr="00FA42EA" w:rsidRDefault="00634B57"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The delay in the appellant claiming asylum ha</w:t>
      </w:r>
      <w:r w:rsidR="00BE0F51">
        <w:rPr>
          <w:rFonts w:ascii="Book Antiqua" w:hAnsi="Book Antiqua" w:cs="Arial"/>
        </w:rPr>
        <w:t>d</w:t>
      </w:r>
      <w:r w:rsidRPr="00FA42EA">
        <w:rPr>
          <w:rFonts w:ascii="Book Antiqua" w:hAnsi="Book Antiqua" w:cs="Arial"/>
        </w:rPr>
        <w:t xml:space="preserve"> not </w:t>
      </w:r>
      <w:r w:rsidR="006104DB" w:rsidRPr="00FA42EA">
        <w:rPr>
          <w:rFonts w:ascii="Book Antiqua" w:hAnsi="Book Antiqua" w:cs="Arial"/>
        </w:rPr>
        <w:t>damaged</w:t>
      </w:r>
      <w:r w:rsidRPr="00FA42EA">
        <w:rPr>
          <w:rFonts w:ascii="Book Antiqua" w:hAnsi="Book Antiqua" w:cs="Arial"/>
        </w:rPr>
        <w:t xml:space="preserve"> her credibility.  </w:t>
      </w:r>
    </w:p>
    <w:p w:rsidR="00634B57" w:rsidRPr="00FA42EA" w:rsidRDefault="00634B57"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The appellant and her husband were highly credible witnesses, particularly relating to the past incidents suffered by the appellant and the ongoing </w:t>
      </w:r>
      <w:r w:rsidRPr="00FA42EA">
        <w:rPr>
          <w:rFonts w:ascii="Book Antiqua" w:hAnsi="Book Antiqua" w:cs="Arial"/>
        </w:rPr>
        <w:lastRenderedPageBreak/>
        <w:t xml:space="preserve">difficulties she faces because of her disability, such as the negative and dismissive attitude of their respective families towards her.  </w:t>
      </w:r>
    </w:p>
    <w:p w:rsidR="00634B57" w:rsidRPr="00FA42EA" w:rsidRDefault="00634B57" w:rsidP="003A391A">
      <w:pPr>
        <w:numPr>
          <w:ilvl w:val="0"/>
          <w:numId w:val="6"/>
        </w:numPr>
        <w:tabs>
          <w:tab w:val="clear" w:pos="360"/>
        </w:tabs>
        <w:spacing w:before="120"/>
        <w:ind w:left="1134" w:hanging="567"/>
        <w:jc w:val="both"/>
        <w:rPr>
          <w:rFonts w:ascii="Book Antiqua" w:hAnsi="Book Antiqua" w:cs="Arial"/>
        </w:rPr>
      </w:pPr>
      <w:r w:rsidRPr="00FA42EA">
        <w:rPr>
          <w:rFonts w:ascii="Book Antiqua" w:hAnsi="Book Antiqua" w:cs="Arial"/>
        </w:rPr>
        <w:t xml:space="preserve">The appellant is heavily dependent upon daily care from multiple carers, as well as her husband.  The medical evidence does not appear to suggest that her condition is an </w:t>
      </w:r>
      <w:r w:rsidR="006104DB" w:rsidRPr="00FA42EA">
        <w:rPr>
          <w:rFonts w:ascii="Book Antiqua" w:hAnsi="Book Antiqua" w:cs="Arial"/>
        </w:rPr>
        <w:t>improving</w:t>
      </w:r>
      <w:r w:rsidRPr="00FA42EA">
        <w:rPr>
          <w:rFonts w:ascii="Book Antiqua" w:hAnsi="Book Antiqua" w:cs="Arial"/>
        </w:rPr>
        <w:t xml:space="preserve"> one.  </w:t>
      </w:r>
    </w:p>
    <w:p w:rsidR="00833106" w:rsidRPr="00FA42EA" w:rsidRDefault="00FF3611"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The disagreement between the parties in </w:t>
      </w:r>
      <w:r w:rsidR="006104DB" w:rsidRPr="00FA42EA">
        <w:rPr>
          <w:rFonts w:ascii="Book Antiqua" w:hAnsi="Book Antiqua" w:cs="Arial"/>
        </w:rPr>
        <w:t>relation</w:t>
      </w:r>
      <w:r w:rsidRPr="00FA42EA">
        <w:rPr>
          <w:rFonts w:ascii="Book Antiqua" w:hAnsi="Book Antiqua" w:cs="Arial"/>
        </w:rPr>
        <w:t xml:space="preserve"> to the </w:t>
      </w:r>
      <w:proofErr w:type="spellStart"/>
      <w:r w:rsidRPr="00FA42EA">
        <w:rPr>
          <w:rFonts w:ascii="Book Antiqua" w:hAnsi="Book Antiqua" w:cs="Arial"/>
        </w:rPr>
        <w:t>FtJ’s</w:t>
      </w:r>
      <w:proofErr w:type="spellEnd"/>
      <w:r w:rsidRPr="00FA42EA">
        <w:rPr>
          <w:rFonts w:ascii="Book Antiqua" w:hAnsi="Book Antiqua" w:cs="Arial"/>
        </w:rPr>
        <w:t xml:space="preserve"> findings related to the report of </w:t>
      </w:r>
      <w:r w:rsidR="000545FA" w:rsidRPr="00FA42EA">
        <w:rPr>
          <w:rFonts w:ascii="Book Antiqua" w:hAnsi="Book Antiqua" w:cs="Arial"/>
        </w:rPr>
        <w:t xml:space="preserve">Ms </w:t>
      </w:r>
      <w:proofErr w:type="spellStart"/>
      <w:r w:rsidR="000545FA" w:rsidRPr="00FA42EA">
        <w:rPr>
          <w:rFonts w:ascii="Book Antiqua" w:hAnsi="Book Antiqua" w:cs="Arial"/>
        </w:rPr>
        <w:t>Kamundia</w:t>
      </w:r>
      <w:proofErr w:type="spellEnd"/>
      <w:r w:rsidRPr="00FA42EA">
        <w:rPr>
          <w:rFonts w:ascii="Book Antiqua" w:hAnsi="Book Antiqua" w:cs="Arial"/>
        </w:rPr>
        <w:t xml:space="preserve">.  The </w:t>
      </w:r>
      <w:proofErr w:type="spellStart"/>
      <w:r w:rsidRPr="00FA42EA">
        <w:rPr>
          <w:rFonts w:ascii="Book Antiqua" w:hAnsi="Book Antiqua" w:cs="Arial"/>
        </w:rPr>
        <w:t>FtJ</w:t>
      </w:r>
      <w:proofErr w:type="spellEnd"/>
      <w:r w:rsidRPr="00FA42EA">
        <w:rPr>
          <w:rFonts w:ascii="Book Antiqua" w:hAnsi="Book Antiqua" w:cs="Arial"/>
        </w:rPr>
        <w:t xml:space="preserve">, in </w:t>
      </w:r>
      <w:r w:rsidR="006104DB" w:rsidRPr="00FA42EA">
        <w:rPr>
          <w:rFonts w:ascii="Book Antiqua" w:hAnsi="Book Antiqua" w:cs="Arial"/>
        </w:rPr>
        <w:t>addition</w:t>
      </w:r>
      <w:r w:rsidRPr="00FA42EA">
        <w:rPr>
          <w:rFonts w:ascii="Book Antiqua" w:hAnsi="Book Antiqua" w:cs="Arial"/>
        </w:rPr>
        <w:t xml:space="preserve"> to stating that her report was </w:t>
      </w:r>
      <w:r w:rsidR="006104DB" w:rsidRPr="00FA42EA">
        <w:rPr>
          <w:rFonts w:ascii="Book Antiqua" w:hAnsi="Book Antiqua" w:cs="Arial"/>
        </w:rPr>
        <w:t>thorough</w:t>
      </w:r>
      <w:r w:rsidRPr="00FA42EA">
        <w:rPr>
          <w:rFonts w:ascii="Book Antiqua" w:hAnsi="Book Antiqua" w:cs="Arial"/>
        </w:rPr>
        <w:t xml:space="preserve"> and fairly balanced</w:t>
      </w:r>
      <w:r w:rsidR="00BE0F51">
        <w:rPr>
          <w:rFonts w:ascii="Book Antiqua" w:hAnsi="Book Antiqua" w:cs="Arial"/>
        </w:rPr>
        <w:t>,</w:t>
      </w:r>
      <w:r w:rsidRPr="00FA42EA">
        <w:rPr>
          <w:rFonts w:ascii="Book Antiqua" w:hAnsi="Book Antiqua" w:cs="Arial"/>
        </w:rPr>
        <w:t xml:space="preserve"> stated that she accepted its conclusions.  In </w:t>
      </w:r>
      <w:r w:rsidR="006104DB" w:rsidRPr="00FA42EA">
        <w:rPr>
          <w:rFonts w:ascii="Book Antiqua" w:hAnsi="Book Antiqua" w:cs="Arial"/>
        </w:rPr>
        <w:t>addition</w:t>
      </w:r>
      <w:r w:rsidRPr="00FA42EA">
        <w:rPr>
          <w:rFonts w:ascii="Book Antiqua" w:hAnsi="Book Antiqua" w:cs="Arial"/>
        </w:rPr>
        <w:t xml:space="preserve">, the </w:t>
      </w:r>
      <w:proofErr w:type="spellStart"/>
      <w:r w:rsidRPr="00FA42EA">
        <w:rPr>
          <w:rFonts w:ascii="Book Antiqua" w:hAnsi="Book Antiqua" w:cs="Arial"/>
        </w:rPr>
        <w:t>FtJ</w:t>
      </w:r>
      <w:proofErr w:type="spellEnd"/>
      <w:r w:rsidRPr="00FA42EA">
        <w:rPr>
          <w:rFonts w:ascii="Book Antiqua" w:hAnsi="Book Antiqua" w:cs="Arial"/>
        </w:rPr>
        <w:t xml:space="preserve"> said at [12] that the “objective evidence” was not challenged and she accepted it.  </w:t>
      </w:r>
    </w:p>
    <w:p w:rsidR="00FF3611" w:rsidRPr="00FA42EA" w:rsidRDefault="006104DB"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Strictly</w:t>
      </w:r>
      <w:r w:rsidR="00FF3611" w:rsidRPr="00FA42EA">
        <w:rPr>
          <w:rFonts w:ascii="Book Antiqua" w:hAnsi="Book Antiqua" w:cs="Arial"/>
        </w:rPr>
        <w:t xml:space="preserve"> in terms of the </w:t>
      </w:r>
      <w:proofErr w:type="spellStart"/>
      <w:r w:rsidR="00FF3611" w:rsidRPr="00FA42EA">
        <w:rPr>
          <w:rFonts w:ascii="Book Antiqua" w:hAnsi="Book Antiqua" w:cs="Arial"/>
        </w:rPr>
        <w:t>FtJ’s</w:t>
      </w:r>
      <w:proofErr w:type="spellEnd"/>
      <w:r w:rsidR="00FF3611" w:rsidRPr="00FA42EA">
        <w:rPr>
          <w:rFonts w:ascii="Book Antiqua" w:hAnsi="Book Antiqua" w:cs="Arial"/>
        </w:rPr>
        <w:t xml:space="preserve"> acceptance of the conclusions of the report of </w:t>
      </w:r>
      <w:r w:rsidR="000545FA" w:rsidRPr="00FA42EA">
        <w:rPr>
          <w:rFonts w:ascii="Book Antiqua" w:hAnsi="Book Antiqua" w:cs="Arial"/>
        </w:rPr>
        <w:t xml:space="preserve">Ms </w:t>
      </w:r>
      <w:proofErr w:type="spellStart"/>
      <w:r w:rsidR="000545FA" w:rsidRPr="00FA42EA">
        <w:rPr>
          <w:rFonts w:ascii="Book Antiqua" w:hAnsi="Book Antiqua" w:cs="Arial"/>
        </w:rPr>
        <w:t>Kamundia</w:t>
      </w:r>
      <w:proofErr w:type="spellEnd"/>
      <w:r w:rsidR="00FF3611" w:rsidRPr="00FA42EA">
        <w:rPr>
          <w:rFonts w:ascii="Book Antiqua" w:hAnsi="Book Antiqua" w:cs="Arial"/>
        </w:rPr>
        <w:t xml:space="preserve">, and of the country background evidence, I do not consider that those should be the subject of preserved findings given that the expert report and the background evidence are so intimately connected with the reassessment of the </w:t>
      </w:r>
      <w:proofErr w:type="spellStart"/>
      <w:r w:rsidR="00FF3611" w:rsidRPr="00FA42EA">
        <w:rPr>
          <w:rFonts w:ascii="Book Antiqua" w:hAnsi="Book Antiqua" w:cs="Arial"/>
        </w:rPr>
        <w:t>FtJ’s</w:t>
      </w:r>
      <w:proofErr w:type="spellEnd"/>
      <w:r w:rsidR="00FF3611" w:rsidRPr="00FA42EA">
        <w:rPr>
          <w:rFonts w:ascii="Book Antiqua" w:hAnsi="Book Antiqua" w:cs="Arial"/>
        </w:rPr>
        <w:t xml:space="preserve"> decision to allow the appeal and the </w:t>
      </w:r>
      <w:r w:rsidRPr="00FA42EA">
        <w:rPr>
          <w:rFonts w:ascii="Book Antiqua" w:hAnsi="Book Antiqua" w:cs="Arial"/>
        </w:rPr>
        <w:t>error</w:t>
      </w:r>
      <w:r w:rsidR="00FF3611" w:rsidRPr="00FA42EA">
        <w:rPr>
          <w:rFonts w:ascii="Book Antiqua" w:hAnsi="Book Antiqua" w:cs="Arial"/>
        </w:rPr>
        <w:t xml:space="preserve"> of law to which I have referred.</w:t>
      </w:r>
    </w:p>
    <w:p w:rsidR="00FF3611" w:rsidRPr="00FA42EA" w:rsidRDefault="006104DB" w:rsidP="00FF3611">
      <w:pPr>
        <w:spacing w:before="240"/>
        <w:ind w:firstLine="567"/>
        <w:jc w:val="both"/>
        <w:rPr>
          <w:rFonts w:ascii="Book Antiqua" w:hAnsi="Book Antiqua" w:cs="Arial"/>
          <w:i/>
        </w:rPr>
      </w:pPr>
      <w:r w:rsidRPr="00FA42EA">
        <w:rPr>
          <w:rFonts w:ascii="Book Antiqua" w:hAnsi="Book Antiqua" w:cs="Arial"/>
          <w:i/>
        </w:rPr>
        <w:t>Assessment</w:t>
      </w:r>
      <w:r w:rsidR="00FF3611" w:rsidRPr="00FA42EA">
        <w:rPr>
          <w:rFonts w:ascii="Book Antiqua" w:hAnsi="Book Antiqua" w:cs="Arial"/>
          <w:i/>
        </w:rPr>
        <w:t xml:space="preserve"> and </w:t>
      </w:r>
      <w:r w:rsidR="006E5738">
        <w:rPr>
          <w:rFonts w:ascii="Book Antiqua" w:hAnsi="Book Antiqua" w:cs="Arial"/>
          <w:i/>
        </w:rPr>
        <w:t>C</w:t>
      </w:r>
      <w:r w:rsidR="00FF3611" w:rsidRPr="00FA42EA">
        <w:rPr>
          <w:rFonts w:ascii="Book Antiqua" w:hAnsi="Book Antiqua" w:cs="Arial"/>
          <w:i/>
        </w:rPr>
        <w:t>onclusions</w:t>
      </w:r>
    </w:p>
    <w:p w:rsidR="00FF3611" w:rsidRPr="00FA42EA" w:rsidRDefault="00FF3611"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In relation to the incidents</w:t>
      </w:r>
      <w:r w:rsidR="006E5738">
        <w:rPr>
          <w:rFonts w:ascii="Book Antiqua" w:hAnsi="Book Antiqua" w:cs="Arial"/>
        </w:rPr>
        <w:t xml:space="preserve"> </w:t>
      </w:r>
      <w:r w:rsidR="004852B0" w:rsidRPr="00FA42EA">
        <w:rPr>
          <w:rFonts w:ascii="Book Antiqua" w:hAnsi="Book Antiqua" w:cs="Arial"/>
        </w:rPr>
        <w:t xml:space="preserve">that the appellant had </w:t>
      </w:r>
      <w:r w:rsidR="006104DB" w:rsidRPr="00FA42EA">
        <w:rPr>
          <w:rFonts w:ascii="Book Antiqua" w:hAnsi="Book Antiqua" w:cs="Arial"/>
        </w:rPr>
        <w:t>suffered</w:t>
      </w:r>
      <w:r w:rsidR="004852B0" w:rsidRPr="00FA42EA">
        <w:rPr>
          <w:rFonts w:ascii="Book Antiqua" w:hAnsi="Book Antiqua" w:cs="Arial"/>
        </w:rPr>
        <w:t>, the skeleton argument that was before me provides supplementary or additional information in relation to events that ha</w:t>
      </w:r>
      <w:r w:rsidR="006E5738">
        <w:rPr>
          <w:rFonts w:ascii="Book Antiqua" w:hAnsi="Book Antiqua" w:cs="Arial"/>
        </w:rPr>
        <w:t>d</w:t>
      </w:r>
      <w:r w:rsidR="004852B0" w:rsidRPr="00FA42EA">
        <w:rPr>
          <w:rFonts w:ascii="Book Antiqua" w:hAnsi="Book Antiqua" w:cs="Arial"/>
        </w:rPr>
        <w:t xml:space="preserve"> befallen the appellant.  I have considered the sources referred to and would add to the findings made by the </w:t>
      </w:r>
      <w:proofErr w:type="spellStart"/>
      <w:r w:rsidR="004852B0" w:rsidRPr="00FA42EA">
        <w:rPr>
          <w:rFonts w:ascii="Book Antiqua" w:hAnsi="Book Antiqua" w:cs="Arial"/>
        </w:rPr>
        <w:t>FtJ</w:t>
      </w:r>
      <w:proofErr w:type="spellEnd"/>
      <w:r w:rsidR="004852B0" w:rsidRPr="00FA42EA">
        <w:rPr>
          <w:rFonts w:ascii="Book Antiqua" w:hAnsi="Book Antiqua" w:cs="Arial"/>
        </w:rPr>
        <w:t xml:space="preserve"> </w:t>
      </w:r>
      <w:r w:rsidR="006E5738">
        <w:rPr>
          <w:rFonts w:ascii="Book Antiqua" w:hAnsi="Book Antiqua" w:cs="Arial"/>
        </w:rPr>
        <w:t xml:space="preserve">the </w:t>
      </w:r>
      <w:r w:rsidR="004852B0" w:rsidRPr="00FA42EA">
        <w:rPr>
          <w:rFonts w:ascii="Book Antiqua" w:hAnsi="Book Antiqua" w:cs="Arial"/>
        </w:rPr>
        <w:t xml:space="preserve">following additional findings.  In relation to the attempted rape when the appellant was 14 years old, </w:t>
      </w:r>
      <w:r w:rsidR="00DF074C" w:rsidRPr="00FA42EA">
        <w:rPr>
          <w:rFonts w:ascii="Book Antiqua" w:hAnsi="Book Antiqua" w:cs="Arial"/>
        </w:rPr>
        <w:t xml:space="preserve">two women who heard the appellant screaming came to her rescue.  The man ran away and the two women who had saved her helped her to get up and took her home.  </w:t>
      </w:r>
    </w:p>
    <w:p w:rsidR="00DF074C" w:rsidRPr="00FA42EA" w:rsidRDefault="00DF074C"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As regards the incident when the appellant was getting off the bus in 1996, the driver of the bus heard the appellant ask him to wait so that she </w:t>
      </w:r>
      <w:r w:rsidR="006104DB" w:rsidRPr="00FA42EA">
        <w:rPr>
          <w:rFonts w:ascii="Book Antiqua" w:hAnsi="Book Antiqua" w:cs="Arial"/>
        </w:rPr>
        <w:t>could</w:t>
      </w:r>
      <w:r w:rsidRPr="00FA42EA">
        <w:rPr>
          <w:rFonts w:ascii="Book Antiqua" w:hAnsi="Book Antiqua" w:cs="Arial"/>
        </w:rPr>
        <w:t xml:space="preserve"> descend the steps to the street.  He agreed to wait but then accelerated when she was stepping on to the first </w:t>
      </w:r>
      <w:r w:rsidR="006104DB" w:rsidRPr="00FA42EA">
        <w:rPr>
          <w:rFonts w:ascii="Book Antiqua" w:hAnsi="Book Antiqua" w:cs="Arial"/>
        </w:rPr>
        <w:t>step</w:t>
      </w:r>
      <w:r w:rsidRPr="00FA42EA">
        <w:rPr>
          <w:rFonts w:ascii="Book Antiqua" w:hAnsi="Book Antiqua" w:cs="Arial"/>
        </w:rPr>
        <w:t xml:space="preserve">.  The appellant’s belief was that he did this deliberately to show his impatience </w:t>
      </w:r>
      <w:r w:rsidR="005136E5" w:rsidRPr="00FA42EA">
        <w:rPr>
          <w:rFonts w:ascii="Book Antiqua" w:hAnsi="Book Antiqua" w:cs="Arial"/>
        </w:rPr>
        <w:t xml:space="preserve">and that she was wasting his time by getting off the bus too slowly.  The appellant found </w:t>
      </w:r>
      <w:r w:rsidR="006E5738">
        <w:rPr>
          <w:rFonts w:ascii="Book Antiqua" w:hAnsi="Book Antiqua" w:cs="Arial"/>
        </w:rPr>
        <w:t>the incident</w:t>
      </w:r>
      <w:r w:rsidR="005136E5" w:rsidRPr="00FA42EA">
        <w:rPr>
          <w:rFonts w:ascii="Book Antiqua" w:hAnsi="Book Antiqua" w:cs="Arial"/>
        </w:rPr>
        <w:t xml:space="preserve"> a humiliating experience because she was unable to get herself back up after having fallen.  Some other passengers on the bus tried to lift her up but they did not know the safe techniques for lifting disabled people and as a result she wa</w:t>
      </w:r>
      <w:r w:rsidR="000545FA" w:rsidRPr="00FA42EA">
        <w:rPr>
          <w:rFonts w:ascii="Book Antiqua" w:hAnsi="Book Antiqua" w:cs="Arial"/>
        </w:rPr>
        <w:t xml:space="preserve">s pulled “all over the place” by her arms and legs.  She was badly manhandled, which was </w:t>
      </w:r>
      <w:r w:rsidR="006104DB" w:rsidRPr="00FA42EA">
        <w:rPr>
          <w:rFonts w:ascii="Book Antiqua" w:hAnsi="Book Antiqua" w:cs="Arial"/>
        </w:rPr>
        <w:t>painful</w:t>
      </w:r>
      <w:r w:rsidR="000545FA" w:rsidRPr="00FA42EA">
        <w:rPr>
          <w:rFonts w:ascii="Book Antiqua" w:hAnsi="Book Antiqua" w:cs="Arial"/>
        </w:rPr>
        <w:t xml:space="preserve"> and humiliating.  She did not dare to use public </w:t>
      </w:r>
      <w:r w:rsidR="006104DB" w:rsidRPr="00FA42EA">
        <w:rPr>
          <w:rFonts w:ascii="Book Antiqua" w:hAnsi="Book Antiqua" w:cs="Arial"/>
        </w:rPr>
        <w:t>transport</w:t>
      </w:r>
      <w:r w:rsidR="000545FA" w:rsidRPr="00FA42EA">
        <w:rPr>
          <w:rFonts w:ascii="Book Antiqua" w:hAnsi="Book Antiqua" w:cs="Arial"/>
        </w:rPr>
        <w:t xml:space="preserve"> again after that.  </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w:t>
      </w:r>
      <w:r w:rsidR="006104DB" w:rsidRPr="00FA42EA">
        <w:rPr>
          <w:rFonts w:ascii="Book Antiqua" w:hAnsi="Book Antiqua" w:cs="Arial"/>
        </w:rPr>
        <w:t>addition</w:t>
      </w:r>
      <w:r w:rsidRPr="00FA42EA">
        <w:rPr>
          <w:rFonts w:ascii="Book Antiqua" w:hAnsi="Book Antiqua" w:cs="Arial"/>
        </w:rPr>
        <w:t xml:space="preserve"> to the incidents referred to in the asylum interview, there have been other examples of incidents when the appellant fell and needed help and when people laughed at her.  </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When she was 16 or 17 years of age, crossing a railway line on her way to school</w:t>
      </w:r>
      <w:r w:rsidR="006E5738">
        <w:rPr>
          <w:rFonts w:ascii="Book Antiqua" w:hAnsi="Book Antiqua" w:cs="Arial"/>
        </w:rPr>
        <w:t>,</w:t>
      </w:r>
      <w:r w:rsidRPr="00FA42EA">
        <w:rPr>
          <w:rFonts w:ascii="Book Antiqua" w:hAnsi="Book Antiqua" w:cs="Arial"/>
        </w:rPr>
        <w:t xml:space="preserve"> she fell on the railway line and could not get up again by herself.  Where she fell was similar to a train station, although not a proper station.  It was a place where people would wait to catch the train.  People saw her fall but did not come over to help her </w:t>
      </w:r>
      <w:r w:rsidRPr="00FA42EA">
        <w:rPr>
          <w:rFonts w:ascii="Book Antiqua" w:hAnsi="Book Antiqua" w:cs="Arial"/>
        </w:rPr>
        <w:lastRenderedPageBreak/>
        <w:t xml:space="preserve">but </w:t>
      </w:r>
      <w:r w:rsidR="006104DB" w:rsidRPr="00FA42EA">
        <w:rPr>
          <w:rFonts w:ascii="Book Antiqua" w:hAnsi="Book Antiqua" w:cs="Arial"/>
        </w:rPr>
        <w:t>instead</w:t>
      </w:r>
      <w:r w:rsidRPr="00FA42EA">
        <w:rPr>
          <w:rFonts w:ascii="Book Antiqua" w:hAnsi="Book Antiqua" w:cs="Arial"/>
        </w:rPr>
        <w:t xml:space="preserve"> laughed at her and called her names.  Her school friends helped her up.  The appellant had been openly mocked and ridiculed by adults.  </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On another occasion, in 2010, she fell down in church and </w:t>
      </w:r>
      <w:r w:rsidR="006104DB" w:rsidRPr="00FA42EA">
        <w:rPr>
          <w:rFonts w:ascii="Book Antiqua" w:hAnsi="Book Antiqua" w:cs="Arial"/>
        </w:rPr>
        <w:t>could</w:t>
      </w:r>
      <w:r w:rsidRPr="00FA42EA">
        <w:rPr>
          <w:rFonts w:ascii="Book Antiqua" w:hAnsi="Book Antiqua" w:cs="Arial"/>
        </w:rPr>
        <w:t xml:space="preserve"> not get up.  She was lying on the floor in the church waiting for someone to help her.  </w:t>
      </w:r>
      <w:r w:rsidR="006104DB" w:rsidRPr="00FA42EA">
        <w:rPr>
          <w:rFonts w:ascii="Book Antiqua" w:hAnsi="Book Antiqua" w:cs="Arial"/>
        </w:rPr>
        <w:t>People</w:t>
      </w:r>
      <w:r w:rsidRPr="00FA42EA">
        <w:rPr>
          <w:rFonts w:ascii="Book Antiqua" w:hAnsi="Book Antiqua" w:cs="Arial"/>
        </w:rPr>
        <w:t xml:space="preserve"> in the congregation started laughing at her when they saw that she could not get up off the floor.  She </w:t>
      </w:r>
      <w:r w:rsidR="006104DB" w:rsidRPr="00FA42EA">
        <w:rPr>
          <w:rFonts w:ascii="Book Antiqua" w:hAnsi="Book Antiqua" w:cs="Arial"/>
        </w:rPr>
        <w:t>started</w:t>
      </w:r>
      <w:r w:rsidRPr="00FA42EA">
        <w:rPr>
          <w:rFonts w:ascii="Book Antiqua" w:hAnsi="Book Antiqua" w:cs="Arial"/>
        </w:rPr>
        <w:t xml:space="preserve"> to cry and</w:t>
      </w:r>
      <w:r w:rsidR="006E5738">
        <w:rPr>
          <w:rFonts w:ascii="Book Antiqua" w:hAnsi="Book Antiqua" w:cs="Arial"/>
        </w:rPr>
        <w:t xml:space="preserve"> asked</w:t>
      </w:r>
      <w:r w:rsidRPr="00FA42EA">
        <w:rPr>
          <w:rFonts w:ascii="Book Antiqua" w:hAnsi="Book Antiqua" w:cs="Arial"/>
        </w:rPr>
        <w:t xml:space="preserve"> for help but only a few people came forward to help her off the floor.  The rest of the people continued to stand there and laugh at her.  </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The appellant’s account of the incidents to which the </w:t>
      </w:r>
      <w:proofErr w:type="spellStart"/>
      <w:r w:rsidRPr="00FA42EA">
        <w:rPr>
          <w:rFonts w:ascii="Book Antiqua" w:hAnsi="Book Antiqua" w:cs="Arial"/>
        </w:rPr>
        <w:t>FtJ</w:t>
      </w:r>
      <w:proofErr w:type="spellEnd"/>
      <w:r w:rsidRPr="00FA42EA">
        <w:rPr>
          <w:rFonts w:ascii="Book Antiqua" w:hAnsi="Book Antiqua" w:cs="Arial"/>
        </w:rPr>
        <w:t xml:space="preserve"> referred was found by </w:t>
      </w:r>
      <w:r w:rsidR="0014612D">
        <w:rPr>
          <w:rFonts w:ascii="Book Antiqua" w:hAnsi="Book Antiqua" w:cs="Arial"/>
        </w:rPr>
        <w:t xml:space="preserve">her </w:t>
      </w:r>
      <w:r w:rsidRPr="00FA42EA">
        <w:rPr>
          <w:rFonts w:ascii="Book Antiqua" w:hAnsi="Book Antiqua" w:cs="Arial"/>
        </w:rPr>
        <w:t xml:space="preserve">to be credible.  No submissions were made before me in terms of any adverse assessment of the appellant’s credibility.  Accordingly, I too accept that the appellant has given a credible account of those incidents.  </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Ms </w:t>
      </w:r>
      <w:proofErr w:type="spellStart"/>
      <w:r w:rsidRPr="00FA42EA">
        <w:rPr>
          <w:rFonts w:ascii="Book Antiqua" w:hAnsi="Book Antiqua" w:cs="Arial"/>
        </w:rPr>
        <w:t>Kamundia’s</w:t>
      </w:r>
      <w:proofErr w:type="spellEnd"/>
      <w:r w:rsidRPr="00FA42EA">
        <w:rPr>
          <w:rFonts w:ascii="Book Antiqua" w:hAnsi="Book Antiqua" w:cs="Arial"/>
        </w:rPr>
        <w:t xml:space="preserve"> expertise and experience has not been questioned.  Her experience and qualifications are set out at Appendix 1 of her report.  I accept that she is qualified to give an expert opinion on the appellant’s situation on return to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Her conclusions are summarised at section 5 of her report.  Those conclusions which I </w:t>
      </w:r>
      <w:r w:rsidR="006104DB" w:rsidRPr="00FA42EA">
        <w:rPr>
          <w:rFonts w:ascii="Book Antiqua" w:hAnsi="Book Antiqua" w:cs="Arial"/>
        </w:rPr>
        <w:t>accept</w:t>
      </w:r>
      <w:r w:rsidRPr="00FA42EA">
        <w:rPr>
          <w:rFonts w:ascii="Book Antiqua" w:hAnsi="Book Antiqua" w:cs="Arial"/>
        </w:rPr>
        <w:t xml:space="preserve"> without further analysis are as follows.  There is no accessible housing available in Umoja </w:t>
      </w:r>
      <w:proofErr w:type="spellStart"/>
      <w:r w:rsidRPr="00FA42EA">
        <w:rPr>
          <w:rFonts w:ascii="Book Antiqua" w:hAnsi="Book Antiqua" w:cs="Arial"/>
        </w:rPr>
        <w:t>Innercore</w:t>
      </w:r>
      <w:proofErr w:type="spellEnd"/>
      <w:r w:rsidRPr="00FA42EA">
        <w:rPr>
          <w:rFonts w:ascii="Book Antiqua" w:hAnsi="Book Antiqua" w:cs="Arial"/>
        </w:rPr>
        <w:t xml:space="preserve">, the area where the appellant and her husband lived whilst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There is no </w:t>
      </w:r>
      <w:r w:rsidR="006104DB" w:rsidRPr="00FA42EA">
        <w:rPr>
          <w:rFonts w:ascii="Book Antiqua" w:hAnsi="Book Antiqua" w:cs="Arial"/>
        </w:rPr>
        <w:t>provision</w:t>
      </w:r>
      <w:r w:rsidRPr="00FA42EA">
        <w:rPr>
          <w:rFonts w:ascii="Book Antiqua" w:hAnsi="Book Antiqua" w:cs="Arial"/>
        </w:rPr>
        <w:t xml:space="preserve"> of state-funded home carer and/or assisted living services in Kenya.  </w:t>
      </w:r>
      <w:r w:rsidR="006104DB" w:rsidRPr="00FA42EA">
        <w:rPr>
          <w:rFonts w:ascii="Book Antiqua" w:hAnsi="Book Antiqua" w:cs="Arial"/>
        </w:rPr>
        <w:t>Further</w:t>
      </w:r>
      <w:r w:rsidRPr="00FA42EA">
        <w:rPr>
          <w:rFonts w:ascii="Book Antiqua" w:hAnsi="Book Antiqua" w:cs="Arial"/>
        </w:rPr>
        <w:t xml:space="preserve">, for the most part public transport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is inaccessible.  In rural areas the terrain is for the most part rugged and uneven making it difficult for individuals who use wheelchairs to move from place to place.  In </w:t>
      </w:r>
      <w:r w:rsidR="006104DB" w:rsidRPr="00FA42EA">
        <w:rPr>
          <w:rFonts w:ascii="Book Antiqua" w:hAnsi="Book Antiqua" w:cs="Arial"/>
        </w:rPr>
        <w:t>addition</w:t>
      </w:r>
      <w:r w:rsidRPr="00FA42EA">
        <w:rPr>
          <w:rFonts w:ascii="Book Antiqua" w:hAnsi="Book Antiqua" w:cs="Arial"/>
        </w:rPr>
        <w:t xml:space="preserve">, there are limited pedestrian-friendly walkways in </w:t>
      </w:r>
      <w:smartTag w:uri="urn:schemas-microsoft-com:office:smarttags" w:element="City">
        <w:smartTag w:uri="urn:schemas-microsoft-com:office:smarttags" w:element="place">
          <w:r w:rsidRPr="00FA42EA">
            <w:rPr>
              <w:rFonts w:ascii="Book Antiqua" w:hAnsi="Book Antiqua" w:cs="Arial"/>
            </w:rPr>
            <w:t>Nairobi</w:t>
          </w:r>
        </w:smartTag>
      </w:smartTag>
      <w:r w:rsidRPr="00FA42EA">
        <w:rPr>
          <w:rFonts w:ascii="Book Antiqua" w:hAnsi="Book Antiqua" w:cs="Arial"/>
        </w:rPr>
        <w:t xml:space="preserve"> generally, and in Umoja </w:t>
      </w:r>
      <w:proofErr w:type="spellStart"/>
      <w:r w:rsidRPr="00FA42EA">
        <w:rPr>
          <w:rFonts w:ascii="Book Antiqua" w:hAnsi="Book Antiqua" w:cs="Arial"/>
        </w:rPr>
        <w:t>Innercore</w:t>
      </w:r>
      <w:proofErr w:type="spellEnd"/>
      <w:r w:rsidRPr="00FA42EA">
        <w:rPr>
          <w:rFonts w:ascii="Book Antiqua" w:hAnsi="Book Antiqua" w:cs="Arial"/>
        </w:rPr>
        <w:t xml:space="preserve"> in particular, let alone disability </w:t>
      </w:r>
      <w:r w:rsidR="006104DB" w:rsidRPr="00FA42EA">
        <w:rPr>
          <w:rFonts w:ascii="Book Antiqua" w:hAnsi="Book Antiqua" w:cs="Arial"/>
        </w:rPr>
        <w:t>accessible</w:t>
      </w:r>
      <w:r w:rsidRPr="00FA42EA">
        <w:rPr>
          <w:rFonts w:ascii="Book Antiqua" w:hAnsi="Book Antiqua" w:cs="Arial"/>
        </w:rPr>
        <w:t xml:space="preserve"> ones.  The amount charged by private accessible vehicles is out of reach for a person who is not well-off.  </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So far as suitable medical care is concerned, the report </w:t>
      </w:r>
      <w:r w:rsidR="006104DB" w:rsidRPr="00FA42EA">
        <w:rPr>
          <w:rFonts w:ascii="Book Antiqua" w:hAnsi="Book Antiqua" w:cs="Arial"/>
        </w:rPr>
        <w:t>concludes</w:t>
      </w:r>
      <w:r w:rsidRPr="00FA42EA">
        <w:rPr>
          <w:rFonts w:ascii="Book Antiqua" w:hAnsi="Book Antiqua" w:cs="Arial"/>
        </w:rPr>
        <w:t xml:space="preserve">, and I accept, </w:t>
      </w:r>
      <w:r w:rsidR="006104DB" w:rsidRPr="00FA42EA">
        <w:rPr>
          <w:rFonts w:ascii="Book Antiqua" w:hAnsi="Book Antiqua" w:cs="Arial"/>
        </w:rPr>
        <w:t>that</w:t>
      </w:r>
      <w:r w:rsidRPr="00FA42EA">
        <w:rPr>
          <w:rFonts w:ascii="Book Antiqua" w:hAnsi="Book Antiqua" w:cs="Arial"/>
        </w:rPr>
        <w:t xml:space="preserve"> the appellant would not be able to access care “of a similar standard” in Kenya.  She would experience significant barriers in accessing healthcare in Kenya</w:t>
      </w:r>
      <w:r w:rsidR="0014612D">
        <w:rPr>
          <w:rFonts w:ascii="Book Antiqua" w:hAnsi="Book Antiqua" w:cs="Arial"/>
        </w:rPr>
        <w:t>,</w:t>
      </w:r>
      <w:r w:rsidRPr="00FA42EA">
        <w:rPr>
          <w:rFonts w:ascii="Book Antiqua" w:hAnsi="Book Antiqua" w:cs="Arial"/>
        </w:rPr>
        <w:t xml:space="preserve"> such as high costs, physical barriers, long distance to health facilities in the light of inaccessible transport and negative attitudes of health staff and lack of family support.</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 also accept the conclusion of the report that persons with </w:t>
      </w:r>
      <w:r w:rsidR="006104DB" w:rsidRPr="00FA42EA">
        <w:rPr>
          <w:rFonts w:ascii="Book Antiqua" w:hAnsi="Book Antiqua" w:cs="Arial"/>
        </w:rPr>
        <w:t>disabilities</w:t>
      </w:r>
      <w:r w:rsidRPr="00FA42EA">
        <w:rPr>
          <w:rFonts w:ascii="Book Antiqua" w:hAnsi="Book Antiqua" w:cs="Arial"/>
        </w:rPr>
        <w:t xml:space="preserve"> face discriminatory attitudes and treatment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and that such attitudes are especially worse in relation to pregnant, disabled women.  </w:t>
      </w:r>
      <w:r w:rsidR="006104DB" w:rsidRPr="00FA42EA">
        <w:rPr>
          <w:rFonts w:ascii="Book Antiqua" w:hAnsi="Book Antiqua" w:cs="Arial"/>
        </w:rPr>
        <w:t>Although</w:t>
      </w:r>
      <w:r w:rsidRPr="00FA42EA">
        <w:rPr>
          <w:rFonts w:ascii="Book Antiqua" w:hAnsi="Book Antiqua" w:cs="Arial"/>
        </w:rPr>
        <w:t xml:space="preserve">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has robust anti-discrimination legislation, the same is not enforced by the state.</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Lastly in terms of the report by Ms </w:t>
      </w:r>
      <w:proofErr w:type="spellStart"/>
      <w:r w:rsidRPr="00FA42EA">
        <w:rPr>
          <w:rFonts w:ascii="Book Antiqua" w:hAnsi="Book Antiqua" w:cs="Arial"/>
        </w:rPr>
        <w:t>Kamundia</w:t>
      </w:r>
      <w:proofErr w:type="spellEnd"/>
      <w:r w:rsidRPr="00FA42EA">
        <w:rPr>
          <w:rFonts w:ascii="Book Antiqua" w:hAnsi="Book Antiqua" w:cs="Arial"/>
        </w:rPr>
        <w:t>, I accept her conclusion that specialist ant</w:t>
      </w:r>
      <w:r w:rsidR="005D60D0">
        <w:rPr>
          <w:rFonts w:ascii="Book Antiqua" w:hAnsi="Book Antiqua" w:cs="Arial"/>
        </w:rPr>
        <w:t>e</w:t>
      </w:r>
      <w:r w:rsidRPr="00FA42EA">
        <w:rPr>
          <w:rFonts w:ascii="Book Antiqua" w:hAnsi="Book Antiqua" w:cs="Arial"/>
        </w:rPr>
        <w:t xml:space="preserve">-natal care and maternity services for disabled women is extremely limited, </w:t>
      </w:r>
      <w:r w:rsidR="006104DB" w:rsidRPr="00FA42EA">
        <w:rPr>
          <w:rFonts w:ascii="Book Antiqua" w:hAnsi="Book Antiqua" w:cs="Arial"/>
        </w:rPr>
        <w:t>particularly</w:t>
      </w:r>
      <w:r w:rsidRPr="00FA42EA">
        <w:rPr>
          <w:rFonts w:ascii="Book Antiqua" w:hAnsi="Book Antiqua" w:cs="Arial"/>
        </w:rPr>
        <w:t xml:space="preserve"> in public </w:t>
      </w:r>
      <w:r w:rsidR="006104DB" w:rsidRPr="00FA42EA">
        <w:rPr>
          <w:rFonts w:ascii="Book Antiqua" w:hAnsi="Book Antiqua" w:cs="Arial"/>
        </w:rPr>
        <w:t>hospitals</w:t>
      </w:r>
      <w:r w:rsidRPr="00FA42EA">
        <w:rPr>
          <w:rFonts w:ascii="Book Antiqua" w:hAnsi="Book Antiqua" w:cs="Arial"/>
        </w:rPr>
        <w:t xml:space="preserve">.  Those services are mainly available to privately paying patients.  There is limited state-funded benefits for </w:t>
      </w:r>
      <w:r w:rsidR="006104DB" w:rsidRPr="00FA42EA">
        <w:rPr>
          <w:rFonts w:ascii="Book Antiqua" w:hAnsi="Book Antiqua" w:cs="Arial"/>
        </w:rPr>
        <w:t>people</w:t>
      </w:r>
      <w:r w:rsidRPr="00FA42EA">
        <w:rPr>
          <w:rFonts w:ascii="Book Antiqua" w:hAnsi="Book Antiqua" w:cs="Arial"/>
        </w:rPr>
        <w:t xml:space="preserve"> with disabilities who are unable to work.  </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In my error of law decision at [41] I quoted Article 9 of the Qualification Directive as to the </w:t>
      </w:r>
      <w:r w:rsidR="006104DB" w:rsidRPr="00FA42EA">
        <w:rPr>
          <w:rFonts w:ascii="Book Antiqua" w:hAnsi="Book Antiqua" w:cs="Arial"/>
        </w:rPr>
        <w:t>meaning</w:t>
      </w:r>
      <w:r w:rsidRPr="00FA42EA">
        <w:rPr>
          <w:rFonts w:ascii="Book Antiqua" w:hAnsi="Book Antiqua" w:cs="Arial"/>
        </w:rPr>
        <w:t xml:space="preserve"> of acts of persecution. </w:t>
      </w:r>
      <w:r w:rsidR="0013064B">
        <w:rPr>
          <w:rFonts w:ascii="Book Antiqua" w:hAnsi="Book Antiqua" w:cs="Arial"/>
        </w:rPr>
        <w:t>What is described</w:t>
      </w:r>
      <w:r w:rsidR="0013064B" w:rsidRPr="00FA42EA">
        <w:rPr>
          <w:rFonts w:ascii="Book Antiqua" w:hAnsi="Book Antiqua" w:cs="Arial"/>
        </w:rPr>
        <w:t xml:space="preserve"> in Article 9 of the ways in </w:t>
      </w:r>
      <w:r w:rsidR="0013064B" w:rsidRPr="00FA42EA">
        <w:rPr>
          <w:rFonts w:ascii="Book Antiqua" w:hAnsi="Book Antiqua" w:cs="Arial"/>
        </w:rPr>
        <w:lastRenderedPageBreak/>
        <w:t xml:space="preserve">which persecution may take place is not an exhaustive list but is illustrative. </w:t>
      </w:r>
      <w:r w:rsidRPr="00FA42EA">
        <w:rPr>
          <w:rFonts w:ascii="Book Antiqua" w:hAnsi="Book Antiqua" w:cs="Arial"/>
        </w:rPr>
        <w:t xml:space="preserve"> It is uncontested but </w:t>
      </w:r>
      <w:r w:rsidR="006104DB" w:rsidRPr="00FA42EA">
        <w:rPr>
          <w:rFonts w:ascii="Book Antiqua" w:hAnsi="Book Antiqua" w:cs="Arial"/>
        </w:rPr>
        <w:t>that</w:t>
      </w:r>
      <w:r w:rsidRPr="00FA42EA">
        <w:rPr>
          <w:rFonts w:ascii="Book Antiqua" w:hAnsi="Book Antiqua" w:cs="Arial"/>
        </w:rPr>
        <w:t xml:space="preserve"> the appellant is a member of a particular social group.  The appellant’s skeleton argument </w:t>
      </w:r>
      <w:r w:rsidR="006104DB" w:rsidRPr="00FA42EA">
        <w:rPr>
          <w:rFonts w:ascii="Book Antiqua" w:hAnsi="Book Antiqua" w:cs="Arial"/>
        </w:rPr>
        <w:t>identifies</w:t>
      </w:r>
      <w:r w:rsidRPr="00FA42EA">
        <w:rPr>
          <w:rFonts w:ascii="Book Antiqua" w:hAnsi="Book Antiqua" w:cs="Arial"/>
        </w:rPr>
        <w:t xml:space="preserve"> the social </w:t>
      </w:r>
      <w:r w:rsidR="006104DB" w:rsidRPr="00FA42EA">
        <w:rPr>
          <w:rFonts w:ascii="Book Antiqua" w:hAnsi="Book Antiqua" w:cs="Arial"/>
        </w:rPr>
        <w:t>group</w:t>
      </w:r>
      <w:r w:rsidRPr="00FA42EA">
        <w:rPr>
          <w:rFonts w:ascii="Book Antiqua" w:hAnsi="Book Antiqua" w:cs="Arial"/>
        </w:rPr>
        <w:t xml:space="preserve"> as disabled persons or disabled women.  It seems to me that the appellant is a member of a particular social group for either or both of those reasons.  </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It is also</w:t>
      </w:r>
      <w:r w:rsidR="0013064B">
        <w:rPr>
          <w:rFonts w:ascii="Book Antiqua" w:hAnsi="Book Antiqua" w:cs="Arial"/>
        </w:rPr>
        <w:t xml:space="preserve"> as</w:t>
      </w:r>
      <w:r w:rsidRPr="00FA42EA">
        <w:rPr>
          <w:rFonts w:ascii="Book Antiqua" w:hAnsi="Book Antiqua" w:cs="Arial"/>
        </w:rPr>
        <w:t xml:space="preserve"> well to reiterate that past persecution is relevant to the risk of future persecution.  </w:t>
      </w:r>
    </w:p>
    <w:p w:rsidR="000545FA" w:rsidRPr="00FA42EA" w:rsidRDefault="000545FA" w:rsidP="00244044">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 agree with what is advanced on behalf of the appellant in terms of the need for an assessment of the reasons for any persecution.  So much was explained in </w:t>
      </w:r>
      <w:proofErr w:type="spellStart"/>
      <w:r w:rsidRPr="00FA42EA">
        <w:rPr>
          <w:rFonts w:ascii="Book Antiqua" w:hAnsi="Book Antiqua" w:cs="Arial"/>
          <w:i/>
        </w:rPr>
        <w:t>Sepet</w:t>
      </w:r>
      <w:proofErr w:type="spellEnd"/>
      <w:r w:rsidRPr="00FA42EA">
        <w:rPr>
          <w:rFonts w:ascii="Book Antiqua" w:hAnsi="Book Antiqua" w:cs="Arial"/>
        </w:rPr>
        <w:t xml:space="preserve"> at [22] as suggested in the appellant’s submissions.  In </w:t>
      </w:r>
      <w:r w:rsidR="00637CAD" w:rsidRPr="00637CAD">
        <w:rPr>
          <w:rFonts w:ascii="Book Antiqua" w:hAnsi="Book Antiqua" w:cs="Arial"/>
          <w:i/>
        </w:rPr>
        <w:t xml:space="preserve">R. v The Immigration Appeal Tribunal &amp; Anor ex p. </w:t>
      </w:r>
      <w:proofErr w:type="spellStart"/>
      <w:r w:rsidR="00637CAD" w:rsidRPr="00637CAD">
        <w:rPr>
          <w:rFonts w:ascii="Book Antiqua" w:hAnsi="Book Antiqua" w:cs="Arial"/>
          <w:i/>
        </w:rPr>
        <w:t>Rajendrakumar</w:t>
      </w:r>
      <w:proofErr w:type="spellEnd"/>
      <w:r w:rsidR="00637CAD" w:rsidRPr="00637CAD">
        <w:rPr>
          <w:rFonts w:ascii="Book Antiqua" w:hAnsi="Book Antiqua" w:cs="Arial"/>
        </w:rPr>
        <w:t xml:space="preserve"> [1995] EWCA </w:t>
      </w:r>
      <w:proofErr w:type="spellStart"/>
      <w:r w:rsidR="00637CAD" w:rsidRPr="00637CAD">
        <w:rPr>
          <w:rFonts w:ascii="Book Antiqua" w:hAnsi="Book Antiqua" w:cs="Arial"/>
        </w:rPr>
        <w:t>Civ</w:t>
      </w:r>
      <w:proofErr w:type="spellEnd"/>
      <w:r w:rsidR="00637CAD" w:rsidRPr="00637CAD">
        <w:rPr>
          <w:rFonts w:ascii="Book Antiqua" w:hAnsi="Book Antiqua" w:cs="Arial"/>
        </w:rPr>
        <w:t xml:space="preserve"> 16</w:t>
      </w:r>
      <w:r w:rsidR="00ED28AE">
        <w:rPr>
          <w:rFonts w:ascii="Book Antiqua" w:hAnsi="Book Antiqua" w:cs="Arial"/>
        </w:rPr>
        <w:t xml:space="preserve"> i</w:t>
      </w:r>
      <w:r w:rsidRPr="00FA42EA">
        <w:rPr>
          <w:rFonts w:ascii="Book Antiqua" w:hAnsi="Book Antiqua" w:cs="Arial"/>
        </w:rPr>
        <w:t xml:space="preserve">t was concluded </w:t>
      </w:r>
      <w:r w:rsidR="006104DB" w:rsidRPr="00FA42EA">
        <w:rPr>
          <w:rFonts w:ascii="Book Antiqua" w:hAnsi="Book Antiqua" w:cs="Arial"/>
        </w:rPr>
        <w:t>that</w:t>
      </w:r>
      <w:r w:rsidRPr="00FA42EA">
        <w:rPr>
          <w:rFonts w:ascii="Book Antiqua" w:hAnsi="Book Antiqua" w:cs="Arial"/>
        </w:rPr>
        <w:t xml:space="preserve"> the issue of whether a person or a group of </w:t>
      </w:r>
      <w:r w:rsidR="006104DB" w:rsidRPr="00FA42EA">
        <w:rPr>
          <w:rFonts w:ascii="Book Antiqua" w:hAnsi="Book Antiqua" w:cs="Arial"/>
        </w:rPr>
        <w:t>people</w:t>
      </w:r>
      <w:r w:rsidRPr="00FA42EA">
        <w:rPr>
          <w:rFonts w:ascii="Book Antiqua" w:hAnsi="Book Antiqua" w:cs="Arial"/>
        </w:rPr>
        <w:t xml:space="preserve"> have a well-founded fear of being persecuted “raises a single composite question”.  The question </w:t>
      </w:r>
      <w:r w:rsidR="006104DB" w:rsidRPr="00FA42EA">
        <w:rPr>
          <w:rFonts w:ascii="Book Antiqua" w:hAnsi="Book Antiqua" w:cs="Arial"/>
        </w:rPr>
        <w:t>should</w:t>
      </w:r>
      <w:r w:rsidRPr="00FA42EA">
        <w:rPr>
          <w:rFonts w:ascii="Book Antiqua" w:hAnsi="Book Antiqua" w:cs="Arial"/>
        </w:rPr>
        <w:t xml:space="preserve"> be </w:t>
      </w:r>
      <w:r w:rsidR="006104DB" w:rsidRPr="00FA42EA">
        <w:rPr>
          <w:rFonts w:ascii="Book Antiqua" w:hAnsi="Book Antiqua" w:cs="Arial"/>
        </w:rPr>
        <w:t>looked</w:t>
      </w:r>
      <w:r w:rsidRPr="00FA42EA">
        <w:rPr>
          <w:rFonts w:ascii="Book Antiqua" w:hAnsi="Book Antiqua" w:cs="Arial"/>
        </w:rPr>
        <w:t xml:space="preserve"> at in the round and all the relevant circumstances brought into account.  The relevant circumstances would plainl</w:t>
      </w:r>
      <w:r w:rsidR="00637CAD">
        <w:rPr>
          <w:rFonts w:ascii="Book Antiqua" w:hAnsi="Book Antiqua" w:cs="Arial"/>
        </w:rPr>
        <w:t>y</w:t>
      </w:r>
      <w:r w:rsidRPr="00FA42EA">
        <w:rPr>
          <w:rFonts w:ascii="Book Antiqua" w:hAnsi="Book Antiqua" w:cs="Arial"/>
        </w:rPr>
        <w:t xml:space="preserve"> include an </w:t>
      </w:r>
      <w:r w:rsidR="006104DB" w:rsidRPr="00FA42EA">
        <w:rPr>
          <w:rFonts w:ascii="Book Antiqua" w:hAnsi="Book Antiqua" w:cs="Arial"/>
        </w:rPr>
        <w:t>individual’s</w:t>
      </w:r>
      <w:r w:rsidRPr="00FA42EA">
        <w:rPr>
          <w:rFonts w:ascii="Book Antiqua" w:hAnsi="Book Antiqua" w:cs="Arial"/>
        </w:rPr>
        <w:t xml:space="preserve"> particular circumstances and characteristics.  </w:t>
      </w:r>
    </w:p>
    <w:p w:rsidR="00A32B11" w:rsidRPr="00FA42EA" w:rsidRDefault="000545FA" w:rsidP="000545FA">
      <w:pPr>
        <w:numPr>
          <w:ilvl w:val="0"/>
          <w:numId w:val="1"/>
        </w:numPr>
        <w:tabs>
          <w:tab w:val="clear" w:pos="567"/>
        </w:tabs>
        <w:spacing w:before="240"/>
        <w:jc w:val="both"/>
        <w:rPr>
          <w:rFonts w:ascii="Book Antiqua" w:hAnsi="Book Antiqua" w:cs="Arial"/>
          <w:b/>
          <w:u w:val="single"/>
        </w:rPr>
      </w:pPr>
      <w:r w:rsidRPr="00FA42EA">
        <w:rPr>
          <w:rFonts w:ascii="Book Antiqua" w:hAnsi="Book Antiqua" w:cs="Arial"/>
        </w:rPr>
        <w:t xml:space="preserve">I have already set out the events or incidents which have befallen the appellant over the years in </w:t>
      </w:r>
      <w:smartTag w:uri="urn:schemas-microsoft-com:office:smarttags" w:element="country-region">
        <w:smartTag w:uri="urn:schemas-microsoft-com:office:smarttags" w:element="place">
          <w:r w:rsidRPr="00FA42EA">
            <w:rPr>
              <w:rFonts w:ascii="Book Antiqua" w:hAnsi="Book Antiqua" w:cs="Arial"/>
            </w:rPr>
            <w:t>Kenya</w:t>
          </w:r>
        </w:smartTag>
      </w:smartTag>
      <w:r w:rsidRPr="00FA42EA">
        <w:rPr>
          <w:rFonts w:ascii="Book Antiqua" w:hAnsi="Book Antiqua" w:cs="Arial"/>
        </w:rPr>
        <w:t xml:space="preserve">.  Putting aside for the </w:t>
      </w:r>
      <w:r w:rsidR="006104DB" w:rsidRPr="00FA42EA">
        <w:rPr>
          <w:rFonts w:ascii="Book Antiqua" w:hAnsi="Book Antiqua" w:cs="Arial"/>
        </w:rPr>
        <w:t>moment</w:t>
      </w:r>
      <w:r w:rsidRPr="00FA42EA">
        <w:rPr>
          <w:rFonts w:ascii="Book Antiqua" w:hAnsi="Book Antiqua" w:cs="Arial"/>
        </w:rPr>
        <w:t xml:space="preserve">, the incident of the attempted rape, I cannot see that any of those incidents, either </w:t>
      </w:r>
      <w:r w:rsidR="006104DB" w:rsidRPr="00FA42EA">
        <w:rPr>
          <w:rFonts w:ascii="Book Antiqua" w:hAnsi="Book Antiqua" w:cs="Arial"/>
        </w:rPr>
        <w:t>individually</w:t>
      </w:r>
      <w:r w:rsidRPr="00FA42EA">
        <w:rPr>
          <w:rFonts w:ascii="Book Antiqua" w:hAnsi="Book Antiqua" w:cs="Arial"/>
        </w:rPr>
        <w:t xml:space="preserve"> or collectively, could be said to amount to persecution, having regard to the nature and circumstances of those incidents and reflecting on the non-exhaustive terms of Article 9 of the Qualification Directive.  There is much that could be said about the attitude of those involved in the incidents which variously </w:t>
      </w:r>
      <w:r w:rsidR="006104DB" w:rsidRPr="00FA42EA">
        <w:rPr>
          <w:rFonts w:ascii="Book Antiqua" w:hAnsi="Book Antiqua" w:cs="Arial"/>
        </w:rPr>
        <w:t>caused</w:t>
      </w:r>
      <w:r w:rsidRPr="00FA42EA">
        <w:rPr>
          <w:rFonts w:ascii="Book Antiqua" w:hAnsi="Book Antiqua" w:cs="Arial"/>
        </w:rPr>
        <w:t xml:space="preserve"> the appellant pain, humiliation and </w:t>
      </w:r>
      <w:r w:rsidR="006104DB" w:rsidRPr="00FA42EA">
        <w:rPr>
          <w:rFonts w:ascii="Book Antiqua" w:hAnsi="Book Antiqua" w:cs="Arial"/>
        </w:rPr>
        <w:t>embarrassment</w:t>
      </w:r>
      <w:r w:rsidRPr="00FA42EA">
        <w:rPr>
          <w:rFonts w:ascii="Book Antiqua" w:hAnsi="Book Antiqua" w:cs="Arial"/>
        </w:rPr>
        <w:t xml:space="preserve">.  However, in terms of </w:t>
      </w:r>
      <w:r w:rsidR="00637CAD">
        <w:rPr>
          <w:rFonts w:ascii="Book Antiqua" w:hAnsi="Book Antiqua" w:cs="Arial"/>
        </w:rPr>
        <w:t>‘</w:t>
      </w:r>
      <w:r w:rsidRPr="00FA42EA">
        <w:rPr>
          <w:rFonts w:ascii="Book Antiqua" w:hAnsi="Book Antiqua" w:cs="Arial"/>
        </w:rPr>
        <w:t>persecution</w:t>
      </w:r>
      <w:r w:rsidR="00637CAD">
        <w:rPr>
          <w:rFonts w:ascii="Book Antiqua" w:hAnsi="Book Antiqua" w:cs="Arial"/>
        </w:rPr>
        <w:t>’</w:t>
      </w:r>
      <w:r w:rsidRPr="00FA42EA">
        <w:rPr>
          <w:rFonts w:ascii="Book Antiqua" w:hAnsi="Book Antiqua" w:cs="Arial"/>
        </w:rPr>
        <w:t xml:space="preserve"> I am not satisfied that they could be said to be </w:t>
      </w:r>
      <w:r w:rsidR="006104DB" w:rsidRPr="00FA42EA">
        <w:rPr>
          <w:rFonts w:ascii="Book Antiqua" w:hAnsi="Book Antiqua" w:cs="Arial"/>
        </w:rPr>
        <w:t>sufficiently</w:t>
      </w:r>
      <w:r w:rsidRPr="00FA42EA">
        <w:rPr>
          <w:rFonts w:ascii="Book Antiqua" w:hAnsi="Book Antiqua" w:cs="Arial"/>
        </w:rPr>
        <w:t xml:space="preserve"> serious by their nature of repetition as to constitute a severe </w:t>
      </w:r>
      <w:r w:rsidR="006104DB" w:rsidRPr="00FA42EA">
        <w:rPr>
          <w:rFonts w:ascii="Book Antiqua" w:hAnsi="Book Antiqua" w:cs="Arial"/>
        </w:rPr>
        <w:t>violation</w:t>
      </w:r>
      <w:r w:rsidRPr="00FA42EA">
        <w:rPr>
          <w:rFonts w:ascii="Book Antiqua" w:hAnsi="Book Antiqua" w:cs="Arial"/>
        </w:rPr>
        <w:t xml:space="preserve"> of basic human rights, or an accumulation of various measures, including violations of human rights which are </w:t>
      </w:r>
      <w:r w:rsidR="006104DB" w:rsidRPr="00FA42EA">
        <w:rPr>
          <w:rFonts w:ascii="Book Antiqua" w:hAnsi="Book Antiqua" w:cs="Arial"/>
        </w:rPr>
        <w:t>sufficiently</w:t>
      </w:r>
      <w:r w:rsidRPr="00FA42EA">
        <w:rPr>
          <w:rFonts w:ascii="Book Antiqua" w:hAnsi="Book Antiqua" w:cs="Arial"/>
        </w:rPr>
        <w:t xml:space="preserve"> severe as to affect an individual in that manner.  </w:t>
      </w:r>
    </w:p>
    <w:p w:rsidR="000545FA" w:rsidRDefault="00FA42EA" w:rsidP="000545FA">
      <w:pPr>
        <w:numPr>
          <w:ilvl w:val="0"/>
          <w:numId w:val="1"/>
        </w:numPr>
        <w:tabs>
          <w:tab w:val="clear" w:pos="567"/>
        </w:tabs>
        <w:spacing w:before="240"/>
        <w:jc w:val="both"/>
        <w:rPr>
          <w:rFonts w:ascii="Book Antiqua" w:hAnsi="Book Antiqua" w:cs="Arial"/>
        </w:rPr>
      </w:pPr>
      <w:r w:rsidRPr="00FA42EA">
        <w:rPr>
          <w:rFonts w:ascii="Book Antiqua" w:hAnsi="Book Antiqua" w:cs="Arial"/>
        </w:rPr>
        <w:t xml:space="preserve">It is not necessary to </w:t>
      </w:r>
      <w:r>
        <w:rPr>
          <w:rFonts w:ascii="Book Antiqua" w:hAnsi="Book Antiqua" w:cs="Arial"/>
        </w:rPr>
        <w:t xml:space="preserve">isolate each incident or type of incident and offer a detailed </w:t>
      </w:r>
      <w:r w:rsidR="006104DB">
        <w:rPr>
          <w:rFonts w:ascii="Book Antiqua" w:hAnsi="Book Antiqua" w:cs="Arial"/>
        </w:rPr>
        <w:t>analysis</w:t>
      </w:r>
      <w:r>
        <w:rPr>
          <w:rFonts w:ascii="Book Antiqua" w:hAnsi="Book Antiqua" w:cs="Arial"/>
        </w:rPr>
        <w:t xml:space="preserve"> of it.  It is important to bear in mind that it could not be said to be the case that all members of the public who witnessed the incidents were a party to the harm that the appellant experienced, whether physical or </w:t>
      </w:r>
      <w:r w:rsidR="006104DB">
        <w:rPr>
          <w:rFonts w:ascii="Book Antiqua" w:hAnsi="Book Antiqua" w:cs="Arial"/>
        </w:rPr>
        <w:t>psychological</w:t>
      </w:r>
      <w:r>
        <w:rPr>
          <w:rFonts w:ascii="Book Antiqua" w:hAnsi="Book Antiqua" w:cs="Arial"/>
        </w:rPr>
        <w:t xml:space="preserve">/emotional.  Individuals did help her.  </w:t>
      </w:r>
      <w:r w:rsidR="00083AA2">
        <w:rPr>
          <w:rFonts w:ascii="Book Antiqua" w:hAnsi="Book Antiqua" w:cs="Arial"/>
        </w:rPr>
        <w:t xml:space="preserve">Furthermore, in </w:t>
      </w:r>
      <w:r w:rsidR="006104DB">
        <w:rPr>
          <w:rFonts w:ascii="Book Antiqua" w:hAnsi="Book Antiqua" w:cs="Arial"/>
        </w:rPr>
        <w:t>relation</w:t>
      </w:r>
      <w:r w:rsidR="00083AA2">
        <w:rPr>
          <w:rFonts w:ascii="Book Antiqua" w:hAnsi="Book Antiqua" w:cs="Arial"/>
        </w:rPr>
        <w:t xml:space="preserve"> to the bus incident in 1996, the appellant’s skeleton argument is</w:t>
      </w:r>
      <w:r w:rsidR="00ED28AE">
        <w:rPr>
          <w:rFonts w:ascii="Book Antiqua" w:hAnsi="Book Antiqua" w:cs="Arial"/>
        </w:rPr>
        <w:t>,</w:t>
      </w:r>
      <w:r w:rsidR="00083AA2">
        <w:rPr>
          <w:rFonts w:ascii="Book Antiqua" w:hAnsi="Book Antiqua" w:cs="Arial"/>
        </w:rPr>
        <w:t xml:space="preserve"> </w:t>
      </w:r>
      <w:r w:rsidR="00637CAD">
        <w:rPr>
          <w:rFonts w:ascii="Book Antiqua" w:hAnsi="Book Antiqua" w:cs="Arial"/>
        </w:rPr>
        <w:t>I think</w:t>
      </w:r>
      <w:r w:rsidR="00ED28AE">
        <w:rPr>
          <w:rFonts w:ascii="Book Antiqua" w:hAnsi="Book Antiqua" w:cs="Arial"/>
        </w:rPr>
        <w:t>,</w:t>
      </w:r>
      <w:r w:rsidR="00637CAD">
        <w:rPr>
          <w:rFonts w:ascii="Book Antiqua" w:hAnsi="Book Antiqua" w:cs="Arial"/>
        </w:rPr>
        <w:t xml:space="preserve"> </w:t>
      </w:r>
      <w:r w:rsidR="00083AA2">
        <w:rPr>
          <w:rFonts w:ascii="Book Antiqua" w:hAnsi="Book Antiqua" w:cs="Arial"/>
        </w:rPr>
        <w:t xml:space="preserve">rather misleading in terms of it stating that the appellant was badly manhandled back to her feet.  It is true that that is </w:t>
      </w:r>
      <w:r w:rsidR="006104DB">
        <w:rPr>
          <w:rFonts w:ascii="Book Antiqua" w:hAnsi="Book Antiqua" w:cs="Arial"/>
        </w:rPr>
        <w:t>what</w:t>
      </w:r>
      <w:r w:rsidR="00083AA2">
        <w:rPr>
          <w:rFonts w:ascii="Book Antiqua" w:hAnsi="Book Antiqua" w:cs="Arial"/>
        </w:rPr>
        <w:t xml:space="preserve"> the appellant said but the manhandling was plainly, on her account, not deliberate.  It is not an </w:t>
      </w:r>
      <w:r w:rsidR="006104DB">
        <w:rPr>
          <w:rFonts w:ascii="Book Antiqua" w:hAnsi="Book Antiqua" w:cs="Arial"/>
        </w:rPr>
        <w:t>example</w:t>
      </w:r>
      <w:r w:rsidR="00083AA2">
        <w:rPr>
          <w:rFonts w:ascii="Book Antiqua" w:hAnsi="Book Antiqua" w:cs="Arial"/>
        </w:rPr>
        <w:t xml:space="preserve"> of </w:t>
      </w:r>
      <w:r w:rsidR="006104DB">
        <w:rPr>
          <w:rFonts w:ascii="Book Antiqua" w:hAnsi="Book Antiqua" w:cs="Arial"/>
        </w:rPr>
        <w:t>intentional</w:t>
      </w:r>
      <w:r w:rsidR="00083AA2">
        <w:rPr>
          <w:rFonts w:ascii="Book Antiqua" w:hAnsi="Book Antiqua" w:cs="Arial"/>
        </w:rPr>
        <w:t xml:space="preserve"> acts by individuals designed or intended to cause her suffering.  </w:t>
      </w:r>
    </w:p>
    <w:p w:rsidR="00083AA2" w:rsidRDefault="00083AA2" w:rsidP="000545FA">
      <w:pPr>
        <w:numPr>
          <w:ilvl w:val="0"/>
          <w:numId w:val="1"/>
        </w:numPr>
        <w:tabs>
          <w:tab w:val="clear" w:pos="567"/>
        </w:tabs>
        <w:spacing w:before="240"/>
        <w:jc w:val="both"/>
        <w:rPr>
          <w:rFonts w:ascii="Book Antiqua" w:hAnsi="Book Antiqua" w:cs="Arial"/>
        </w:rPr>
      </w:pPr>
      <w:r>
        <w:rPr>
          <w:rFonts w:ascii="Book Antiqua" w:hAnsi="Book Antiqua" w:cs="Arial"/>
        </w:rPr>
        <w:t>As regards the attempted rape, I said this at [44] of the error of law decision:</w:t>
      </w:r>
    </w:p>
    <w:p w:rsidR="00083AA2" w:rsidRDefault="00083AA2" w:rsidP="003A391A">
      <w:pPr>
        <w:spacing w:before="120"/>
        <w:ind w:left="1134" w:right="567"/>
        <w:jc w:val="both"/>
        <w:rPr>
          <w:rFonts w:ascii="Book Antiqua" w:hAnsi="Book Antiqua" w:cs="Arial"/>
        </w:rPr>
      </w:pPr>
      <w:r>
        <w:rPr>
          <w:rFonts w:ascii="Book Antiqua" w:hAnsi="Book Antiqua" w:cs="Arial"/>
        </w:rPr>
        <w:t>“</w:t>
      </w:r>
      <w:r w:rsidRPr="00FA42EA">
        <w:rPr>
          <w:rFonts w:ascii="Book Antiqua" w:hAnsi="Book Antiqua" w:cs="Arial"/>
          <w:sz w:val="22"/>
          <w:szCs w:val="22"/>
        </w:rPr>
        <w:t xml:space="preserve">The appellant has, according to the </w:t>
      </w:r>
      <w:proofErr w:type="spellStart"/>
      <w:r w:rsidRPr="00FA42EA">
        <w:rPr>
          <w:rFonts w:ascii="Book Antiqua" w:hAnsi="Book Antiqua" w:cs="Arial"/>
          <w:sz w:val="22"/>
          <w:szCs w:val="22"/>
        </w:rPr>
        <w:t>FtJ’s</w:t>
      </w:r>
      <w:proofErr w:type="spellEnd"/>
      <w:r w:rsidRPr="00FA42EA">
        <w:rPr>
          <w:rFonts w:ascii="Book Antiqua" w:hAnsi="Book Antiqua" w:cs="Arial"/>
          <w:sz w:val="22"/>
          <w:szCs w:val="22"/>
        </w:rPr>
        <w:t xml:space="preserve"> findings, been subjected to the risk of harm on some occasions.  For example, when she was 14 she fell and a would-be rescuer turned out to be a person seeking to take advantage of her due to her vulnerability, and attempted to rape her.  However, not only was that incident over 20 years ago, it is not indicative of harm directed towards the appellant </w:t>
      </w:r>
      <w:r w:rsidRPr="00FA42EA">
        <w:rPr>
          <w:rFonts w:ascii="Book Antiqua" w:hAnsi="Book Antiqua" w:cs="Arial"/>
          <w:i/>
          <w:sz w:val="22"/>
          <w:szCs w:val="22"/>
        </w:rPr>
        <w:lastRenderedPageBreak/>
        <w:t>because</w:t>
      </w:r>
      <w:r w:rsidRPr="00FA42EA">
        <w:rPr>
          <w:rFonts w:ascii="Book Antiqua" w:hAnsi="Book Antiqua" w:cs="Arial"/>
          <w:sz w:val="22"/>
          <w:szCs w:val="22"/>
        </w:rPr>
        <w:t xml:space="preserve"> she was disabled, but indicative of an act of opportunism, taking advantage of her vulnerability.</w:t>
      </w:r>
      <w:r>
        <w:rPr>
          <w:rFonts w:ascii="Book Antiqua" w:hAnsi="Book Antiqua" w:cs="Arial"/>
        </w:rPr>
        <w:t>”</w:t>
      </w:r>
    </w:p>
    <w:p w:rsidR="00083AA2" w:rsidRDefault="00083AA2"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To some degree I accept the implied criticism of that aspect of my error of law decision, contained in [24] of the appellant’s skeleton argument.  The </w:t>
      </w:r>
      <w:r w:rsidR="006104DB">
        <w:rPr>
          <w:rFonts w:ascii="Book Antiqua" w:hAnsi="Book Antiqua" w:cs="Arial"/>
        </w:rPr>
        <w:t>proposition</w:t>
      </w:r>
      <w:r>
        <w:rPr>
          <w:rFonts w:ascii="Book Antiqua" w:hAnsi="Book Antiqua" w:cs="Arial"/>
        </w:rPr>
        <w:t xml:space="preserve"> there is that decision makers are not concerned to explore the motives or purposes of those committing acts of persecution; they must label or categorise the reason for the persecution and the decision in </w:t>
      </w:r>
      <w:proofErr w:type="spellStart"/>
      <w:r w:rsidRPr="00083AA2">
        <w:rPr>
          <w:rFonts w:ascii="Book Antiqua" w:hAnsi="Book Antiqua" w:cs="Arial"/>
          <w:i/>
        </w:rPr>
        <w:t>Sepet</w:t>
      </w:r>
      <w:proofErr w:type="spellEnd"/>
      <w:r>
        <w:rPr>
          <w:rFonts w:ascii="Book Antiqua" w:hAnsi="Book Antiqua" w:cs="Arial"/>
        </w:rPr>
        <w:t xml:space="preserve"> is cited as authority for that proposition.  Thus, the appellant’s submission is that what I said at [44] does not represent the whole picture on the issue of persecution in this respect.</w:t>
      </w:r>
    </w:p>
    <w:p w:rsidR="00083AA2" w:rsidRDefault="00083AA2"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It is important to take into </w:t>
      </w:r>
      <w:r w:rsidR="006104DB">
        <w:rPr>
          <w:rFonts w:ascii="Book Antiqua" w:hAnsi="Book Antiqua" w:cs="Arial"/>
        </w:rPr>
        <w:t>account</w:t>
      </w:r>
      <w:r>
        <w:rPr>
          <w:rFonts w:ascii="Book Antiqua" w:hAnsi="Book Antiqua" w:cs="Arial"/>
        </w:rPr>
        <w:t xml:space="preserve"> </w:t>
      </w:r>
      <w:r w:rsidR="00580DBF">
        <w:rPr>
          <w:rFonts w:ascii="Book Antiqua" w:hAnsi="Book Antiqua" w:cs="Arial"/>
        </w:rPr>
        <w:t xml:space="preserve">the circumstances of a particular incident judged, amongst other things, against, for </w:t>
      </w:r>
      <w:r w:rsidR="006104DB">
        <w:rPr>
          <w:rFonts w:ascii="Book Antiqua" w:hAnsi="Book Antiqua" w:cs="Arial"/>
        </w:rPr>
        <w:t>example</w:t>
      </w:r>
      <w:r w:rsidR="00580DBF">
        <w:rPr>
          <w:rFonts w:ascii="Book Antiqua" w:hAnsi="Book Antiqua" w:cs="Arial"/>
        </w:rPr>
        <w:t xml:space="preserve">, the background evidence.  That is what I have done.  The appellant has not suggested that she was targeted because she was disabled.  </w:t>
      </w:r>
      <w:r w:rsidR="001E2E11">
        <w:rPr>
          <w:rFonts w:ascii="Book Antiqua" w:hAnsi="Book Antiqua" w:cs="Arial"/>
        </w:rPr>
        <w:t>For example,</w:t>
      </w:r>
      <w:r w:rsidR="00580DBF">
        <w:rPr>
          <w:rFonts w:ascii="Book Antiqua" w:hAnsi="Book Antiqua" w:cs="Arial"/>
        </w:rPr>
        <w:t xml:space="preserve"> her attacker did not attack her </w:t>
      </w:r>
      <w:r w:rsidR="006104DB">
        <w:rPr>
          <w:rFonts w:ascii="Book Antiqua" w:hAnsi="Book Antiqua" w:cs="Arial"/>
        </w:rPr>
        <w:t>until</w:t>
      </w:r>
      <w:r w:rsidR="00580DBF">
        <w:rPr>
          <w:rFonts w:ascii="Book Antiqua" w:hAnsi="Book Antiqua" w:cs="Arial"/>
        </w:rPr>
        <w:t xml:space="preserve"> she fell.  There is no evidence from the appellant that the attacker said anything about her disability.  I remain of the view that that </w:t>
      </w:r>
      <w:r w:rsidR="006104DB">
        <w:rPr>
          <w:rFonts w:ascii="Book Antiqua" w:hAnsi="Book Antiqua" w:cs="Arial"/>
        </w:rPr>
        <w:t>incident</w:t>
      </w:r>
      <w:r w:rsidR="00580DBF">
        <w:rPr>
          <w:rFonts w:ascii="Book Antiqua" w:hAnsi="Book Antiqua" w:cs="Arial"/>
        </w:rPr>
        <w:t xml:space="preserve"> was not indicative of harm directed towards the appellant because she was disabled, but indicative of an act of opportunism, taking advantage of the appellant’s vulnerability at that </w:t>
      </w:r>
      <w:r w:rsidR="006104DB">
        <w:rPr>
          <w:rFonts w:ascii="Book Antiqua" w:hAnsi="Book Antiqua" w:cs="Arial"/>
        </w:rPr>
        <w:t>moment</w:t>
      </w:r>
      <w:r w:rsidR="00580DBF">
        <w:rPr>
          <w:rFonts w:ascii="Book Antiqua" w:hAnsi="Book Antiqua" w:cs="Arial"/>
        </w:rPr>
        <w:t>.  It is also worth pointing out</w:t>
      </w:r>
      <w:r w:rsidR="001E2E11">
        <w:rPr>
          <w:rFonts w:ascii="Book Antiqua" w:hAnsi="Book Antiqua" w:cs="Arial"/>
        </w:rPr>
        <w:t xml:space="preserve"> as part of the general picture,</w:t>
      </w:r>
      <w:r w:rsidR="00580DBF">
        <w:rPr>
          <w:rFonts w:ascii="Book Antiqua" w:hAnsi="Book Antiqua" w:cs="Arial"/>
        </w:rPr>
        <w:t xml:space="preserve"> that members of the public intervened to assist her.  </w:t>
      </w:r>
    </w:p>
    <w:p w:rsidR="00580DBF" w:rsidRDefault="00580DBF"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I am not satisfied that the appellant has been subjected to acts amounting to persecution.  I do accept that she has been the subject of discrimination but not discrimination amounting to persecution.  Even if I am </w:t>
      </w:r>
      <w:r w:rsidR="006104DB">
        <w:rPr>
          <w:rFonts w:ascii="Book Antiqua" w:hAnsi="Book Antiqua" w:cs="Arial"/>
        </w:rPr>
        <w:t>wrong</w:t>
      </w:r>
      <w:r>
        <w:rPr>
          <w:rFonts w:ascii="Book Antiqua" w:hAnsi="Book Antiqua" w:cs="Arial"/>
        </w:rPr>
        <w:t xml:space="preserve">, and the attempted rape was in law an act of persecution, it is important to bear in mind that that incident was over </w:t>
      </w:r>
      <w:r w:rsidR="00ED28AE">
        <w:rPr>
          <w:rFonts w:ascii="Book Antiqua" w:hAnsi="Book Antiqua" w:cs="Arial"/>
        </w:rPr>
        <w:t>20</w:t>
      </w:r>
      <w:r>
        <w:rPr>
          <w:rFonts w:ascii="Book Antiqua" w:hAnsi="Book Antiqua" w:cs="Arial"/>
        </w:rPr>
        <w:t xml:space="preserve"> years ago.  The background evidence indicates that there is an increasing awareness on the part of individuals and the state of the needs of disabled persons.  True it is that more could be done</w:t>
      </w:r>
      <w:r w:rsidR="001E2E11">
        <w:rPr>
          <w:rFonts w:ascii="Book Antiqua" w:hAnsi="Book Antiqua" w:cs="Arial"/>
        </w:rPr>
        <w:t>,</w:t>
      </w:r>
      <w:r>
        <w:rPr>
          <w:rFonts w:ascii="Book Antiqua" w:hAnsi="Book Antiqua" w:cs="Arial"/>
        </w:rPr>
        <w:t xml:space="preserve"> and enforcement of anti-discrimination laws could undoubtedly be more effective.  The evidence however indicates that progress is being made by the state, and by society in general, albeit slowly.  </w:t>
      </w:r>
    </w:p>
    <w:p w:rsidR="00045798" w:rsidRDefault="00580DBF"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Nor do I consider that the evidence reveals that the appellant is at real risk of persecution on return.  The background evidence which I have extensively reviewed does not support that </w:t>
      </w:r>
      <w:r w:rsidR="006104DB">
        <w:rPr>
          <w:rFonts w:ascii="Book Antiqua" w:hAnsi="Book Antiqua" w:cs="Arial"/>
        </w:rPr>
        <w:t>proposition</w:t>
      </w:r>
      <w:r>
        <w:rPr>
          <w:rFonts w:ascii="Book Antiqua" w:hAnsi="Book Antiqua" w:cs="Arial"/>
        </w:rPr>
        <w:t xml:space="preserve"> at all.  There is plainly no </w:t>
      </w:r>
      <w:r w:rsidR="00BB1052">
        <w:rPr>
          <w:rFonts w:ascii="Book Antiqua" w:hAnsi="Book Antiqua" w:cs="Arial"/>
        </w:rPr>
        <w:t xml:space="preserve">state persecution of disabled persons.  Whilst negative attitudes of individuals in society are very much in evidence, those negative attitudes do not reveal a risk of persecution, or for that matter serious harm.  The discrimination that she is likely to face does not amount to persecution or serious </w:t>
      </w:r>
      <w:r w:rsidR="001E2E11">
        <w:rPr>
          <w:rFonts w:ascii="Book Antiqua" w:hAnsi="Book Antiqua" w:cs="Arial"/>
        </w:rPr>
        <w:t>harm</w:t>
      </w:r>
      <w:r w:rsidR="00BB1052">
        <w:rPr>
          <w:rFonts w:ascii="Book Antiqua" w:hAnsi="Book Antiqua" w:cs="Arial"/>
        </w:rPr>
        <w:t>.</w:t>
      </w:r>
      <w:r w:rsidR="00045798" w:rsidRPr="00045798">
        <w:rPr>
          <w:rFonts w:ascii="Book Antiqua" w:hAnsi="Book Antiqua" w:cs="Arial"/>
        </w:rPr>
        <w:t xml:space="preserve"> </w:t>
      </w:r>
    </w:p>
    <w:p w:rsidR="00580DBF" w:rsidRDefault="00045798" w:rsidP="000545FA">
      <w:pPr>
        <w:numPr>
          <w:ilvl w:val="0"/>
          <w:numId w:val="1"/>
        </w:numPr>
        <w:tabs>
          <w:tab w:val="clear" w:pos="567"/>
        </w:tabs>
        <w:spacing w:before="240"/>
        <w:jc w:val="both"/>
        <w:rPr>
          <w:rFonts w:ascii="Book Antiqua" w:hAnsi="Book Antiqua" w:cs="Arial"/>
        </w:rPr>
      </w:pPr>
      <w:r w:rsidRPr="00045798">
        <w:rPr>
          <w:rFonts w:ascii="Book Antiqua" w:hAnsi="Book Antiqua" w:cs="Arial"/>
        </w:rPr>
        <w:t xml:space="preserve">Whilst I accept </w:t>
      </w:r>
      <w:r>
        <w:rPr>
          <w:rFonts w:ascii="Book Antiqua" w:hAnsi="Book Antiqua" w:cs="Arial"/>
        </w:rPr>
        <w:t xml:space="preserve">the evidence </w:t>
      </w:r>
      <w:r w:rsidRPr="00045798">
        <w:rPr>
          <w:rFonts w:ascii="Book Antiqua" w:hAnsi="Book Antiqua" w:cs="Arial"/>
        </w:rPr>
        <w:t xml:space="preserve">that there is a greater than usual risk of sexual assault for disabled women, </w:t>
      </w:r>
      <w:r>
        <w:rPr>
          <w:rFonts w:ascii="Book Antiqua" w:hAnsi="Book Antiqua" w:cs="Arial"/>
        </w:rPr>
        <w:t xml:space="preserve">what is the </w:t>
      </w:r>
      <w:r w:rsidRPr="00045798">
        <w:rPr>
          <w:rFonts w:ascii="Book Antiqua" w:hAnsi="Book Antiqua" w:cs="Arial"/>
        </w:rPr>
        <w:t>starting point</w:t>
      </w:r>
      <w:r>
        <w:rPr>
          <w:rFonts w:ascii="Book Antiqua" w:hAnsi="Book Antiqua" w:cs="Arial"/>
        </w:rPr>
        <w:t>, or base point,</w:t>
      </w:r>
      <w:r w:rsidRPr="00045798">
        <w:rPr>
          <w:rFonts w:ascii="Book Antiqua" w:hAnsi="Book Antiqua" w:cs="Arial"/>
        </w:rPr>
        <w:t xml:space="preserve"> for that assessment of risk is not evident</w:t>
      </w:r>
      <w:r>
        <w:rPr>
          <w:rFonts w:ascii="Book Antiqua" w:hAnsi="Book Antiqua" w:cs="Arial"/>
        </w:rPr>
        <w:t xml:space="preserve"> in terms of the female population. Furthermore, the appellant would have her husband with her, even if not at every moment.</w:t>
      </w:r>
    </w:p>
    <w:p w:rsidR="00BB1052" w:rsidRDefault="00BB1052" w:rsidP="000545FA">
      <w:pPr>
        <w:numPr>
          <w:ilvl w:val="0"/>
          <w:numId w:val="1"/>
        </w:numPr>
        <w:tabs>
          <w:tab w:val="clear" w:pos="567"/>
        </w:tabs>
        <w:spacing w:before="240"/>
        <w:jc w:val="both"/>
        <w:rPr>
          <w:rFonts w:ascii="Book Antiqua" w:hAnsi="Book Antiqua" w:cs="Arial"/>
        </w:rPr>
      </w:pPr>
      <w:r>
        <w:rPr>
          <w:rFonts w:ascii="Book Antiqua" w:hAnsi="Book Antiqua" w:cs="Arial"/>
        </w:rPr>
        <w:t>It is undoubtedly the case that the</w:t>
      </w:r>
      <w:r w:rsidR="00ED28AE">
        <w:rPr>
          <w:rFonts w:ascii="Book Antiqua" w:hAnsi="Book Antiqua" w:cs="Arial"/>
        </w:rPr>
        <w:t xml:space="preserve"> medical</w:t>
      </w:r>
      <w:r>
        <w:rPr>
          <w:rFonts w:ascii="Book Antiqua" w:hAnsi="Book Antiqua" w:cs="Arial"/>
        </w:rPr>
        <w:t xml:space="preserve"> treatment that the appellant would be able to receive is very much inferior to that</w:t>
      </w:r>
      <w:r w:rsidR="00ED28AE">
        <w:rPr>
          <w:rFonts w:ascii="Book Antiqua" w:hAnsi="Book Antiqua" w:cs="Arial"/>
        </w:rPr>
        <w:t xml:space="preserve"> which</w:t>
      </w:r>
      <w:r>
        <w:rPr>
          <w:rFonts w:ascii="Book Antiqua" w:hAnsi="Book Antiqua" w:cs="Arial"/>
        </w:rPr>
        <w:t xml:space="preserve"> she receives in the UK</w:t>
      </w:r>
      <w:r w:rsidR="001E2E11">
        <w:rPr>
          <w:rFonts w:ascii="Book Antiqua" w:hAnsi="Book Antiqua" w:cs="Arial"/>
        </w:rPr>
        <w:t>. T</w:t>
      </w:r>
      <w:r>
        <w:rPr>
          <w:rFonts w:ascii="Book Antiqua" w:hAnsi="Book Antiqua" w:cs="Arial"/>
        </w:rPr>
        <w:t xml:space="preserve">hat is a feature of a lack of provision in </w:t>
      </w:r>
      <w:r w:rsidR="006104DB">
        <w:rPr>
          <w:rFonts w:ascii="Book Antiqua" w:hAnsi="Book Antiqua" w:cs="Arial"/>
        </w:rPr>
        <w:t>relation</w:t>
      </w:r>
      <w:r>
        <w:rPr>
          <w:rFonts w:ascii="Book Antiqua" w:hAnsi="Book Antiqua" w:cs="Arial"/>
        </w:rPr>
        <w:t xml:space="preserve"> to healthcare services generally, and also specifically in relation to condition</w:t>
      </w:r>
      <w:r w:rsidR="001E2E11">
        <w:rPr>
          <w:rFonts w:ascii="Book Antiqua" w:hAnsi="Book Antiqua" w:cs="Arial"/>
        </w:rPr>
        <w:t>s such as hers</w:t>
      </w:r>
      <w:r>
        <w:rPr>
          <w:rFonts w:ascii="Book Antiqua" w:hAnsi="Book Antiqua" w:cs="Arial"/>
        </w:rPr>
        <w:t xml:space="preserve">.  I do not consider that the evidence reveals that </w:t>
      </w:r>
      <w:r>
        <w:rPr>
          <w:rFonts w:ascii="Book Antiqua" w:hAnsi="Book Antiqua" w:cs="Arial"/>
        </w:rPr>
        <w:lastRenderedPageBreak/>
        <w:t>that is based on discrimination amounting to persecution on the basis that the appellant is disabled.</w:t>
      </w:r>
    </w:p>
    <w:p w:rsidR="00BB1052" w:rsidRDefault="00BB1052"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Specifically in relation to pre-natal and post-natal healthcare, again the evidence reveals that there are </w:t>
      </w:r>
      <w:r w:rsidR="006104DB">
        <w:rPr>
          <w:rFonts w:ascii="Book Antiqua" w:hAnsi="Book Antiqua" w:cs="Arial"/>
        </w:rPr>
        <w:t>negative</w:t>
      </w:r>
      <w:r>
        <w:rPr>
          <w:rFonts w:ascii="Book Antiqua" w:hAnsi="Book Antiqua" w:cs="Arial"/>
        </w:rPr>
        <w:t xml:space="preserve"> attitudes</w:t>
      </w:r>
      <w:r w:rsidR="00ED28AE">
        <w:rPr>
          <w:rFonts w:ascii="Book Antiqua" w:hAnsi="Book Antiqua" w:cs="Arial"/>
        </w:rPr>
        <w:t>,</w:t>
      </w:r>
      <w:r>
        <w:rPr>
          <w:rFonts w:ascii="Book Antiqua" w:hAnsi="Book Antiqua" w:cs="Arial"/>
        </w:rPr>
        <w:t xml:space="preserve"> even in healthcare workers.  The evidence however, is that disabled persons are not turned away from pre-natal and post-natal healthcare on the </w:t>
      </w:r>
      <w:r w:rsidR="006104DB">
        <w:rPr>
          <w:rFonts w:ascii="Book Antiqua" w:hAnsi="Book Antiqua" w:cs="Arial"/>
        </w:rPr>
        <w:t>basis</w:t>
      </w:r>
      <w:r>
        <w:rPr>
          <w:rFonts w:ascii="Book Antiqua" w:hAnsi="Book Antiqua" w:cs="Arial"/>
        </w:rPr>
        <w:t xml:space="preserve"> of their disability.  In any event, this feature of the appellant’s appeal is dependent on the proposition that </w:t>
      </w:r>
      <w:r w:rsidR="001E2E11">
        <w:rPr>
          <w:rFonts w:ascii="Book Antiqua" w:hAnsi="Book Antiqua" w:cs="Arial"/>
        </w:rPr>
        <w:t>she</w:t>
      </w:r>
      <w:r>
        <w:rPr>
          <w:rFonts w:ascii="Book Antiqua" w:hAnsi="Book Antiqua" w:cs="Arial"/>
        </w:rPr>
        <w:t xml:space="preserve"> would once again become pregnant.  She is not pregnant at the moment and notwithstanding what is said about their wish to have children</w:t>
      </w:r>
      <w:r w:rsidR="001E2E11">
        <w:rPr>
          <w:rFonts w:ascii="Book Antiqua" w:hAnsi="Book Antiqua" w:cs="Arial"/>
        </w:rPr>
        <w:t>,</w:t>
      </w:r>
      <w:r>
        <w:rPr>
          <w:rFonts w:ascii="Book Antiqua" w:hAnsi="Book Antiqua" w:cs="Arial"/>
        </w:rPr>
        <w:t xml:space="preserve"> that matter does not arise for consideration.  Even if it did, as I say, the evidence does not support any contention that the appellant would be persecuted on account of her disability in those circumstances.  </w:t>
      </w:r>
      <w:r w:rsidR="00E91901">
        <w:rPr>
          <w:rFonts w:ascii="Book Antiqua" w:hAnsi="Book Antiqua" w:cs="Arial"/>
        </w:rPr>
        <w:t>Furthermore</w:t>
      </w:r>
      <w:r w:rsidR="00D73FF1">
        <w:rPr>
          <w:rFonts w:ascii="Book Antiqua" w:hAnsi="Book Antiqua" w:cs="Arial"/>
        </w:rPr>
        <w:t>, the evidence does not support</w:t>
      </w:r>
      <w:r w:rsidR="00102DC1">
        <w:rPr>
          <w:rFonts w:ascii="Book Antiqua" w:hAnsi="Book Antiqua" w:cs="Arial"/>
        </w:rPr>
        <w:t xml:space="preserve"> the proposition that healthcare professionals in Kenya would deliberately inflict harm on the appellant or ill-treat her because of her wish to have children</w:t>
      </w:r>
      <w:r w:rsidR="00B107B7">
        <w:rPr>
          <w:rFonts w:ascii="Book Antiqua" w:hAnsi="Book Antiqua" w:cs="Arial"/>
        </w:rPr>
        <w:t>.</w:t>
      </w:r>
    </w:p>
    <w:p w:rsidR="00BB1052" w:rsidRPr="00E91901" w:rsidRDefault="00BB1052" w:rsidP="00E91901">
      <w:pPr>
        <w:numPr>
          <w:ilvl w:val="0"/>
          <w:numId w:val="1"/>
        </w:numPr>
        <w:tabs>
          <w:tab w:val="clear" w:pos="567"/>
        </w:tabs>
        <w:spacing w:before="240"/>
        <w:jc w:val="both"/>
        <w:rPr>
          <w:rFonts w:ascii="Book Antiqua" w:hAnsi="Book Antiqua" w:cs="Arial"/>
        </w:rPr>
      </w:pPr>
      <w:r>
        <w:rPr>
          <w:rFonts w:ascii="Book Antiqua" w:hAnsi="Book Antiqua" w:cs="Arial"/>
        </w:rPr>
        <w:t xml:space="preserve">In submissions on </w:t>
      </w:r>
      <w:r w:rsidR="006104DB">
        <w:rPr>
          <w:rFonts w:ascii="Book Antiqua" w:hAnsi="Book Antiqua" w:cs="Arial"/>
        </w:rPr>
        <w:t>behalf</w:t>
      </w:r>
      <w:r>
        <w:rPr>
          <w:rFonts w:ascii="Book Antiqua" w:hAnsi="Book Antiqua" w:cs="Arial"/>
        </w:rPr>
        <w:t xml:space="preserve"> of the appellant it was submitted that the appellant’s circumstances were distinct from the </w:t>
      </w:r>
      <w:r w:rsidRPr="00BB1052">
        <w:rPr>
          <w:rFonts w:ascii="Book Antiqua" w:hAnsi="Book Antiqua" w:cs="Arial"/>
          <w:i/>
        </w:rPr>
        <w:t>N</w:t>
      </w:r>
      <w:r>
        <w:rPr>
          <w:rFonts w:ascii="Book Antiqua" w:hAnsi="Book Antiqua" w:cs="Arial"/>
        </w:rPr>
        <w:t xml:space="preserve"> line of cases</w:t>
      </w:r>
      <w:r w:rsidR="00482A3C">
        <w:rPr>
          <w:rFonts w:ascii="Book Antiqua" w:hAnsi="Book Antiqua" w:cs="Arial"/>
        </w:rPr>
        <w:t>, as summarised above</w:t>
      </w:r>
      <w:r>
        <w:rPr>
          <w:rFonts w:ascii="Book Antiqua" w:hAnsi="Book Antiqua" w:cs="Arial"/>
        </w:rPr>
        <w:t xml:space="preserve">. </w:t>
      </w:r>
      <w:r w:rsidR="00E91901">
        <w:rPr>
          <w:rFonts w:ascii="Book Antiqua" w:hAnsi="Book Antiqua" w:cs="Arial"/>
        </w:rPr>
        <w:t xml:space="preserve">However, </w:t>
      </w:r>
      <w:r w:rsidRPr="00E91901">
        <w:rPr>
          <w:rFonts w:ascii="Book Antiqua" w:hAnsi="Book Antiqua" w:cs="Arial"/>
        </w:rPr>
        <w:t xml:space="preserve">I am not satisfied that the evidence reveals that the appellant would be subjected to a </w:t>
      </w:r>
      <w:r w:rsidR="006104DB" w:rsidRPr="00E91901">
        <w:rPr>
          <w:rFonts w:ascii="Book Antiqua" w:hAnsi="Book Antiqua" w:cs="Arial"/>
        </w:rPr>
        <w:t>breach</w:t>
      </w:r>
      <w:r w:rsidRPr="00E91901">
        <w:rPr>
          <w:rFonts w:ascii="Book Antiqua" w:hAnsi="Book Antiqua" w:cs="Arial"/>
        </w:rPr>
        <w:t xml:space="preserve"> of her Article 3 rights on return.  Firstly, insofar as the Article 3 aspect of the appeal mirrors the asylum argument, no potential </w:t>
      </w:r>
      <w:r w:rsidR="006104DB" w:rsidRPr="00E91901">
        <w:rPr>
          <w:rFonts w:ascii="Book Antiqua" w:hAnsi="Book Antiqua" w:cs="Arial"/>
        </w:rPr>
        <w:t>breach</w:t>
      </w:r>
      <w:r w:rsidRPr="00E91901">
        <w:rPr>
          <w:rFonts w:ascii="Book Antiqua" w:hAnsi="Book Antiqua" w:cs="Arial"/>
        </w:rPr>
        <w:t xml:space="preserve"> of Article 3 is apparent.  Otherwise, whilst it is clear that the appellant’s condition is a serious one, and one that is not improving, she would be returning with her husband.  Although undoubtedly he has his own health problems, the appellant’s situation does not reach the high threshold for a </w:t>
      </w:r>
      <w:r w:rsidR="006104DB" w:rsidRPr="00E91901">
        <w:rPr>
          <w:rFonts w:ascii="Book Antiqua" w:hAnsi="Book Antiqua" w:cs="Arial"/>
        </w:rPr>
        <w:t>breach</w:t>
      </w:r>
      <w:r w:rsidRPr="00E91901">
        <w:rPr>
          <w:rFonts w:ascii="Book Antiqua" w:hAnsi="Book Antiqua" w:cs="Arial"/>
        </w:rPr>
        <w:t xml:space="preserve"> of Article 3</w:t>
      </w:r>
      <w:r w:rsidR="001E2E11" w:rsidRPr="00E91901">
        <w:rPr>
          <w:rFonts w:ascii="Book Antiqua" w:hAnsi="Book Antiqua" w:cs="Arial"/>
        </w:rPr>
        <w:t xml:space="preserve"> (see, for example, </w:t>
      </w:r>
      <w:r w:rsidR="001E2E11" w:rsidRPr="00E91901">
        <w:rPr>
          <w:rFonts w:ascii="Book Antiqua" w:hAnsi="Book Antiqua" w:cs="Arial"/>
          <w:i/>
        </w:rPr>
        <w:t xml:space="preserve">GS (India) &amp; </w:t>
      </w:r>
      <w:proofErr w:type="spellStart"/>
      <w:r w:rsidR="001E2E11" w:rsidRPr="00E91901">
        <w:rPr>
          <w:rFonts w:ascii="Book Antiqua" w:hAnsi="Book Antiqua" w:cs="Arial"/>
          <w:i/>
        </w:rPr>
        <w:t>Ors</w:t>
      </w:r>
      <w:proofErr w:type="spellEnd"/>
      <w:r w:rsidR="001E2E11" w:rsidRPr="00E91901">
        <w:rPr>
          <w:rFonts w:ascii="Book Antiqua" w:hAnsi="Book Antiqua" w:cs="Arial"/>
          <w:i/>
        </w:rPr>
        <w:t xml:space="preserve"> v Secretary of State for the Home Department </w:t>
      </w:r>
      <w:r w:rsidR="001E2E11" w:rsidRPr="00E91901">
        <w:rPr>
          <w:rFonts w:ascii="Book Antiqua" w:hAnsi="Book Antiqua" w:cs="Arial"/>
        </w:rPr>
        <w:t xml:space="preserve">[2015] EWCA </w:t>
      </w:r>
      <w:proofErr w:type="spellStart"/>
      <w:r w:rsidR="001E2E11" w:rsidRPr="00E91901">
        <w:rPr>
          <w:rFonts w:ascii="Book Antiqua" w:hAnsi="Book Antiqua" w:cs="Arial"/>
        </w:rPr>
        <w:t>Civ</w:t>
      </w:r>
      <w:proofErr w:type="spellEnd"/>
      <w:r w:rsidR="001E2E11" w:rsidRPr="00E91901">
        <w:rPr>
          <w:rFonts w:ascii="Book Antiqua" w:hAnsi="Book Antiqua" w:cs="Arial"/>
        </w:rPr>
        <w:t xml:space="preserve"> </w:t>
      </w:r>
      <w:r w:rsidR="00045798" w:rsidRPr="00E91901">
        <w:rPr>
          <w:rFonts w:ascii="Book Antiqua" w:hAnsi="Book Antiqua" w:cs="Arial"/>
        </w:rPr>
        <w:t xml:space="preserve">40 and </w:t>
      </w:r>
      <w:r w:rsidR="00045798" w:rsidRPr="00E91901">
        <w:rPr>
          <w:rFonts w:ascii="Book Antiqua" w:hAnsi="Book Antiqua" w:cs="Arial"/>
          <w:i/>
        </w:rPr>
        <w:t xml:space="preserve">AM (Zimbabwe) &amp; Anor v Secretary of State for the Home Department </w:t>
      </w:r>
      <w:r w:rsidR="00045798" w:rsidRPr="00E91901">
        <w:rPr>
          <w:rFonts w:ascii="Book Antiqua" w:hAnsi="Book Antiqua" w:cs="Arial"/>
        </w:rPr>
        <w:t xml:space="preserve">[2018] EWCA </w:t>
      </w:r>
      <w:proofErr w:type="spellStart"/>
      <w:r w:rsidR="00045798" w:rsidRPr="00E91901">
        <w:rPr>
          <w:rFonts w:ascii="Book Antiqua" w:hAnsi="Book Antiqua" w:cs="Arial"/>
        </w:rPr>
        <w:t>Civ</w:t>
      </w:r>
      <w:proofErr w:type="spellEnd"/>
      <w:r w:rsidR="00045798" w:rsidRPr="00E91901">
        <w:rPr>
          <w:rFonts w:ascii="Book Antiqua" w:hAnsi="Book Antiqua" w:cs="Arial"/>
        </w:rPr>
        <w:t xml:space="preserve"> 64).</w:t>
      </w:r>
    </w:p>
    <w:p w:rsidR="00BB1052" w:rsidRDefault="00BB1052"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What it seems to me is absent from Ms </w:t>
      </w:r>
      <w:proofErr w:type="spellStart"/>
      <w:r>
        <w:rPr>
          <w:rFonts w:ascii="Book Antiqua" w:hAnsi="Book Antiqua" w:cs="Arial"/>
        </w:rPr>
        <w:t>Kamundia’s</w:t>
      </w:r>
      <w:proofErr w:type="spellEnd"/>
      <w:r>
        <w:rPr>
          <w:rFonts w:ascii="Book Antiqua" w:hAnsi="Book Antiqua" w:cs="Arial"/>
        </w:rPr>
        <w:t xml:space="preserve"> report is reference to the various organisations that the appellant could potentially turn to as a source of support.  These are identified at pages 217, 219-292 and 301 of the appellant’s bundle.  There is merit in the argument advanced on behalf of the respondent in submissions before me to the effect that </w:t>
      </w:r>
      <w:r w:rsidR="00045798">
        <w:rPr>
          <w:rFonts w:ascii="Book Antiqua" w:hAnsi="Book Antiqua" w:cs="Arial"/>
        </w:rPr>
        <w:t xml:space="preserve">in the UK </w:t>
      </w:r>
      <w:r>
        <w:rPr>
          <w:rFonts w:ascii="Book Antiqua" w:hAnsi="Book Antiqua" w:cs="Arial"/>
        </w:rPr>
        <w:t>the appellant has been able to advocate for herself.  She is familiar with the customs and culture of Kenya and there is no reason to suppose that she would not be able to do the same</w:t>
      </w:r>
      <w:r w:rsidR="00045798">
        <w:rPr>
          <w:rFonts w:ascii="Book Antiqua" w:hAnsi="Book Antiqua" w:cs="Arial"/>
        </w:rPr>
        <w:t>, i.e. to advocate for herself, to seek help,</w:t>
      </w:r>
      <w:r>
        <w:rPr>
          <w:rFonts w:ascii="Book Antiqua" w:hAnsi="Book Antiqua" w:cs="Arial"/>
        </w:rPr>
        <w:t xml:space="preserve"> on return to Kenya.</w:t>
      </w:r>
    </w:p>
    <w:p w:rsidR="00045798" w:rsidRDefault="00BB1052"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It is true that </w:t>
      </w:r>
      <w:r w:rsidR="006104DB">
        <w:rPr>
          <w:rFonts w:ascii="Book Antiqua" w:hAnsi="Book Antiqua" w:cs="Arial"/>
        </w:rPr>
        <w:t>accessible</w:t>
      </w:r>
      <w:r>
        <w:rPr>
          <w:rFonts w:ascii="Book Antiqua" w:hAnsi="Book Antiqua" w:cs="Arial"/>
        </w:rPr>
        <w:t xml:space="preserve"> accommodation is non-existent.  The appellant would be living in conditions which would not be suitable for her medical needs.  That </w:t>
      </w:r>
      <w:r w:rsidR="006104DB">
        <w:rPr>
          <w:rFonts w:ascii="Book Antiqua" w:hAnsi="Book Antiqua" w:cs="Arial"/>
        </w:rPr>
        <w:t>again</w:t>
      </w:r>
      <w:r>
        <w:rPr>
          <w:rFonts w:ascii="Book Antiqua" w:hAnsi="Book Antiqua" w:cs="Arial"/>
        </w:rPr>
        <w:t xml:space="preserve"> however, does not elevate the appellant’s case to one in which it could be said that there would be a breach of her Article 3 rights on return. </w:t>
      </w:r>
    </w:p>
    <w:p w:rsidR="00045798" w:rsidRDefault="006104DB"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I note what is said in the appellant’s husband’s most recent statement dated 15 May 2018 about his need for the removal of his gall bladder to eliminate the possibility of future episodes of painful stomach pains and that it has now been indicated that gall bladder removal surgery would not be straightforward.  </w:t>
      </w:r>
      <w:r w:rsidR="006960C2">
        <w:rPr>
          <w:rFonts w:ascii="Book Antiqua" w:hAnsi="Book Antiqua" w:cs="Arial"/>
        </w:rPr>
        <w:t>It is the case however</w:t>
      </w:r>
      <w:r w:rsidR="00045798">
        <w:rPr>
          <w:rFonts w:ascii="Book Antiqua" w:hAnsi="Book Antiqua" w:cs="Arial"/>
        </w:rPr>
        <w:t>,</w:t>
      </w:r>
      <w:r w:rsidR="006960C2">
        <w:rPr>
          <w:rFonts w:ascii="Book Antiqua" w:hAnsi="Book Antiqua" w:cs="Arial"/>
        </w:rPr>
        <w:t xml:space="preserve"> that the appellant’s husband worked whilst </w:t>
      </w:r>
      <w:r w:rsidR="00045798">
        <w:rPr>
          <w:rFonts w:ascii="Book Antiqua" w:hAnsi="Book Antiqua" w:cs="Arial"/>
        </w:rPr>
        <w:t>they were</w:t>
      </w:r>
      <w:r w:rsidR="006960C2">
        <w:rPr>
          <w:rFonts w:ascii="Book Antiqua" w:hAnsi="Book Antiqua" w:cs="Arial"/>
        </w:rPr>
        <w:t xml:space="preserve"> in Kenya. </w:t>
      </w:r>
    </w:p>
    <w:p w:rsidR="006960C2" w:rsidRPr="00045798" w:rsidRDefault="006960C2" w:rsidP="000545FA">
      <w:pPr>
        <w:numPr>
          <w:ilvl w:val="0"/>
          <w:numId w:val="1"/>
        </w:numPr>
        <w:tabs>
          <w:tab w:val="clear" w:pos="567"/>
        </w:tabs>
        <w:spacing w:before="240"/>
        <w:jc w:val="both"/>
        <w:rPr>
          <w:rFonts w:ascii="Book Antiqua" w:hAnsi="Book Antiqua" w:cs="Arial"/>
        </w:rPr>
      </w:pPr>
      <w:r w:rsidRPr="00045798">
        <w:rPr>
          <w:rFonts w:ascii="Book Antiqua" w:hAnsi="Book Antiqua" w:cs="Arial"/>
        </w:rPr>
        <w:lastRenderedPageBreak/>
        <w:t xml:space="preserve">Admittedly, he states that he would be unable to work because of the appellant’s worsening condition which now needs more attention than before and that looking after her is now a full-time job.  He states that he would not be able to get sufficient rest or have time to look after his own health needs if he had to look after his </w:t>
      </w:r>
      <w:r w:rsidR="006104DB" w:rsidRPr="00045798">
        <w:rPr>
          <w:rFonts w:ascii="Book Antiqua" w:hAnsi="Book Antiqua" w:cs="Arial"/>
        </w:rPr>
        <w:t>wife</w:t>
      </w:r>
      <w:r w:rsidR="00E91901">
        <w:rPr>
          <w:rFonts w:ascii="Book Antiqua" w:hAnsi="Book Antiqua" w:cs="Arial"/>
        </w:rPr>
        <w:t>,</w:t>
      </w:r>
      <w:r w:rsidRPr="00045798">
        <w:rPr>
          <w:rFonts w:ascii="Book Antiqua" w:hAnsi="Book Antiqua" w:cs="Arial"/>
        </w:rPr>
        <w:t xml:space="preserve"> which in any event he says he is unable to do by himself.  However, it is to be remembered that the threshold for a </w:t>
      </w:r>
      <w:r w:rsidR="006104DB" w:rsidRPr="00045798">
        <w:rPr>
          <w:rFonts w:ascii="Book Antiqua" w:hAnsi="Book Antiqua" w:cs="Arial"/>
        </w:rPr>
        <w:t>breach</w:t>
      </w:r>
      <w:r w:rsidRPr="00045798">
        <w:rPr>
          <w:rFonts w:ascii="Book Antiqua" w:hAnsi="Book Antiqua" w:cs="Arial"/>
        </w:rPr>
        <w:t xml:space="preserve"> of Article 3 is a high one.  Notwithstanding everything </w:t>
      </w:r>
      <w:r w:rsidR="00911AB2" w:rsidRPr="00045798">
        <w:rPr>
          <w:rFonts w:ascii="Book Antiqua" w:hAnsi="Book Antiqua" w:cs="Arial"/>
        </w:rPr>
        <w:t xml:space="preserve">that the appellant and her husband say, that threshold is not reached in this case.  </w:t>
      </w:r>
    </w:p>
    <w:p w:rsidR="00911AB2" w:rsidRDefault="00911AB2"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I do not accept that the appellant and her husband would be homeless on return to </w:t>
      </w:r>
      <w:smartTag w:uri="urn:schemas-microsoft-com:office:smarttags" w:element="country-region">
        <w:smartTag w:uri="urn:schemas-microsoft-com:office:smarttags" w:element="place">
          <w:r>
            <w:rPr>
              <w:rFonts w:ascii="Book Antiqua" w:hAnsi="Book Antiqua" w:cs="Arial"/>
            </w:rPr>
            <w:t>Kenya</w:t>
          </w:r>
        </w:smartTag>
      </w:smartTag>
      <w:r>
        <w:rPr>
          <w:rFonts w:ascii="Book Antiqua" w:hAnsi="Book Antiqua" w:cs="Arial"/>
        </w:rPr>
        <w:t xml:space="preserve">.  Ms </w:t>
      </w:r>
      <w:proofErr w:type="spellStart"/>
      <w:r>
        <w:rPr>
          <w:rFonts w:ascii="Book Antiqua" w:hAnsi="Book Antiqua" w:cs="Arial"/>
        </w:rPr>
        <w:t>Kamundia</w:t>
      </w:r>
      <w:proofErr w:type="spellEnd"/>
      <w:r>
        <w:rPr>
          <w:rFonts w:ascii="Book Antiqua" w:hAnsi="Book Antiqua" w:cs="Arial"/>
        </w:rPr>
        <w:t xml:space="preserve"> does not say so in her report, albeit that she does describe in detail the lack of “accessible housing” in terms of the appellant’s disability.  I do accept that the accommodation that the appellant and her husband would have to live in would be unsuitable for their needs, principally because of the appellant’s </w:t>
      </w:r>
      <w:r w:rsidR="006104DB">
        <w:rPr>
          <w:rFonts w:ascii="Book Antiqua" w:hAnsi="Book Antiqua" w:cs="Arial"/>
        </w:rPr>
        <w:t>disability</w:t>
      </w:r>
      <w:r>
        <w:rPr>
          <w:rFonts w:ascii="Book Antiqua" w:hAnsi="Book Antiqua" w:cs="Arial"/>
        </w:rPr>
        <w:t xml:space="preserve">.  However, again, that does not indicate that her return to </w:t>
      </w:r>
      <w:smartTag w:uri="urn:schemas-microsoft-com:office:smarttags" w:element="country-region">
        <w:smartTag w:uri="urn:schemas-microsoft-com:office:smarttags" w:element="place">
          <w:r>
            <w:rPr>
              <w:rFonts w:ascii="Book Antiqua" w:hAnsi="Book Antiqua" w:cs="Arial"/>
            </w:rPr>
            <w:t>Kenya</w:t>
          </w:r>
        </w:smartTag>
      </w:smartTag>
      <w:r>
        <w:rPr>
          <w:rFonts w:ascii="Book Antiqua" w:hAnsi="Book Antiqua" w:cs="Arial"/>
        </w:rPr>
        <w:t xml:space="preserve"> would amount to a breach of her Article 3 rights.</w:t>
      </w:r>
      <w:r w:rsidR="00045798">
        <w:rPr>
          <w:rFonts w:ascii="Book Antiqua" w:hAnsi="Book Antiqua" w:cs="Arial"/>
        </w:rPr>
        <w:t xml:space="preserve"> There are in addition, various organisations that exist to support those with disabilities</w:t>
      </w:r>
      <w:r w:rsidR="008C1888">
        <w:rPr>
          <w:rFonts w:ascii="Book Antiqua" w:hAnsi="Book Antiqua" w:cs="Arial"/>
        </w:rPr>
        <w:t xml:space="preserve"> in various respects, as my review of the background evidence reveals, for example the </w:t>
      </w:r>
      <w:r w:rsidR="008C1888" w:rsidRPr="00FA42EA">
        <w:rPr>
          <w:rFonts w:ascii="Book Antiqua" w:hAnsi="Book Antiqua" w:cs="Arial"/>
        </w:rPr>
        <w:t xml:space="preserve">120 member organisations </w:t>
      </w:r>
      <w:r w:rsidR="008C1888">
        <w:rPr>
          <w:rFonts w:ascii="Book Antiqua" w:hAnsi="Book Antiqua" w:cs="Arial"/>
        </w:rPr>
        <w:t>within the UDPK.</w:t>
      </w:r>
    </w:p>
    <w:p w:rsidR="008C1888" w:rsidRDefault="00911AB2"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Furthermore, </w:t>
      </w:r>
      <w:r w:rsidR="00C01538">
        <w:rPr>
          <w:rFonts w:ascii="Book Antiqua" w:hAnsi="Book Antiqua" w:cs="Arial"/>
        </w:rPr>
        <w:t xml:space="preserve">although not determinative of my conclusions on the appeal, </w:t>
      </w:r>
      <w:r>
        <w:rPr>
          <w:rFonts w:ascii="Book Antiqua" w:hAnsi="Book Antiqua" w:cs="Arial"/>
        </w:rPr>
        <w:t xml:space="preserve">I do not accept the </w:t>
      </w:r>
      <w:r w:rsidR="006104DB">
        <w:rPr>
          <w:rFonts w:ascii="Book Antiqua" w:hAnsi="Book Antiqua" w:cs="Arial"/>
        </w:rPr>
        <w:t>proposition</w:t>
      </w:r>
      <w:r>
        <w:rPr>
          <w:rFonts w:ascii="Book Antiqua" w:hAnsi="Book Antiqua" w:cs="Arial"/>
        </w:rPr>
        <w:t xml:space="preserve"> that the appellant would not be eligible for the Cash Transfer Programme, as suggested in Ms </w:t>
      </w:r>
      <w:proofErr w:type="spellStart"/>
      <w:r>
        <w:rPr>
          <w:rFonts w:ascii="Book Antiqua" w:hAnsi="Book Antiqua" w:cs="Arial"/>
        </w:rPr>
        <w:t>Kamundia’s</w:t>
      </w:r>
      <w:proofErr w:type="spellEnd"/>
      <w:r>
        <w:rPr>
          <w:rFonts w:ascii="Book Antiqua" w:hAnsi="Book Antiqua" w:cs="Arial"/>
        </w:rPr>
        <w:t xml:space="preserve"> report.  The </w:t>
      </w:r>
      <w:r w:rsidR="006104DB">
        <w:rPr>
          <w:rFonts w:ascii="Book Antiqua" w:hAnsi="Book Antiqua" w:cs="Arial"/>
        </w:rPr>
        <w:t>basis</w:t>
      </w:r>
      <w:r>
        <w:rPr>
          <w:rFonts w:ascii="Book Antiqua" w:hAnsi="Book Antiqua" w:cs="Arial"/>
        </w:rPr>
        <w:t xml:space="preserve"> upon </w:t>
      </w:r>
      <w:r w:rsidR="006104DB">
        <w:rPr>
          <w:rFonts w:ascii="Book Antiqua" w:hAnsi="Book Antiqua" w:cs="Arial"/>
        </w:rPr>
        <w:t>which</w:t>
      </w:r>
      <w:r>
        <w:rPr>
          <w:rFonts w:ascii="Book Antiqua" w:hAnsi="Book Antiqua" w:cs="Arial"/>
        </w:rPr>
        <w:t xml:space="preserve"> it is said she would not be eligible for the programme is </w:t>
      </w:r>
      <w:r w:rsidR="008C1888">
        <w:rPr>
          <w:rFonts w:ascii="Book Antiqua" w:hAnsi="Book Antiqua" w:cs="Arial"/>
        </w:rPr>
        <w:t>that</w:t>
      </w:r>
      <w:r>
        <w:rPr>
          <w:rFonts w:ascii="Book Antiqua" w:hAnsi="Book Antiqua" w:cs="Arial"/>
        </w:rPr>
        <w:t xml:space="preserve"> she is able to feed </w:t>
      </w:r>
      <w:r w:rsidR="006104DB">
        <w:rPr>
          <w:rFonts w:ascii="Book Antiqua" w:hAnsi="Book Antiqua" w:cs="Arial"/>
        </w:rPr>
        <w:t>herself</w:t>
      </w:r>
      <w:r>
        <w:rPr>
          <w:rFonts w:ascii="Book Antiqua" w:hAnsi="Book Antiqua" w:cs="Arial"/>
        </w:rPr>
        <w:t xml:space="preserve">, albeit with difficulty.  In her witness statement dated 9 March 2017 </w:t>
      </w:r>
      <w:r w:rsidR="00BE2925">
        <w:rPr>
          <w:rFonts w:ascii="Book Antiqua" w:hAnsi="Book Antiqua" w:cs="Arial"/>
        </w:rPr>
        <w:t>at [18] the appellant states that as at that date at least</w:t>
      </w:r>
      <w:r w:rsidR="008C1888">
        <w:rPr>
          <w:rFonts w:ascii="Book Antiqua" w:hAnsi="Book Antiqua" w:cs="Arial"/>
        </w:rPr>
        <w:t>,</w:t>
      </w:r>
      <w:r w:rsidR="00BE2925">
        <w:rPr>
          <w:rFonts w:ascii="Book Antiqua" w:hAnsi="Book Antiqua" w:cs="Arial"/>
        </w:rPr>
        <w:t xml:space="preserve"> she could still feed herself because she has an assistive table which was </w:t>
      </w:r>
      <w:r w:rsidR="006104DB">
        <w:rPr>
          <w:rFonts w:ascii="Book Antiqua" w:hAnsi="Book Antiqua" w:cs="Arial"/>
        </w:rPr>
        <w:t>provided</w:t>
      </w:r>
      <w:r w:rsidR="00BE2925">
        <w:rPr>
          <w:rFonts w:ascii="Book Antiqua" w:hAnsi="Book Antiqua" w:cs="Arial"/>
        </w:rPr>
        <w:t xml:space="preserve"> as part of her care package.  The </w:t>
      </w:r>
      <w:r w:rsidR="006104DB">
        <w:rPr>
          <w:rFonts w:ascii="Book Antiqua" w:hAnsi="Book Antiqua" w:cs="Arial"/>
        </w:rPr>
        <w:t>table</w:t>
      </w:r>
      <w:r w:rsidR="00BE2925">
        <w:rPr>
          <w:rFonts w:ascii="Book Antiqua" w:hAnsi="Book Antiqua" w:cs="Arial"/>
        </w:rPr>
        <w:t xml:space="preserve"> is higher than a normal table and is adjustable and thus can be raised up and </w:t>
      </w:r>
      <w:r w:rsidR="006104DB">
        <w:rPr>
          <w:rFonts w:ascii="Book Antiqua" w:hAnsi="Book Antiqua" w:cs="Arial"/>
        </w:rPr>
        <w:t>positioned</w:t>
      </w:r>
      <w:r w:rsidR="00BE2925">
        <w:rPr>
          <w:rFonts w:ascii="Book Antiqua" w:hAnsi="Book Antiqua" w:cs="Arial"/>
        </w:rPr>
        <w:t xml:space="preserve"> very close to her face.  Therefore, so long as her husband leaves her food on the table where she can reach it she could feed herself.  In order to feed herself she would use her left hand to support her right and can only lift her hand a short distance.  Thus, having the food on the table which is already very close to her face makes it possible for her to feed herself. </w:t>
      </w:r>
    </w:p>
    <w:p w:rsidR="00CB0F07" w:rsidRDefault="00407B71" w:rsidP="000545FA">
      <w:pPr>
        <w:numPr>
          <w:ilvl w:val="0"/>
          <w:numId w:val="1"/>
        </w:numPr>
        <w:tabs>
          <w:tab w:val="clear" w:pos="567"/>
        </w:tabs>
        <w:spacing w:before="240"/>
        <w:jc w:val="both"/>
        <w:rPr>
          <w:rFonts w:ascii="Book Antiqua" w:hAnsi="Book Antiqua" w:cs="Arial"/>
        </w:rPr>
      </w:pPr>
      <w:r>
        <w:rPr>
          <w:rFonts w:ascii="Book Antiqua" w:hAnsi="Book Antiqua" w:cs="Arial"/>
        </w:rPr>
        <w:t>T</w:t>
      </w:r>
      <w:r w:rsidR="00BE2925">
        <w:rPr>
          <w:rFonts w:ascii="Book Antiqua" w:hAnsi="Book Antiqua" w:cs="Arial"/>
        </w:rPr>
        <w:t xml:space="preserve">he description of the Cash Transfer Programme in Ms </w:t>
      </w:r>
      <w:proofErr w:type="spellStart"/>
      <w:r w:rsidR="00BE2925">
        <w:rPr>
          <w:rFonts w:ascii="Book Antiqua" w:hAnsi="Book Antiqua" w:cs="Arial"/>
        </w:rPr>
        <w:t>Kamundia’s</w:t>
      </w:r>
      <w:proofErr w:type="spellEnd"/>
      <w:r w:rsidR="00BE2925">
        <w:rPr>
          <w:rFonts w:ascii="Book Antiqua" w:hAnsi="Book Antiqua" w:cs="Arial"/>
        </w:rPr>
        <w:t xml:space="preserve"> report</w:t>
      </w:r>
      <w:r>
        <w:rPr>
          <w:rFonts w:ascii="Book Antiqua" w:hAnsi="Book Antiqua" w:cs="Arial"/>
        </w:rPr>
        <w:t xml:space="preserve"> suggests that</w:t>
      </w:r>
      <w:r w:rsidR="00BE2925">
        <w:rPr>
          <w:rFonts w:ascii="Book Antiqua" w:hAnsi="Book Antiqua" w:cs="Arial"/>
        </w:rPr>
        <w:t xml:space="preserve"> the appellant would</w:t>
      </w:r>
      <w:r w:rsidR="00C447D6">
        <w:rPr>
          <w:rFonts w:ascii="Book Antiqua" w:hAnsi="Book Antiqua" w:cs="Arial"/>
        </w:rPr>
        <w:t xml:space="preserve"> </w:t>
      </w:r>
      <w:r w:rsidR="00BE2925">
        <w:rPr>
          <w:rFonts w:ascii="Book Antiqua" w:hAnsi="Book Antiqua" w:cs="Arial"/>
        </w:rPr>
        <w:t>be eligible for the programme</w:t>
      </w:r>
      <w:r w:rsidR="00CB0F07">
        <w:rPr>
          <w:rFonts w:ascii="Book Antiqua" w:hAnsi="Book Antiqua" w:cs="Arial"/>
        </w:rPr>
        <w:t>. Quoting from that report she states at 4.1 that:</w:t>
      </w:r>
    </w:p>
    <w:p w:rsidR="00CB0F07" w:rsidRDefault="00CB0F07" w:rsidP="003A391A">
      <w:pPr>
        <w:spacing w:before="120"/>
        <w:ind w:left="1134"/>
        <w:jc w:val="both"/>
        <w:rPr>
          <w:rFonts w:ascii="Book Antiqua" w:hAnsi="Book Antiqua" w:cs="Arial"/>
          <w:sz w:val="22"/>
          <w:szCs w:val="22"/>
        </w:rPr>
      </w:pPr>
      <w:r>
        <w:rPr>
          <w:rFonts w:ascii="Book Antiqua" w:hAnsi="Book Antiqua" w:cs="Arial"/>
          <w:sz w:val="22"/>
          <w:szCs w:val="22"/>
        </w:rPr>
        <w:t>“The eligibility criterion under the Cash Transfer Programme for Persons with Severe Disabilities includes ‘[a] household with a person with a severe disability and extremely poor households’. Under this programme the government defines persons with severe disabilities as referring to:</w:t>
      </w:r>
    </w:p>
    <w:p w:rsidR="00CB0F07" w:rsidRPr="00CB0F07" w:rsidRDefault="00CB0F07" w:rsidP="003A391A">
      <w:pPr>
        <w:spacing w:before="120"/>
        <w:ind w:left="1134"/>
        <w:jc w:val="both"/>
        <w:rPr>
          <w:rFonts w:ascii="Book Antiqua" w:hAnsi="Book Antiqua" w:cs="Arial"/>
          <w:sz w:val="22"/>
          <w:szCs w:val="22"/>
        </w:rPr>
      </w:pPr>
      <w:r>
        <w:rPr>
          <w:rFonts w:ascii="Book Antiqua" w:hAnsi="Book Antiqua" w:cs="Arial"/>
          <w:sz w:val="22"/>
          <w:szCs w:val="22"/>
        </w:rPr>
        <w:t>[T]</w:t>
      </w:r>
      <w:proofErr w:type="spellStart"/>
      <w:r>
        <w:rPr>
          <w:rFonts w:ascii="Book Antiqua" w:hAnsi="Book Antiqua" w:cs="Arial"/>
          <w:sz w:val="22"/>
          <w:szCs w:val="22"/>
        </w:rPr>
        <w:t>hose</w:t>
      </w:r>
      <w:proofErr w:type="spellEnd"/>
      <w:r>
        <w:rPr>
          <w:rFonts w:ascii="Book Antiqua" w:hAnsi="Book Antiqua" w:cs="Arial"/>
          <w:sz w:val="22"/>
          <w:szCs w:val="22"/>
        </w:rPr>
        <w:t xml:space="preserve"> who need permanent care including feeding, toiletry, protection from danger from themselves or other persons, and from the environment. They also need intensive support on a daily basis which therefore keeps their parents and guardians/caregivers at home or close to them throughout.”</w:t>
      </w:r>
    </w:p>
    <w:p w:rsidR="00407B71" w:rsidRDefault="005C3577" w:rsidP="000545FA">
      <w:pPr>
        <w:numPr>
          <w:ilvl w:val="0"/>
          <w:numId w:val="1"/>
        </w:numPr>
        <w:tabs>
          <w:tab w:val="clear" w:pos="567"/>
        </w:tabs>
        <w:spacing w:before="240"/>
        <w:jc w:val="both"/>
        <w:rPr>
          <w:rFonts w:ascii="Book Antiqua" w:hAnsi="Book Antiqua" w:cs="Arial"/>
        </w:rPr>
      </w:pPr>
      <w:r>
        <w:rPr>
          <w:rFonts w:ascii="Book Antiqua" w:hAnsi="Book Antiqua" w:cs="Arial"/>
        </w:rPr>
        <w:t>The wording suggests</w:t>
      </w:r>
      <w:r w:rsidR="00A37299">
        <w:rPr>
          <w:rFonts w:ascii="Book Antiqua" w:hAnsi="Book Antiqua" w:cs="Arial"/>
        </w:rPr>
        <w:t xml:space="preserve"> that the eligibility criteria</w:t>
      </w:r>
      <w:r>
        <w:rPr>
          <w:rFonts w:ascii="Book Antiqua" w:hAnsi="Book Antiqua" w:cs="Arial"/>
        </w:rPr>
        <w:t xml:space="preserve"> do not</w:t>
      </w:r>
      <w:r w:rsidR="00A37299">
        <w:rPr>
          <w:rFonts w:ascii="Book Antiqua" w:hAnsi="Book Antiqua" w:cs="Arial"/>
        </w:rPr>
        <w:t xml:space="preserve"> mean that a person must meet </w:t>
      </w:r>
      <w:r w:rsidR="00A37299">
        <w:rPr>
          <w:rFonts w:ascii="Book Antiqua" w:hAnsi="Book Antiqua" w:cs="Arial"/>
          <w:i/>
        </w:rPr>
        <w:t>all</w:t>
      </w:r>
      <w:r w:rsidR="00A37299">
        <w:rPr>
          <w:rFonts w:ascii="Book Antiqua" w:hAnsi="Book Antiqua" w:cs="Arial"/>
        </w:rPr>
        <w:t xml:space="preserve"> the requirements, i.e. feeding and toileting etc, given that any one of </w:t>
      </w:r>
      <w:r w:rsidR="00032B2F">
        <w:rPr>
          <w:rFonts w:ascii="Book Antiqua" w:hAnsi="Book Antiqua" w:cs="Arial"/>
        </w:rPr>
        <w:t xml:space="preserve">those </w:t>
      </w:r>
      <w:r w:rsidR="00A37299">
        <w:rPr>
          <w:rFonts w:ascii="Book Antiqua" w:hAnsi="Book Antiqua" w:cs="Arial"/>
        </w:rPr>
        <w:t>descriptors may suggest a severe disability</w:t>
      </w:r>
      <w:r w:rsidR="00407B71">
        <w:rPr>
          <w:rFonts w:ascii="Book Antiqua" w:hAnsi="Book Antiqua" w:cs="Arial"/>
        </w:rPr>
        <w:t xml:space="preserve"> and the appellant </w:t>
      </w:r>
      <w:r w:rsidR="009143FE">
        <w:rPr>
          <w:rFonts w:ascii="Book Antiqua" w:hAnsi="Book Antiqua" w:cs="Arial"/>
        </w:rPr>
        <w:t xml:space="preserve">does </w:t>
      </w:r>
      <w:r w:rsidR="00407B71">
        <w:rPr>
          <w:rFonts w:ascii="Book Antiqua" w:hAnsi="Book Antiqua" w:cs="Arial"/>
        </w:rPr>
        <w:t xml:space="preserve">need permanent </w:t>
      </w:r>
      <w:r w:rsidR="00407B71">
        <w:rPr>
          <w:rFonts w:ascii="Book Antiqua" w:hAnsi="Book Antiqua" w:cs="Arial"/>
        </w:rPr>
        <w:lastRenderedPageBreak/>
        <w:t xml:space="preserve">care in toiletry. Further, in terms of feeding, even assuming that the appellant would be provided with an assistive table, she still needs permanent care in feeding in terms of the food being provided for her and to the point of it being put on the assistive table. She is unable to feed herself without that permanent care. </w:t>
      </w:r>
    </w:p>
    <w:p w:rsidR="00911AB2" w:rsidRDefault="00BE2925" w:rsidP="000545FA">
      <w:pPr>
        <w:numPr>
          <w:ilvl w:val="0"/>
          <w:numId w:val="1"/>
        </w:numPr>
        <w:tabs>
          <w:tab w:val="clear" w:pos="567"/>
        </w:tabs>
        <w:spacing w:before="240"/>
        <w:jc w:val="both"/>
        <w:rPr>
          <w:rFonts w:ascii="Book Antiqua" w:hAnsi="Book Antiqua" w:cs="Arial"/>
        </w:rPr>
      </w:pPr>
      <w:r>
        <w:rPr>
          <w:rFonts w:ascii="Book Antiqua" w:hAnsi="Book Antiqua" w:cs="Arial"/>
        </w:rPr>
        <w:t>Whilst I accept that the amount provided</w:t>
      </w:r>
      <w:r w:rsidR="00407B71">
        <w:rPr>
          <w:rFonts w:ascii="Book Antiqua" w:hAnsi="Book Antiqua" w:cs="Arial"/>
        </w:rPr>
        <w:t xml:space="preserve"> under the programme</w:t>
      </w:r>
      <w:r>
        <w:rPr>
          <w:rFonts w:ascii="Book Antiqua" w:hAnsi="Book Antiqua" w:cs="Arial"/>
        </w:rPr>
        <w:t xml:space="preserve"> would be insufficient to cater for her disability, there is no reason to believe, and no evidence was put before me to suggest</w:t>
      </w:r>
      <w:r w:rsidR="00E4743F">
        <w:rPr>
          <w:rFonts w:ascii="Book Antiqua" w:hAnsi="Book Antiqua" w:cs="Arial"/>
        </w:rPr>
        <w:t>,</w:t>
      </w:r>
      <w:r>
        <w:rPr>
          <w:rFonts w:ascii="Book Antiqua" w:hAnsi="Book Antiqua" w:cs="Arial"/>
        </w:rPr>
        <w:t xml:space="preserve"> that the funds provided could not be used </w:t>
      </w:r>
      <w:r w:rsidR="00407B71">
        <w:rPr>
          <w:rFonts w:ascii="Book Antiqua" w:hAnsi="Book Antiqua" w:cs="Arial"/>
        </w:rPr>
        <w:t>towards</w:t>
      </w:r>
      <w:r>
        <w:rPr>
          <w:rFonts w:ascii="Book Antiqua" w:hAnsi="Book Antiqua" w:cs="Arial"/>
        </w:rPr>
        <w:t xml:space="preserve"> obtaining accommodation, however inadequate that accommodation may be.  </w:t>
      </w:r>
    </w:p>
    <w:p w:rsidR="00BE2925" w:rsidRDefault="00BE2925"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In all the circumstances, I am not satisfied that it has been established that the appellant would be at real risk of a breach of her Article 3 rights in terms of inhuman or degrading treatment, along classic </w:t>
      </w:r>
      <w:r w:rsidRPr="00BE2925">
        <w:rPr>
          <w:rFonts w:ascii="Book Antiqua" w:hAnsi="Book Antiqua" w:cs="Arial"/>
          <w:i/>
        </w:rPr>
        <w:t>N</w:t>
      </w:r>
      <w:r>
        <w:rPr>
          <w:rFonts w:ascii="Book Antiqua" w:hAnsi="Book Antiqua" w:cs="Arial"/>
        </w:rPr>
        <w:t xml:space="preserve"> lines, or otherwise.  Her living conditions would be likely to be very poor and her health would undoubtedly suffer.  However, she would have her husband with her to provide the care that he is able to.  The limitations on what he is able to provide do not </w:t>
      </w:r>
      <w:r w:rsidR="00435691">
        <w:rPr>
          <w:rFonts w:ascii="Book Antiqua" w:hAnsi="Book Antiqua" w:cs="Arial"/>
        </w:rPr>
        <w:t>raise</w:t>
      </w:r>
      <w:r>
        <w:rPr>
          <w:rFonts w:ascii="Book Antiqua" w:hAnsi="Book Antiqua" w:cs="Arial"/>
        </w:rPr>
        <w:t xml:space="preserve"> the appellant’s circumstances to the high threshold required for a breach of Article 3.  </w:t>
      </w:r>
    </w:p>
    <w:p w:rsidR="00BE2925" w:rsidRDefault="00BE2925" w:rsidP="000545FA">
      <w:pPr>
        <w:numPr>
          <w:ilvl w:val="0"/>
          <w:numId w:val="1"/>
        </w:numPr>
        <w:tabs>
          <w:tab w:val="clear" w:pos="567"/>
        </w:tabs>
        <w:spacing w:before="240"/>
        <w:jc w:val="both"/>
        <w:rPr>
          <w:rFonts w:ascii="Book Antiqua" w:hAnsi="Book Antiqua" w:cs="Arial"/>
        </w:rPr>
      </w:pPr>
      <w:r>
        <w:rPr>
          <w:rFonts w:ascii="Book Antiqua" w:hAnsi="Book Antiqua" w:cs="Arial"/>
        </w:rPr>
        <w:t>I have considered very carefully everything that the appellant and her husband say in their witness statements about the extent of their isolation, or more particularly the appellant’s</w:t>
      </w:r>
      <w:r w:rsidR="00E4743F">
        <w:rPr>
          <w:rFonts w:ascii="Book Antiqua" w:hAnsi="Book Antiqua" w:cs="Arial"/>
        </w:rPr>
        <w:t>,</w:t>
      </w:r>
      <w:r>
        <w:rPr>
          <w:rFonts w:ascii="Book Antiqua" w:hAnsi="Book Antiqua" w:cs="Arial"/>
        </w:rPr>
        <w:t xml:space="preserve"> prior to their coming to the UK and what the appellant says about how she would be isolated on return.  In </w:t>
      </w:r>
      <w:r w:rsidR="006104DB">
        <w:rPr>
          <w:rFonts w:ascii="Book Antiqua" w:hAnsi="Book Antiqua" w:cs="Arial"/>
        </w:rPr>
        <w:t>terms</w:t>
      </w:r>
      <w:r>
        <w:rPr>
          <w:rFonts w:ascii="Book Antiqua" w:hAnsi="Book Antiqua" w:cs="Arial"/>
        </w:rPr>
        <w:t xml:space="preserve"> of Article 8 under the Immigration Rules with reference to private life, paragraph 276ADE(vi) </w:t>
      </w:r>
      <w:r w:rsidR="00F13366">
        <w:rPr>
          <w:rFonts w:ascii="Book Antiqua" w:hAnsi="Book Antiqua" w:cs="Arial"/>
        </w:rPr>
        <w:t xml:space="preserve">is one of the ways that the requirements for a successful Article 8 claim </w:t>
      </w:r>
      <w:r w:rsidR="0030786F">
        <w:rPr>
          <w:rFonts w:ascii="Book Antiqua" w:hAnsi="Book Antiqua" w:cs="Arial"/>
        </w:rPr>
        <w:t>can be met. That requirement is that the person</w:t>
      </w:r>
      <w:r>
        <w:rPr>
          <w:rFonts w:ascii="Book Antiqua" w:hAnsi="Book Antiqua" w:cs="Arial"/>
        </w:rPr>
        <w:t>:</w:t>
      </w:r>
    </w:p>
    <w:p w:rsidR="00BE2925" w:rsidRDefault="00F13366" w:rsidP="003A391A">
      <w:pPr>
        <w:spacing w:before="120"/>
        <w:ind w:left="1134"/>
        <w:jc w:val="both"/>
        <w:rPr>
          <w:rFonts w:ascii="Book Antiqua" w:hAnsi="Book Antiqua" w:cs="Arial"/>
        </w:rPr>
      </w:pPr>
      <w:r>
        <w:rPr>
          <w:rFonts w:ascii="Book Antiqua" w:hAnsi="Book Antiqua"/>
          <w:sz w:val="22"/>
          <w:szCs w:val="22"/>
        </w:rPr>
        <w:t xml:space="preserve"> </w:t>
      </w:r>
      <w:r w:rsidR="00CC195D">
        <w:rPr>
          <w:rFonts w:ascii="Book Antiqua" w:hAnsi="Book Antiqua"/>
          <w:sz w:val="22"/>
          <w:szCs w:val="22"/>
        </w:rPr>
        <w:t>“</w:t>
      </w:r>
      <w:r w:rsidR="00CC195D" w:rsidRPr="00CC195D">
        <w:rPr>
          <w:rFonts w:ascii="Book Antiqua" w:hAnsi="Book Antiqua"/>
          <w:sz w:val="22"/>
          <w:szCs w:val="22"/>
        </w:rPr>
        <w:t>subject to sub-paragraph (2), is aged 18 years or above, has lived continuously in the UK for less than 20 years (discounting any period of imprisonment) but there would be very significant obstacles to the applicant’s integration into the country to which he would have to go if required to leave the UK</w:t>
      </w:r>
      <w:r w:rsidR="00BE2925">
        <w:rPr>
          <w:rFonts w:ascii="Book Antiqua" w:hAnsi="Book Antiqua" w:cs="Arial"/>
        </w:rPr>
        <w:t>”</w:t>
      </w:r>
      <w:r w:rsidR="00CC195D">
        <w:rPr>
          <w:rFonts w:ascii="Book Antiqua" w:hAnsi="Book Antiqua" w:cs="Arial"/>
        </w:rPr>
        <w:t>.</w:t>
      </w:r>
    </w:p>
    <w:p w:rsidR="00BE2925" w:rsidRDefault="00F13973"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It is said that the appellant’s circumstances on return would be such that there would be very significant </w:t>
      </w:r>
      <w:r w:rsidR="00113F21">
        <w:rPr>
          <w:rFonts w:ascii="Book Antiqua" w:hAnsi="Book Antiqua" w:cs="Arial"/>
        </w:rPr>
        <w:t>obstacles to her integration.  Mr Seddon necessarily sought to suggest that the appellant’s circumstances were outside the paradigm of such cases.  The paradigm</w:t>
      </w:r>
      <w:r w:rsidR="0030786F">
        <w:rPr>
          <w:rFonts w:ascii="Book Antiqua" w:hAnsi="Book Antiqua" w:cs="Arial"/>
        </w:rPr>
        <w:t xml:space="preserve"> is</w:t>
      </w:r>
      <w:r w:rsidR="00113F21">
        <w:rPr>
          <w:rFonts w:ascii="Book Antiqua" w:hAnsi="Book Antiqua" w:cs="Arial"/>
        </w:rPr>
        <w:t xml:space="preserve"> generally a case in which an individual has been in the UK for many years and </w:t>
      </w:r>
      <w:r w:rsidR="0030786F">
        <w:rPr>
          <w:rFonts w:ascii="Book Antiqua" w:hAnsi="Book Antiqua" w:cs="Arial"/>
        </w:rPr>
        <w:t xml:space="preserve">has </w:t>
      </w:r>
      <w:r w:rsidR="00113F21">
        <w:rPr>
          <w:rFonts w:ascii="Book Antiqua" w:hAnsi="Book Antiqua" w:cs="Arial"/>
        </w:rPr>
        <w:t>lost</w:t>
      </w:r>
      <w:r w:rsidR="0030786F">
        <w:rPr>
          <w:rFonts w:ascii="Book Antiqua" w:hAnsi="Book Antiqua" w:cs="Arial"/>
        </w:rPr>
        <w:t xml:space="preserve"> significant</w:t>
      </w:r>
      <w:r w:rsidR="00113F21">
        <w:rPr>
          <w:rFonts w:ascii="Book Antiqua" w:hAnsi="Book Antiqua" w:cs="Arial"/>
        </w:rPr>
        <w:t xml:space="preserve"> connections with their home country, such that it could be said that there were very significant obstacles to</w:t>
      </w:r>
      <w:r w:rsidR="0030786F">
        <w:rPr>
          <w:rFonts w:ascii="Book Antiqua" w:hAnsi="Book Antiqua" w:cs="Arial"/>
        </w:rPr>
        <w:t xml:space="preserve"> their</w:t>
      </w:r>
      <w:r w:rsidR="00113F21">
        <w:rPr>
          <w:rFonts w:ascii="Book Antiqua" w:hAnsi="Book Antiqua" w:cs="Arial"/>
        </w:rPr>
        <w:t xml:space="preserve"> integration.  As was said in </w:t>
      </w:r>
      <w:r w:rsidR="00113F21" w:rsidRPr="00113F21">
        <w:rPr>
          <w:rFonts w:ascii="Book Antiqua" w:hAnsi="Book Antiqua" w:cs="Arial"/>
          <w:i/>
        </w:rPr>
        <w:t>Kamara</w:t>
      </w:r>
      <w:r w:rsidR="00113F21">
        <w:rPr>
          <w:rFonts w:ascii="Book Antiqua" w:hAnsi="Book Antiqua" w:cs="Arial"/>
        </w:rPr>
        <w:t>, the statutory language is generally all that needs to be considered.  That was said in the context of a consideration of s. 117C(4)(c) of the 2002 Act</w:t>
      </w:r>
      <w:r w:rsidR="0030786F">
        <w:rPr>
          <w:rFonts w:ascii="Book Antiqua" w:hAnsi="Book Antiqua" w:cs="Arial"/>
        </w:rPr>
        <w:t xml:space="preserve"> but</w:t>
      </w:r>
      <w:r w:rsidR="00113F21">
        <w:rPr>
          <w:rFonts w:ascii="Book Antiqua" w:hAnsi="Book Antiqua" w:cs="Arial"/>
        </w:rPr>
        <w:t xml:space="preserve"> </w:t>
      </w:r>
      <w:r w:rsidR="00435691">
        <w:rPr>
          <w:rFonts w:ascii="Book Antiqua" w:hAnsi="Book Antiqua" w:cs="Arial"/>
        </w:rPr>
        <w:t xml:space="preserve">the </w:t>
      </w:r>
      <w:r w:rsidR="00113F21">
        <w:rPr>
          <w:rFonts w:ascii="Book Antiqua" w:hAnsi="Book Antiqua" w:cs="Arial"/>
        </w:rPr>
        <w:t xml:space="preserve">principle remains the same.  </w:t>
      </w:r>
    </w:p>
    <w:p w:rsidR="00113F21" w:rsidRDefault="00113F21"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I cannot accept that there would be very significant obstacles to the appellant’s integration in </w:t>
      </w:r>
      <w:smartTag w:uri="urn:schemas-microsoft-com:office:smarttags" w:element="country-region">
        <w:smartTag w:uri="urn:schemas-microsoft-com:office:smarttags" w:element="place">
          <w:r>
            <w:rPr>
              <w:rFonts w:ascii="Book Antiqua" w:hAnsi="Book Antiqua" w:cs="Arial"/>
            </w:rPr>
            <w:t>Kenya</w:t>
          </w:r>
        </w:smartTag>
      </w:smartTag>
      <w:r>
        <w:rPr>
          <w:rFonts w:ascii="Book Antiqua" w:hAnsi="Book Antiqua" w:cs="Arial"/>
        </w:rPr>
        <w:t xml:space="preserve">.  </w:t>
      </w:r>
      <w:r w:rsidR="006104DB">
        <w:rPr>
          <w:rFonts w:ascii="Book Antiqua" w:hAnsi="Book Antiqua" w:cs="Arial"/>
        </w:rPr>
        <w:t>Undoubtedly</w:t>
      </w:r>
      <w:r>
        <w:rPr>
          <w:rFonts w:ascii="Book Antiqua" w:hAnsi="Book Antiqua" w:cs="Arial"/>
        </w:rPr>
        <w:t xml:space="preserve"> the extent of her integration would be limited.  </w:t>
      </w:r>
      <w:r w:rsidR="0030786F">
        <w:rPr>
          <w:rFonts w:ascii="Book Antiqua" w:hAnsi="Book Antiqua" w:cs="Arial"/>
        </w:rPr>
        <w:t>However</w:t>
      </w:r>
      <w:r>
        <w:rPr>
          <w:rFonts w:ascii="Book Antiqua" w:hAnsi="Book Antiqua" w:cs="Arial"/>
        </w:rPr>
        <w:t>, the appellant is plainly</w:t>
      </w:r>
      <w:r w:rsidR="0030786F">
        <w:rPr>
          <w:rFonts w:ascii="Book Antiqua" w:hAnsi="Book Antiqua" w:cs="Arial"/>
        </w:rPr>
        <w:t xml:space="preserve"> very</w:t>
      </w:r>
      <w:r>
        <w:rPr>
          <w:rFonts w:ascii="Book Antiqua" w:hAnsi="Book Antiqua" w:cs="Arial"/>
        </w:rPr>
        <w:t xml:space="preserve"> familiar with the culture and customs of Kenya, as is her husband.  I accept that there will be a </w:t>
      </w:r>
      <w:r w:rsidR="006104DB">
        <w:rPr>
          <w:rFonts w:ascii="Book Antiqua" w:hAnsi="Book Antiqua" w:cs="Arial"/>
        </w:rPr>
        <w:t>significant</w:t>
      </w:r>
      <w:r>
        <w:rPr>
          <w:rFonts w:ascii="Book Antiqua" w:hAnsi="Book Antiqua" w:cs="Arial"/>
        </w:rPr>
        <w:t xml:space="preserve"> degree of isolation for the appellant on her return but she had integrative links before she left in 2015.  Notwithstanding her disability and the isolation that that involves and </w:t>
      </w:r>
      <w:r w:rsidR="006104DB">
        <w:rPr>
          <w:rFonts w:ascii="Book Antiqua" w:hAnsi="Book Antiqua" w:cs="Arial"/>
        </w:rPr>
        <w:t>would</w:t>
      </w:r>
      <w:r>
        <w:rPr>
          <w:rFonts w:ascii="Book Antiqua" w:hAnsi="Book Antiqua" w:cs="Arial"/>
        </w:rPr>
        <w:t xml:space="preserve"> involve in the future, I am not satisfied that it is the </w:t>
      </w:r>
      <w:r w:rsidR="006104DB">
        <w:rPr>
          <w:rFonts w:ascii="Book Antiqua" w:hAnsi="Book Antiqua" w:cs="Arial"/>
        </w:rPr>
        <w:t>case</w:t>
      </w:r>
      <w:r>
        <w:rPr>
          <w:rFonts w:ascii="Book Antiqua" w:hAnsi="Book Antiqua" w:cs="Arial"/>
        </w:rPr>
        <w:t xml:space="preserve"> that the integrative links that she had </w:t>
      </w:r>
      <w:r>
        <w:rPr>
          <w:rFonts w:ascii="Book Antiqua" w:hAnsi="Book Antiqua" w:cs="Arial"/>
        </w:rPr>
        <w:lastRenderedPageBreak/>
        <w:t>when she was there have been lost, or would be unable to be re-established on return, limited though those links</w:t>
      </w:r>
      <w:r w:rsidR="0030786F">
        <w:rPr>
          <w:rFonts w:ascii="Book Antiqua" w:hAnsi="Book Antiqua" w:cs="Arial"/>
        </w:rPr>
        <w:t xml:space="preserve"> may</w:t>
      </w:r>
      <w:r>
        <w:rPr>
          <w:rFonts w:ascii="Book Antiqua" w:hAnsi="Book Antiqua" w:cs="Arial"/>
        </w:rPr>
        <w:t xml:space="preserve"> have been.  I also bear in mind in this context the reasonable prospect that the appellant would be able, with her husband, to make contact with various disability rights organisation</w:t>
      </w:r>
      <w:r w:rsidR="00ED432F">
        <w:rPr>
          <w:rFonts w:ascii="Book Antiqua" w:hAnsi="Book Antiqua" w:cs="Arial"/>
        </w:rPr>
        <w:t>s.</w:t>
      </w:r>
    </w:p>
    <w:p w:rsidR="00113F21" w:rsidRDefault="00113F21"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There are plainly </w:t>
      </w:r>
      <w:r w:rsidR="006104DB">
        <w:rPr>
          <w:rFonts w:ascii="Book Antiqua" w:hAnsi="Book Antiqua" w:cs="Arial"/>
        </w:rPr>
        <w:t>compelling</w:t>
      </w:r>
      <w:r>
        <w:rPr>
          <w:rFonts w:ascii="Book Antiqua" w:hAnsi="Book Antiqua" w:cs="Arial"/>
        </w:rPr>
        <w:t xml:space="preserve"> circumstances meriting consideration of Article 8 outside the confines of the Article 8 Rules. </w:t>
      </w:r>
      <w:r w:rsidR="00ED432F">
        <w:rPr>
          <w:rFonts w:ascii="Book Antiqua" w:hAnsi="Book Antiqua" w:cs="Arial"/>
        </w:rPr>
        <w:t>The Article 8 case on private life was not advanced in terms of</w:t>
      </w:r>
      <w:r w:rsidR="00C80BB9">
        <w:rPr>
          <w:rFonts w:ascii="Book Antiqua" w:hAnsi="Book Antiqua" w:cs="Arial"/>
        </w:rPr>
        <w:t xml:space="preserve"> </w:t>
      </w:r>
      <w:r w:rsidR="00ED432F">
        <w:rPr>
          <w:rFonts w:ascii="Book Antiqua" w:hAnsi="Book Antiqua" w:cs="Arial"/>
        </w:rPr>
        <w:t>personal</w:t>
      </w:r>
      <w:r w:rsidR="00C80BB9">
        <w:rPr>
          <w:rFonts w:ascii="Book Antiqua" w:hAnsi="Book Antiqua" w:cs="Arial"/>
        </w:rPr>
        <w:t xml:space="preserve"> integrity</w:t>
      </w:r>
      <w:r w:rsidR="000318B4">
        <w:rPr>
          <w:rFonts w:ascii="Book Antiqua" w:hAnsi="Book Antiqua" w:cs="Arial"/>
        </w:rPr>
        <w:t>, autonomy or dignity; i.e. quality of life (</w:t>
      </w:r>
      <w:r w:rsidR="000318B4" w:rsidRPr="00FA42EA">
        <w:rPr>
          <w:rFonts w:ascii="Book Antiqua" w:hAnsi="Book Antiqua" w:cs="Arial"/>
          <w:i/>
        </w:rPr>
        <w:t>GS (India)</w:t>
      </w:r>
      <w:r w:rsidR="000318B4">
        <w:rPr>
          <w:rFonts w:ascii="Book Antiqua" w:hAnsi="Book Antiqua" w:cs="Arial"/>
          <w:i/>
        </w:rPr>
        <w:t xml:space="preserve"> </w:t>
      </w:r>
      <w:r w:rsidR="000318B4">
        <w:rPr>
          <w:rFonts w:ascii="Book Antiqua" w:hAnsi="Book Antiqua" w:cs="Arial"/>
        </w:rPr>
        <w:t>at [39])</w:t>
      </w:r>
      <w:r w:rsidR="00C80BB9">
        <w:rPr>
          <w:rFonts w:ascii="Book Antiqua" w:hAnsi="Book Antiqua" w:cs="Arial"/>
        </w:rPr>
        <w:t xml:space="preserve">.  </w:t>
      </w:r>
      <w:r w:rsidR="00ED432F">
        <w:rPr>
          <w:rFonts w:ascii="Book Antiqua" w:hAnsi="Book Antiqua" w:cs="Arial"/>
        </w:rPr>
        <w:t>It is in any event</w:t>
      </w:r>
      <w:r w:rsidR="00C80BB9">
        <w:rPr>
          <w:rFonts w:ascii="Book Antiqua" w:hAnsi="Book Antiqua" w:cs="Arial"/>
        </w:rPr>
        <w:t xml:space="preserve"> clear that </w:t>
      </w:r>
      <w:r w:rsidR="00562C59">
        <w:rPr>
          <w:rFonts w:ascii="Book Antiqua" w:hAnsi="Book Antiqua" w:cs="Arial"/>
        </w:rPr>
        <w:t xml:space="preserve">absent some </w:t>
      </w:r>
      <w:r w:rsidR="00A81112">
        <w:rPr>
          <w:rFonts w:ascii="Book Antiqua" w:hAnsi="Book Antiqua" w:cs="Arial"/>
        </w:rPr>
        <w:t xml:space="preserve">“separate or additional factual element” </w:t>
      </w:r>
      <w:r w:rsidR="00C80BB9">
        <w:rPr>
          <w:rFonts w:ascii="Book Antiqua" w:hAnsi="Book Antiqua" w:cs="Arial"/>
        </w:rPr>
        <w:t xml:space="preserve">a case that fails on Article 3 grounds, </w:t>
      </w:r>
      <w:r w:rsidR="00A81112">
        <w:rPr>
          <w:rFonts w:ascii="Book Antiqua" w:hAnsi="Book Antiqua" w:cs="Arial"/>
        </w:rPr>
        <w:t>cannot</w:t>
      </w:r>
      <w:r w:rsidR="00C80BB9">
        <w:rPr>
          <w:rFonts w:ascii="Book Antiqua" w:hAnsi="Book Antiqua" w:cs="Arial"/>
        </w:rPr>
        <w:t xml:space="preserve"> succeed on Article 8 grounds</w:t>
      </w:r>
      <w:r w:rsidR="00A81112">
        <w:rPr>
          <w:rFonts w:ascii="Book Antiqua" w:hAnsi="Book Antiqua" w:cs="Arial"/>
        </w:rPr>
        <w:t xml:space="preserve"> ([86] of </w:t>
      </w:r>
      <w:r w:rsidR="00A81112">
        <w:rPr>
          <w:rFonts w:ascii="Book Antiqua" w:hAnsi="Book Antiqua" w:cs="Arial"/>
          <w:i/>
        </w:rPr>
        <w:t>GS (India)</w:t>
      </w:r>
      <w:r w:rsidR="00A81112">
        <w:rPr>
          <w:rFonts w:ascii="Book Antiqua" w:hAnsi="Book Antiqua" w:cs="Arial"/>
        </w:rPr>
        <w:t>).</w:t>
      </w:r>
    </w:p>
    <w:p w:rsidR="00C80BB9" w:rsidRDefault="0081373A" w:rsidP="000545FA">
      <w:pPr>
        <w:numPr>
          <w:ilvl w:val="0"/>
          <w:numId w:val="1"/>
        </w:numPr>
        <w:tabs>
          <w:tab w:val="clear" w:pos="567"/>
        </w:tabs>
        <w:spacing w:before="240"/>
        <w:jc w:val="both"/>
        <w:rPr>
          <w:rFonts w:ascii="Book Antiqua" w:hAnsi="Book Antiqua" w:cs="Arial"/>
        </w:rPr>
      </w:pPr>
      <w:r>
        <w:rPr>
          <w:noProof/>
        </w:rPr>
        <mc:AlternateContent>
          <mc:Choice Requires="wpi">
            <w:drawing>
              <wp:anchor distT="0" distB="0" distL="114300" distR="114300" simplePos="0" relativeHeight="251657728" behindDoc="0" locked="0" layoutInCell="1" allowOverlap="1">
                <wp:simplePos x="0" y="0"/>
                <wp:positionH relativeFrom="column">
                  <wp:posOffset>6077585</wp:posOffset>
                </wp:positionH>
                <wp:positionV relativeFrom="paragraph">
                  <wp:posOffset>1126490</wp:posOffset>
                </wp:positionV>
                <wp:extent cx="18415" cy="18415"/>
                <wp:effectExtent l="63500" t="64770" r="51435" b="50165"/>
                <wp:wrapNone/>
                <wp:docPr id="3"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2E09E70C" id="Ink 1" o:spid="_x0000_s1026" type="#_x0000_t75" style="position:absolute;margin-left:442.3pt;margin-top:52.45pt;width:72.5pt;height: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">
                <v:imagedata r:id="rId11" o:title=""/>
                <o:lock v:ext="edit" rotation="t" aspectratio="f"/>
              </v:shape>
            </w:pict>
          </mc:Fallback>
        </mc:AlternateContent>
      </w:r>
      <w:r w:rsidR="00C80BB9">
        <w:rPr>
          <w:rFonts w:ascii="Book Antiqua" w:hAnsi="Book Antiqua" w:cs="Arial"/>
        </w:rPr>
        <w:t xml:space="preserve">In terms of family life, I reject the contention that returning the appellant to Kenya would amount to a breach of her Article 8 rights in terms of family life because of her and her husband’s longstanding wish and efforts to have a child, and the risks that that </w:t>
      </w:r>
      <w:r w:rsidR="006104DB">
        <w:rPr>
          <w:rFonts w:ascii="Book Antiqua" w:hAnsi="Book Antiqua" w:cs="Arial"/>
        </w:rPr>
        <w:t>would</w:t>
      </w:r>
      <w:r w:rsidR="00C80BB9">
        <w:rPr>
          <w:rFonts w:ascii="Book Antiqua" w:hAnsi="Book Antiqua" w:cs="Arial"/>
        </w:rPr>
        <w:t xml:space="preserve"> involve without expert treatment.  I do not accept that the right to family life extends to the right to the fulfilment of a desire </w:t>
      </w:r>
      <w:r w:rsidR="006104DB">
        <w:rPr>
          <w:rFonts w:ascii="Book Antiqua" w:hAnsi="Book Antiqua" w:cs="Arial"/>
        </w:rPr>
        <w:t>to have</w:t>
      </w:r>
      <w:r w:rsidR="00C80BB9">
        <w:rPr>
          <w:rFonts w:ascii="Book Antiqua" w:hAnsi="Book Antiqua" w:cs="Arial"/>
        </w:rPr>
        <w:t xml:space="preserve"> children </w:t>
      </w:r>
      <w:r w:rsidR="00435691">
        <w:rPr>
          <w:rFonts w:ascii="Book Antiqua" w:hAnsi="Book Antiqua" w:cs="Arial"/>
        </w:rPr>
        <w:t>or</w:t>
      </w:r>
      <w:r w:rsidR="00C80BB9">
        <w:rPr>
          <w:rFonts w:ascii="Book Antiqua" w:hAnsi="Book Antiqua" w:cs="Arial"/>
        </w:rPr>
        <w:t xml:space="preserve"> that interference with that </w:t>
      </w:r>
      <w:r w:rsidR="00435691">
        <w:rPr>
          <w:rFonts w:ascii="Book Antiqua" w:hAnsi="Book Antiqua" w:cs="Arial"/>
        </w:rPr>
        <w:t>right, if it exists,</w:t>
      </w:r>
      <w:r w:rsidR="00C80BB9">
        <w:rPr>
          <w:rFonts w:ascii="Book Antiqua" w:hAnsi="Book Antiqua" w:cs="Arial"/>
        </w:rPr>
        <w:t xml:space="preserve"> is disproportionate.  As was said in </w:t>
      </w:r>
      <w:proofErr w:type="spellStart"/>
      <w:r w:rsidR="00C80BB9" w:rsidRPr="00C80BB9">
        <w:rPr>
          <w:rFonts w:ascii="Book Antiqua" w:hAnsi="Book Antiqua" w:cs="Arial"/>
          <w:i/>
        </w:rPr>
        <w:t>Akhalu</w:t>
      </w:r>
      <w:proofErr w:type="spellEnd"/>
      <w:r w:rsidR="00A81112">
        <w:rPr>
          <w:rFonts w:ascii="Book Antiqua" w:hAnsi="Book Antiqua" w:cs="Arial"/>
        </w:rPr>
        <w:t xml:space="preserve">, </w:t>
      </w:r>
      <w:r w:rsidR="00C80BB9">
        <w:rPr>
          <w:rFonts w:ascii="Book Antiqua" w:hAnsi="Book Antiqua" w:cs="Arial"/>
        </w:rPr>
        <w:t>a state is entitled to depl</w:t>
      </w:r>
      <w:r w:rsidR="00A81112">
        <w:rPr>
          <w:rFonts w:ascii="Book Antiqua" w:hAnsi="Book Antiqua" w:cs="Arial"/>
        </w:rPr>
        <w:t>oy</w:t>
      </w:r>
      <w:r w:rsidR="00C80BB9">
        <w:rPr>
          <w:rFonts w:ascii="Book Antiqua" w:hAnsi="Book Antiqua" w:cs="Arial"/>
        </w:rPr>
        <w:t xml:space="preserve"> its resources for the benefit of its citizens</w:t>
      </w:r>
      <w:r w:rsidR="00435691">
        <w:rPr>
          <w:rFonts w:ascii="Book Antiqua" w:hAnsi="Book Antiqua" w:cs="Arial"/>
        </w:rPr>
        <w:t>,</w:t>
      </w:r>
      <w:r w:rsidR="00C80BB9">
        <w:rPr>
          <w:rFonts w:ascii="Book Antiqua" w:hAnsi="Book Antiqua" w:cs="Arial"/>
        </w:rPr>
        <w:t xml:space="preserve"> </w:t>
      </w:r>
      <w:r w:rsidR="00A81112">
        <w:rPr>
          <w:rFonts w:ascii="Book Antiqua" w:hAnsi="Book Antiqua" w:cs="Arial"/>
        </w:rPr>
        <w:t>(see l</w:t>
      </w:r>
      <w:r w:rsidR="00C80BB9">
        <w:rPr>
          <w:rFonts w:ascii="Book Antiqua" w:hAnsi="Book Antiqua" w:cs="Arial"/>
        </w:rPr>
        <w:t>ikewise,</w:t>
      </w:r>
      <w:r w:rsidR="00A81112">
        <w:rPr>
          <w:rFonts w:ascii="Book Antiqua" w:hAnsi="Book Antiqua" w:cs="Arial"/>
        </w:rPr>
        <w:t xml:space="preserve"> </w:t>
      </w:r>
      <w:r w:rsidR="00A81112" w:rsidRPr="00A81112">
        <w:rPr>
          <w:rFonts w:ascii="Book Antiqua" w:hAnsi="Book Antiqua" w:cs="Arial"/>
          <w:i/>
        </w:rPr>
        <w:t xml:space="preserve">EV (Philippines) &amp; </w:t>
      </w:r>
      <w:proofErr w:type="spellStart"/>
      <w:r w:rsidR="00A81112" w:rsidRPr="00A81112">
        <w:rPr>
          <w:rFonts w:ascii="Book Antiqua" w:hAnsi="Book Antiqua" w:cs="Arial"/>
          <w:i/>
        </w:rPr>
        <w:t>Ors</w:t>
      </w:r>
      <w:proofErr w:type="spellEnd"/>
      <w:r w:rsidR="00A81112" w:rsidRPr="00A81112">
        <w:rPr>
          <w:rFonts w:ascii="Book Antiqua" w:hAnsi="Book Antiqua" w:cs="Arial"/>
          <w:i/>
        </w:rPr>
        <w:t xml:space="preserve"> v Secretary of State for the Home Department </w:t>
      </w:r>
      <w:r w:rsidR="00A81112" w:rsidRPr="00A81112">
        <w:rPr>
          <w:rFonts w:ascii="Book Antiqua" w:hAnsi="Book Antiqua" w:cs="Arial"/>
        </w:rPr>
        <w:t xml:space="preserve">[2014] EWCA </w:t>
      </w:r>
      <w:proofErr w:type="spellStart"/>
      <w:r w:rsidR="00A81112" w:rsidRPr="00A81112">
        <w:rPr>
          <w:rFonts w:ascii="Book Antiqua" w:hAnsi="Book Antiqua" w:cs="Arial"/>
        </w:rPr>
        <w:t>Civ</w:t>
      </w:r>
      <w:proofErr w:type="spellEnd"/>
      <w:r w:rsidR="00A81112" w:rsidRPr="00A81112">
        <w:rPr>
          <w:rFonts w:ascii="Book Antiqua" w:hAnsi="Book Antiqua" w:cs="Arial"/>
        </w:rPr>
        <w:t xml:space="preserve"> 874</w:t>
      </w:r>
      <w:r w:rsidR="00A81112">
        <w:rPr>
          <w:rFonts w:ascii="Book Antiqua" w:hAnsi="Book Antiqua" w:cs="Arial"/>
        </w:rPr>
        <w:t>)</w:t>
      </w:r>
      <w:r w:rsidR="00C80BB9">
        <w:rPr>
          <w:rFonts w:ascii="Book Antiqua" w:hAnsi="Book Antiqua" w:cs="Arial"/>
        </w:rPr>
        <w:t>.</w:t>
      </w:r>
    </w:p>
    <w:p w:rsidR="00C80BB9" w:rsidRDefault="00C80BB9"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Furthermore, I do not </w:t>
      </w:r>
      <w:r w:rsidR="006104DB">
        <w:rPr>
          <w:rFonts w:ascii="Book Antiqua" w:hAnsi="Book Antiqua" w:cs="Arial"/>
        </w:rPr>
        <w:t>accept</w:t>
      </w:r>
      <w:r>
        <w:rPr>
          <w:rFonts w:ascii="Book Antiqua" w:hAnsi="Book Antiqua" w:cs="Arial"/>
        </w:rPr>
        <w:t xml:space="preserve"> the </w:t>
      </w:r>
      <w:r w:rsidR="006104DB">
        <w:rPr>
          <w:rFonts w:ascii="Book Antiqua" w:hAnsi="Book Antiqua" w:cs="Arial"/>
        </w:rPr>
        <w:t>proposition</w:t>
      </w:r>
      <w:r>
        <w:rPr>
          <w:rFonts w:ascii="Book Antiqua" w:hAnsi="Book Antiqua" w:cs="Arial"/>
        </w:rPr>
        <w:t xml:space="preserve"> that the appellant and her husband are entitled to require </w:t>
      </w:r>
      <w:r w:rsidR="00D80EBB">
        <w:rPr>
          <w:rFonts w:ascii="Book Antiqua" w:hAnsi="Book Antiqua" w:cs="Arial"/>
        </w:rPr>
        <w:t>the UK to assist in the fulfilment of their desire to have a family</w:t>
      </w:r>
      <w:r w:rsidR="00A81112">
        <w:rPr>
          <w:rFonts w:ascii="Book Antiqua" w:hAnsi="Book Antiqua" w:cs="Arial"/>
        </w:rPr>
        <w:t xml:space="preserve"> </w:t>
      </w:r>
      <w:r w:rsidR="00D80EBB">
        <w:rPr>
          <w:rFonts w:ascii="Book Antiqua" w:hAnsi="Book Antiqua" w:cs="Arial"/>
        </w:rPr>
        <w:t xml:space="preserve">whatever the circumstances or risks to her health.  </w:t>
      </w:r>
      <w:r w:rsidR="006104DB">
        <w:rPr>
          <w:rFonts w:ascii="Book Antiqua" w:hAnsi="Book Antiqua" w:cs="Arial"/>
        </w:rPr>
        <w:t>Regrettably</w:t>
      </w:r>
      <w:r w:rsidR="00D80EBB">
        <w:rPr>
          <w:rFonts w:ascii="Book Antiqua" w:hAnsi="Book Antiqua" w:cs="Arial"/>
        </w:rPr>
        <w:t>, the appellant</w:t>
      </w:r>
      <w:r w:rsidR="00A81112">
        <w:rPr>
          <w:rFonts w:ascii="Book Antiqua" w:hAnsi="Book Antiqua" w:cs="Arial"/>
        </w:rPr>
        <w:t>’s</w:t>
      </w:r>
      <w:r w:rsidR="00D80EBB">
        <w:rPr>
          <w:rFonts w:ascii="Book Antiqua" w:hAnsi="Book Antiqua" w:cs="Arial"/>
        </w:rPr>
        <w:t xml:space="preserve"> and her husband’s wish to have children, notwithstanding the risks to her health, are matters of choice for them.  </w:t>
      </w:r>
    </w:p>
    <w:p w:rsidR="00B876CB" w:rsidRPr="00B876CB" w:rsidRDefault="00D80EBB" w:rsidP="00B876CB">
      <w:pPr>
        <w:numPr>
          <w:ilvl w:val="0"/>
          <w:numId w:val="1"/>
        </w:numPr>
        <w:tabs>
          <w:tab w:val="clear" w:pos="567"/>
        </w:tabs>
        <w:spacing w:before="240"/>
        <w:jc w:val="both"/>
        <w:rPr>
          <w:rFonts w:ascii="Book Antiqua" w:hAnsi="Book Antiqua" w:cs="Arial"/>
        </w:rPr>
      </w:pPr>
      <w:r>
        <w:rPr>
          <w:rFonts w:ascii="Book Antiqua" w:hAnsi="Book Antiqua" w:cs="Arial"/>
        </w:rPr>
        <w:t xml:space="preserve">Otherwise, in </w:t>
      </w:r>
      <w:r w:rsidR="006104DB">
        <w:rPr>
          <w:rFonts w:ascii="Book Antiqua" w:hAnsi="Book Antiqua" w:cs="Arial"/>
        </w:rPr>
        <w:t>terms</w:t>
      </w:r>
      <w:r>
        <w:rPr>
          <w:rFonts w:ascii="Book Antiqua" w:hAnsi="Book Antiqua" w:cs="Arial"/>
        </w:rPr>
        <w:t xml:space="preserve"> of Article 8 outside the Rules, </w:t>
      </w:r>
      <w:r w:rsidR="00435691">
        <w:rPr>
          <w:rFonts w:ascii="Book Antiqua" w:hAnsi="Book Antiqua" w:cs="Arial"/>
        </w:rPr>
        <w:t xml:space="preserve">the s.117B factors are relevant. </w:t>
      </w:r>
      <w:r w:rsidR="003B7B6A">
        <w:rPr>
          <w:rFonts w:ascii="Book Antiqua" w:hAnsi="Book Antiqua" w:cs="Arial"/>
        </w:rPr>
        <w:t xml:space="preserve">I note that the appellant was interviewed in English, although gave evidence before the </w:t>
      </w:r>
      <w:proofErr w:type="spellStart"/>
      <w:r w:rsidR="003B7B6A">
        <w:rPr>
          <w:rFonts w:ascii="Book Antiqua" w:hAnsi="Book Antiqua" w:cs="Arial"/>
        </w:rPr>
        <w:t>FtT</w:t>
      </w:r>
      <w:proofErr w:type="spellEnd"/>
      <w:r w:rsidR="003B7B6A">
        <w:rPr>
          <w:rFonts w:ascii="Book Antiqua" w:hAnsi="Book Antiqua" w:cs="Arial"/>
        </w:rPr>
        <w:t xml:space="preserve"> in English. I am satisfied that she does speak English and </w:t>
      </w:r>
      <w:r w:rsidR="00B876CB">
        <w:rPr>
          <w:rFonts w:ascii="Book Antiqua" w:hAnsi="Book Antiqua" w:cs="Arial"/>
        </w:rPr>
        <w:t xml:space="preserve">thus the issue of the ability to speak English </w:t>
      </w:r>
      <w:r w:rsidR="003B7B6A">
        <w:rPr>
          <w:rFonts w:ascii="Book Antiqua" w:hAnsi="Book Antiqua" w:cs="Arial"/>
        </w:rPr>
        <w:t xml:space="preserve">is not a matter that weighs against her under s.117B(2), although </w:t>
      </w:r>
      <w:r w:rsidR="00B876CB">
        <w:rPr>
          <w:rFonts w:ascii="Book Antiqua" w:hAnsi="Book Antiqua" w:cs="Arial"/>
        </w:rPr>
        <w:t>she</w:t>
      </w:r>
      <w:r w:rsidR="003B7B6A">
        <w:rPr>
          <w:rFonts w:ascii="Book Antiqua" w:hAnsi="Book Antiqua" w:cs="Arial"/>
        </w:rPr>
        <w:t xml:space="preserve"> cannot gain any positive advantage from that </w:t>
      </w:r>
      <w:r w:rsidR="00B876CB">
        <w:rPr>
          <w:rFonts w:ascii="Book Antiqua" w:hAnsi="Book Antiqua" w:cs="Arial"/>
        </w:rPr>
        <w:t>fact in terms of proportionality (</w:t>
      </w:r>
      <w:r w:rsidR="00B876CB" w:rsidRPr="00B876CB">
        <w:rPr>
          <w:rFonts w:ascii="Book Antiqua" w:hAnsi="Book Antiqua" w:cs="Arial"/>
          <w:i/>
        </w:rPr>
        <w:t>AM (S 117B) Malawi</w:t>
      </w:r>
      <w:r w:rsidR="00B876CB" w:rsidRPr="00B876CB">
        <w:rPr>
          <w:rFonts w:ascii="Book Antiqua" w:hAnsi="Book Antiqua" w:cs="Arial"/>
        </w:rPr>
        <w:t xml:space="preserve"> [2015] UKUT 0260 (IAC)</w:t>
      </w:r>
      <w:r w:rsidR="00B876CB">
        <w:rPr>
          <w:rFonts w:ascii="Book Antiqua" w:hAnsi="Book Antiqua" w:cs="Arial"/>
        </w:rPr>
        <w:t xml:space="preserve">). </w:t>
      </w:r>
    </w:p>
    <w:p w:rsidR="003B7B6A" w:rsidRDefault="00B876CB" w:rsidP="000545FA">
      <w:pPr>
        <w:numPr>
          <w:ilvl w:val="0"/>
          <w:numId w:val="1"/>
        </w:numPr>
        <w:tabs>
          <w:tab w:val="clear" w:pos="567"/>
        </w:tabs>
        <w:spacing w:before="240"/>
        <w:jc w:val="both"/>
        <w:rPr>
          <w:rFonts w:ascii="Book Antiqua" w:hAnsi="Book Antiqua" w:cs="Arial"/>
        </w:rPr>
      </w:pPr>
      <w:r>
        <w:rPr>
          <w:rFonts w:ascii="Book Antiqua" w:hAnsi="Book Antiqua" w:cs="Arial"/>
        </w:rPr>
        <w:t>The appellant is not financially independent (s.117B</w:t>
      </w:r>
      <w:r w:rsidR="00EB2C4F">
        <w:rPr>
          <w:rFonts w:ascii="Book Antiqua" w:hAnsi="Book Antiqua" w:cs="Arial"/>
        </w:rPr>
        <w:t>(3)</w:t>
      </w:r>
      <w:r>
        <w:rPr>
          <w:rFonts w:ascii="Book Antiqua" w:hAnsi="Book Antiqua" w:cs="Arial"/>
        </w:rPr>
        <w:t>, and the private life that she has established in the relatively short time that she has been in the UK since 2015 when she arrived as a visitor has been established when her immigration status was precarious</w:t>
      </w:r>
      <w:r w:rsidR="00EB2C4F">
        <w:rPr>
          <w:rFonts w:ascii="Book Antiqua" w:hAnsi="Book Antiqua" w:cs="Arial"/>
        </w:rPr>
        <w:t xml:space="preserve"> (s.117B(5)</w:t>
      </w:r>
      <w:r>
        <w:rPr>
          <w:rFonts w:ascii="Book Antiqua" w:hAnsi="Book Antiqua" w:cs="Arial"/>
        </w:rPr>
        <w:t>.</w:t>
      </w:r>
      <w:r w:rsidR="00EB2C4F">
        <w:rPr>
          <w:rFonts w:ascii="Book Antiqua" w:hAnsi="Book Antiqua" w:cs="Arial"/>
        </w:rPr>
        <w:t xml:space="preserve"> </w:t>
      </w:r>
      <w:r>
        <w:rPr>
          <w:rFonts w:ascii="Book Antiqua" w:hAnsi="Book Antiqua" w:cs="Arial"/>
        </w:rPr>
        <w:t xml:space="preserve"> </w:t>
      </w:r>
      <w:r w:rsidR="00EB2C4F">
        <w:rPr>
          <w:rFonts w:ascii="Book Antiqua" w:hAnsi="Book Antiqua" w:cs="Arial"/>
        </w:rPr>
        <w:t xml:space="preserve">I bear in mind that in relation to the latter, Mr Seddon referred to the </w:t>
      </w:r>
      <w:r w:rsidR="00EB2C4F" w:rsidRPr="00FA42EA">
        <w:rPr>
          <w:rFonts w:ascii="Book Antiqua" w:hAnsi="Book Antiqua" w:cs="Arial"/>
        </w:rPr>
        <w:t>appellant’s explanation for overstaying her visa</w:t>
      </w:r>
      <w:r w:rsidR="00EB2C4F">
        <w:rPr>
          <w:rFonts w:ascii="Book Antiqua" w:hAnsi="Book Antiqua" w:cs="Arial"/>
        </w:rPr>
        <w:t>, namely</w:t>
      </w:r>
      <w:r w:rsidR="00EB2C4F" w:rsidRPr="00FA42EA">
        <w:rPr>
          <w:rFonts w:ascii="Book Antiqua" w:hAnsi="Book Antiqua" w:cs="Arial"/>
        </w:rPr>
        <w:t xml:space="preserve"> that she discovered that she was pregnant after she had arrived in the UK and she could not return to Kenya because of the seriousness of her condition</w:t>
      </w:r>
      <w:r w:rsidR="00EB2C4F">
        <w:rPr>
          <w:rFonts w:ascii="Book Antiqua" w:hAnsi="Book Antiqua" w:cs="Arial"/>
        </w:rPr>
        <w:t xml:space="preserve">, and that this was accepted by the </w:t>
      </w:r>
      <w:proofErr w:type="spellStart"/>
      <w:r w:rsidR="00EB2C4F">
        <w:rPr>
          <w:rFonts w:ascii="Book Antiqua" w:hAnsi="Book Antiqua" w:cs="Arial"/>
        </w:rPr>
        <w:t>FtJ</w:t>
      </w:r>
      <w:proofErr w:type="spellEnd"/>
      <w:r w:rsidR="00EB2C4F">
        <w:rPr>
          <w:rFonts w:ascii="Book Antiqua" w:hAnsi="Book Antiqua" w:cs="Arial"/>
        </w:rPr>
        <w:t>. Nevertheless, her immigration status was precarious all the same.</w:t>
      </w:r>
    </w:p>
    <w:p w:rsidR="00B876CB" w:rsidRDefault="00482A3C"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The impact of removal on the appellant’s husband was not specifically argued on behalf of the appellant. However, it is a matter that I have taken into account. He has his own health problems which would have an impact on them both in terms of his need to care for the appellant in conditions that would be far from ideal. He will be </w:t>
      </w:r>
      <w:r>
        <w:rPr>
          <w:rFonts w:ascii="Book Antiqua" w:hAnsi="Book Antiqua" w:cs="Arial"/>
        </w:rPr>
        <w:lastRenderedPageBreak/>
        <w:t>concerned for her and for them as a family unit as well as having to deal with his own ill health.</w:t>
      </w:r>
    </w:p>
    <w:p w:rsidR="00032B2F" w:rsidRDefault="00482A3C" w:rsidP="000545FA">
      <w:pPr>
        <w:numPr>
          <w:ilvl w:val="0"/>
          <w:numId w:val="1"/>
        </w:numPr>
        <w:tabs>
          <w:tab w:val="clear" w:pos="567"/>
        </w:tabs>
        <w:spacing w:before="240"/>
        <w:jc w:val="both"/>
        <w:rPr>
          <w:rFonts w:ascii="Book Antiqua" w:hAnsi="Book Antiqua" w:cs="Arial"/>
        </w:rPr>
      </w:pPr>
      <w:r w:rsidRPr="00482A3C">
        <w:rPr>
          <w:rFonts w:ascii="Book Antiqua" w:hAnsi="Book Antiqua" w:cs="Arial"/>
        </w:rPr>
        <w:t>However, balancing all relevant factors,</w:t>
      </w:r>
      <w:r w:rsidR="003B7B6A" w:rsidRPr="00482A3C">
        <w:rPr>
          <w:rFonts w:ascii="Book Antiqua" w:hAnsi="Book Antiqua" w:cs="Arial"/>
        </w:rPr>
        <w:t xml:space="preserve"> </w:t>
      </w:r>
      <w:r w:rsidR="00D80EBB" w:rsidRPr="00482A3C">
        <w:rPr>
          <w:rFonts w:ascii="Book Antiqua" w:hAnsi="Book Antiqua" w:cs="Arial"/>
        </w:rPr>
        <w:t xml:space="preserve">in the light of my </w:t>
      </w:r>
      <w:r w:rsidR="006104DB" w:rsidRPr="00482A3C">
        <w:rPr>
          <w:rFonts w:ascii="Book Antiqua" w:hAnsi="Book Antiqua" w:cs="Arial"/>
        </w:rPr>
        <w:t>analysis</w:t>
      </w:r>
      <w:r w:rsidR="00D80EBB" w:rsidRPr="00482A3C">
        <w:rPr>
          <w:rFonts w:ascii="Book Antiqua" w:hAnsi="Book Antiqua" w:cs="Arial"/>
        </w:rPr>
        <w:t xml:space="preserve"> of the background evidence, the appellant and her husband’s evidence, the accepted</w:t>
      </w:r>
      <w:r w:rsidRPr="00482A3C">
        <w:rPr>
          <w:rFonts w:ascii="Book Antiqua" w:hAnsi="Book Antiqua" w:cs="Arial"/>
        </w:rPr>
        <w:t xml:space="preserve"> and established</w:t>
      </w:r>
      <w:r w:rsidR="00D80EBB" w:rsidRPr="00482A3C">
        <w:rPr>
          <w:rFonts w:ascii="Book Antiqua" w:hAnsi="Book Antiqua" w:cs="Arial"/>
        </w:rPr>
        <w:t xml:space="preserve"> facts and the expert evidence, I am not satisfied that the appellant’s case demonstrates that returning her to Kenya would amount to a </w:t>
      </w:r>
      <w:r w:rsidR="0097548E">
        <w:rPr>
          <w:rFonts w:ascii="Book Antiqua" w:hAnsi="Book Antiqua" w:cs="Arial"/>
        </w:rPr>
        <w:t>disproportionate</w:t>
      </w:r>
      <w:r w:rsidR="00032B2F">
        <w:rPr>
          <w:rFonts w:ascii="Book Antiqua" w:hAnsi="Book Antiqua" w:cs="Arial"/>
        </w:rPr>
        <w:t xml:space="preserve"> </w:t>
      </w:r>
      <w:r w:rsidR="00630D30">
        <w:rPr>
          <w:rFonts w:ascii="Book Antiqua" w:hAnsi="Book Antiqua" w:cs="Arial"/>
        </w:rPr>
        <w:t>interference with</w:t>
      </w:r>
      <w:r w:rsidR="00D80EBB" w:rsidRPr="00482A3C">
        <w:rPr>
          <w:rFonts w:ascii="Book Antiqua" w:hAnsi="Book Antiqua" w:cs="Arial"/>
        </w:rPr>
        <w:t xml:space="preserve"> her Article 8 rights in </w:t>
      </w:r>
      <w:r w:rsidRPr="00482A3C">
        <w:rPr>
          <w:rFonts w:ascii="Book Antiqua" w:hAnsi="Book Antiqua" w:cs="Arial"/>
        </w:rPr>
        <w:t>terms of family or private life.</w:t>
      </w:r>
    </w:p>
    <w:p w:rsidR="00D80EBB" w:rsidRPr="00482A3C" w:rsidRDefault="00032B2F" w:rsidP="000545FA">
      <w:pPr>
        <w:numPr>
          <w:ilvl w:val="0"/>
          <w:numId w:val="1"/>
        </w:numPr>
        <w:tabs>
          <w:tab w:val="clear" w:pos="567"/>
        </w:tabs>
        <w:spacing w:before="240"/>
        <w:jc w:val="both"/>
        <w:rPr>
          <w:rFonts w:ascii="Book Antiqua" w:hAnsi="Book Antiqua" w:cs="Arial"/>
        </w:rPr>
      </w:pPr>
      <w:r>
        <w:rPr>
          <w:rFonts w:ascii="Book Antiqua" w:hAnsi="Book Antiqua" w:cs="Arial"/>
        </w:rPr>
        <w:t xml:space="preserve">For the reasons otherwise given, the appeal on all grounds must </w:t>
      </w:r>
      <w:r w:rsidR="004267A1">
        <w:rPr>
          <w:rFonts w:ascii="Book Antiqua" w:hAnsi="Book Antiqua" w:cs="Arial"/>
        </w:rPr>
        <w:t xml:space="preserve">be </w:t>
      </w:r>
      <w:r>
        <w:rPr>
          <w:rFonts w:ascii="Book Antiqua" w:hAnsi="Book Antiqua" w:cs="Arial"/>
        </w:rPr>
        <w:t>dismissed</w:t>
      </w:r>
      <w:r w:rsidR="00D80EBB" w:rsidRPr="00482A3C">
        <w:rPr>
          <w:rFonts w:ascii="Book Antiqua" w:hAnsi="Book Antiqua" w:cs="Arial"/>
        </w:rPr>
        <w:t xml:space="preserve">.  </w:t>
      </w:r>
    </w:p>
    <w:p w:rsidR="00D80EBB" w:rsidRPr="00D80EBB" w:rsidRDefault="00D80EBB" w:rsidP="00D80EBB">
      <w:pPr>
        <w:spacing w:before="240"/>
        <w:ind w:firstLine="567"/>
        <w:jc w:val="both"/>
        <w:rPr>
          <w:rFonts w:ascii="Book Antiqua" w:hAnsi="Book Antiqua" w:cs="Arial"/>
          <w:i/>
        </w:rPr>
      </w:pPr>
      <w:r w:rsidRPr="00D80EBB">
        <w:rPr>
          <w:rFonts w:ascii="Book Antiqua" w:hAnsi="Book Antiqua" w:cs="Arial"/>
          <w:i/>
        </w:rPr>
        <w:t xml:space="preserve">Decision </w:t>
      </w:r>
    </w:p>
    <w:p w:rsidR="00D80EBB" w:rsidRDefault="0081373A" w:rsidP="000545FA">
      <w:pPr>
        <w:numPr>
          <w:ilvl w:val="0"/>
          <w:numId w:val="1"/>
        </w:numPr>
        <w:tabs>
          <w:tab w:val="clear" w:pos="567"/>
        </w:tabs>
        <w:spacing w:before="240"/>
        <w:jc w:val="both"/>
        <w:rPr>
          <w:rFonts w:ascii="Book Antiqua" w:hAnsi="Book Antiqua" w:cs="Arial"/>
        </w:rPr>
      </w:pPr>
      <w:r>
        <w:rPr>
          <w:noProof/>
        </w:rPr>
        <mc:AlternateContent>
          <mc:Choice Requires="wpi">
            <w:drawing>
              <wp:anchor distT="0" distB="0" distL="114300" distR="114300" simplePos="0" relativeHeight="251658752" behindDoc="0" locked="0" layoutInCell="1" allowOverlap="1">
                <wp:simplePos x="0" y="0"/>
                <wp:positionH relativeFrom="column">
                  <wp:posOffset>6130290</wp:posOffset>
                </wp:positionH>
                <wp:positionV relativeFrom="paragraph">
                  <wp:posOffset>155575</wp:posOffset>
                </wp:positionV>
                <wp:extent cx="18415" cy="40005"/>
                <wp:effectExtent l="49530" t="50165" r="46355" b="43180"/>
                <wp:wrapNone/>
                <wp:docPr id="2"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rrowheads="1"/>
                        </w14:cNvContentPartPr>
                      </w14:nvContentPartPr>
                      <w14:xfrm>
                        <a:off x="0" y="0"/>
                        <a:ext cx="18415" cy="40005"/>
                      </w14:xfrm>
                    </w14:contentPart>
                  </a:graphicData>
                </a:graphic>
                <wp14:sizeRelH relativeFrom="page">
                  <wp14:pctWidth>0</wp14:pctWidth>
                </wp14:sizeRelH>
                <wp14:sizeRelV relativeFrom="page">
                  <wp14:pctHeight>0</wp14:pctHeight>
                </wp14:sizeRelV>
              </wp:anchor>
            </w:drawing>
          </mc:Choice>
          <mc:Fallback>
            <w:pict>
              <v:shape w14:anchorId="03735A9D" id="Ink 1" o:spid="_x0000_s1026" type="#_x0000_t75" style="position:absolute;margin-left:446.45pt;margin-top:11.55pt;width:72.5pt;height:4.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">
                <v:imagedata r:id="rId13" o:title=""/>
                <o:lock v:ext="edit" rotation="t" aspectratio="f"/>
              </v:shape>
            </w:pict>
          </mc:Fallback>
        </mc:AlternateContent>
      </w:r>
      <w:r w:rsidR="00D80EBB">
        <w:rPr>
          <w:rFonts w:ascii="Book Antiqua" w:hAnsi="Book Antiqua" w:cs="Arial"/>
        </w:rPr>
        <w:t xml:space="preserve">The decision of the First-tier Tribunal involved the making of an error on a point of law.  Its decision having been set aside, the appeal is dismissed on all </w:t>
      </w:r>
      <w:r w:rsidR="006104DB">
        <w:rPr>
          <w:rFonts w:ascii="Book Antiqua" w:hAnsi="Book Antiqua" w:cs="Arial"/>
        </w:rPr>
        <w:t>grounds</w:t>
      </w:r>
      <w:r w:rsidR="00D80EBB">
        <w:rPr>
          <w:rFonts w:ascii="Book Antiqua" w:hAnsi="Book Antiqua" w:cs="Arial"/>
        </w:rPr>
        <w:t xml:space="preserve">.  </w:t>
      </w:r>
    </w:p>
    <w:p w:rsidR="00D80EBB" w:rsidRDefault="00D80EBB" w:rsidP="00A32B11">
      <w:pPr>
        <w:jc w:val="both"/>
        <w:rPr>
          <w:rFonts w:ascii="Book Antiqua" w:hAnsi="Book Antiqua" w:cs="Arial"/>
          <w:b/>
          <w:u w:val="single"/>
        </w:rPr>
      </w:pPr>
    </w:p>
    <w:p w:rsidR="00A32B11" w:rsidRPr="00FA42EA" w:rsidRDefault="00A32B11" w:rsidP="00A32B11">
      <w:pPr>
        <w:jc w:val="both"/>
        <w:rPr>
          <w:rFonts w:ascii="Book Antiqua" w:hAnsi="Book Antiqua" w:cs="Arial"/>
          <w:b/>
        </w:rPr>
      </w:pPr>
      <w:r w:rsidRPr="00FA42EA">
        <w:rPr>
          <w:rFonts w:ascii="Book Antiqua" w:hAnsi="Book Antiqua" w:cs="Arial"/>
          <w:b/>
          <w:u w:val="single"/>
        </w:rPr>
        <w:t>Direction Regarding Anonymity – Rule 14 of the Tribunal Procedure (Upper Tribunal) Rules 2008</w:t>
      </w:r>
    </w:p>
    <w:p w:rsidR="00A32B11" w:rsidRPr="00FA42EA" w:rsidRDefault="00A32B11" w:rsidP="00A32B11">
      <w:pPr>
        <w:jc w:val="both"/>
        <w:rPr>
          <w:rFonts w:ascii="Book Antiqua" w:hAnsi="Book Antiqua" w:cs="Arial"/>
        </w:rPr>
      </w:pPr>
    </w:p>
    <w:p w:rsidR="00A32B11" w:rsidRPr="00FA42EA" w:rsidRDefault="00A32B11" w:rsidP="00A32B11">
      <w:pPr>
        <w:jc w:val="both"/>
        <w:rPr>
          <w:rFonts w:ascii="Book Antiqua" w:hAnsi="Book Antiqua" w:cs="Arial"/>
        </w:rPr>
      </w:pPr>
      <w:r w:rsidRPr="00FA42EA">
        <w:rPr>
          <w:rFonts w:ascii="Book Antiqua" w:hAnsi="Book Antiqua" w:cs="Arial"/>
        </w:rPr>
        <w:t xml:space="preserve">Unless and </w:t>
      </w:r>
      <w:r w:rsidRPr="00FA42EA">
        <w:rPr>
          <w:rFonts w:ascii="Book Antiqua" w:hAnsi="Book Antiqua"/>
        </w:rPr>
        <w:t xml:space="preserve">until a Tribunal or court directs otherwise, the </w:t>
      </w:r>
      <w:r w:rsidR="00212A0D" w:rsidRPr="00FA42EA">
        <w:rPr>
          <w:rFonts w:ascii="Book Antiqua" w:hAnsi="Book Antiqua"/>
        </w:rPr>
        <w:t>a</w:t>
      </w:r>
      <w:r w:rsidRPr="00FA42EA">
        <w:rPr>
          <w:rFonts w:ascii="Book Antiqua" w:hAnsi="Book Antiqua"/>
        </w:rPr>
        <w:t>ppellant is granted anonymity.  No report of these proceedings shall directly or indirectly identify h</w:t>
      </w:r>
      <w:r w:rsidR="00D80EBB">
        <w:rPr>
          <w:rFonts w:ascii="Book Antiqua" w:hAnsi="Book Antiqua"/>
        </w:rPr>
        <w:t xml:space="preserve">er </w:t>
      </w:r>
      <w:r w:rsidRPr="00FA42EA">
        <w:rPr>
          <w:rFonts w:ascii="Book Antiqua" w:hAnsi="Book Antiqua"/>
        </w:rPr>
        <w:t xml:space="preserve">or any member of </w:t>
      </w:r>
      <w:r w:rsidR="00D80EBB">
        <w:rPr>
          <w:rFonts w:ascii="Book Antiqua" w:hAnsi="Book Antiqua"/>
        </w:rPr>
        <w:t xml:space="preserve">her </w:t>
      </w:r>
      <w:r w:rsidRPr="00FA42EA">
        <w:rPr>
          <w:rFonts w:ascii="Book Antiqua" w:hAnsi="Book Antiqua"/>
        </w:rPr>
        <w:t xml:space="preserve">family.  This direction applies both to the </w:t>
      </w:r>
      <w:r w:rsidR="00212A0D" w:rsidRPr="00FA42EA">
        <w:rPr>
          <w:rFonts w:ascii="Book Antiqua" w:hAnsi="Book Antiqua"/>
        </w:rPr>
        <w:t>a</w:t>
      </w:r>
      <w:r w:rsidRPr="00FA42EA">
        <w:rPr>
          <w:rFonts w:ascii="Book Antiqua" w:hAnsi="Book Antiqua"/>
        </w:rPr>
        <w:t xml:space="preserve">ppellant and to the </w:t>
      </w:r>
      <w:r w:rsidR="00212A0D" w:rsidRPr="00FA42EA">
        <w:rPr>
          <w:rFonts w:ascii="Book Antiqua" w:hAnsi="Book Antiqua"/>
        </w:rPr>
        <w:t>r</w:t>
      </w:r>
      <w:r w:rsidRPr="00FA42EA">
        <w:rPr>
          <w:rFonts w:ascii="Book Antiqua" w:hAnsi="Book Antiqua"/>
        </w:rPr>
        <w:t>espondent.  Failure to comply with this direction could lead to contempt of court proceedings.</w:t>
      </w:r>
    </w:p>
    <w:p w:rsidR="003A391A" w:rsidRDefault="003A391A" w:rsidP="00D80EBB">
      <w:pPr>
        <w:tabs>
          <w:tab w:val="left" w:pos="2520"/>
        </w:tabs>
        <w:ind w:left="540" w:hanging="540"/>
        <w:jc w:val="both"/>
        <w:outlineLvl w:val="0"/>
        <w:rPr>
          <w:rFonts w:ascii="Book Antiqua" w:hAnsi="Book Antiqua" w:cs="Arial"/>
          <w:color w:val="000000"/>
        </w:rPr>
      </w:pPr>
    </w:p>
    <w:p w:rsidR="00B95326" w:rsidRPr="00FA42EA" w:rsidRDefault="003543A1" w:rsidP="00D80EBB">
      <w:pPr>
        <w:tabs>
          <w:tab w:val="left" w:pos="2520"/>
        </w:tabs>
        <w:ind w:left="540" w:hanging="540"/>
        <w:jc w:val="both"/>
        <w:outlineLvl w:val="0"/>
        <w:rPr>
          <w:rFonts w:ascii="Book Antiqua" w:hAnsi="Book Antiqua" w:cs="Arial"/>
          <w:color w:val="000000"/>
        </w:rPr>
      </w:pPr>
      <w:r w:rsidRPr="00FA42EA">
        <w:rPr>
          <w:rFonts w:ascii="Book Antiqua" w:hAnsi="Book Antiqua" w:cs="Arial"/>
          <w:color w:val="000000"/>
        </w:rPr>
        <w:t>Upper Tribunal</w:t>
      </w:r>
      <w:r w:rsidR="00D9111A" w:rsidRPr="00FA42EA">
        <w:rPr>
          <w:rFonts w:ascii="Book Antiqua" w:hAnsi="Book Antiqua" w:cs="Arial"/>
          <w:color w:val="000000"/>
        </w:rPr>
        <w:t xml:space="preserve"> Judge</w:t>
      </w:r>
      <w:r w:rsidR="001B2F75" w:rsidRPr="00FA42EA">
        <w:rPr>
          <w:rFonts w:ascii="Book Antiqua" w:hAnsi="Book Antiqua" w:cs="Arial"/>
          <w:color w:val="000000"/>
        </w:rPr>
        <w:t xml:space="preserve"> </w:t>
      </w:r>
      <w:proofErr w:type="spellStart"/>
      <w:r w:rsidR="00842E4B" w:rsidRPr="00FA42EA">
        <w:rPr>
          <w:rFonts w:ascii="Book Antiqua" w:hAnsi="Book Antiqua" w:cs="Arial"/>
          <w:color w:val="000000"/>
        </w:rPr>
        <w:t>Kopieczek</w:t>
      </w:r>
      <w:proofErr w:type="spellEnd"/>
      <w:r w:rsidR="00A81112">
        <w:rPr>
          <w:rFonts w:ascii="Book Antiqua" w:hAnsi="Book Antiqua" w:cs="Arial"/>
          <w:color w:val="000000"/>
        </w:rPr>
        <w:tab/>
      </w:r>
      <w:r w:rsidR="00A81112">
        <w:rPr>
          <w:rFonts w:ascii="Book Antiqua" w:hAnsi="Book Antiqua" w:cs="Arial"/>
          <w:color w:val="000000"/>
        </w:rPr>
        <w:tab/>
      </w:r>
      <w:r w:rsidR="00A81112">
        <w:rPr>
          <w:rFonts w:ascii="Book Antiqua" w:hAnsi="Book Antiqua" w:cs="Arial"/>
          <w:color w:val="000000"/>
        </w:rPr>
        <w:tab/>
      </w:r>
      <w:r w:rsidR="00A81112">
        <w:rPr>
          <w:rFonts w:ascii="Book Antiqua" w:hAnsi="Book Antiqua" w:cs="Arial"/>
          <w:color w:val="000000"/>
        </w:rPr>
        <w:tab/>
      </w:r>
      <w:r w:rsidR="00A81112">
        <w:rPr>
          <w:rFonts w:ascii="Book Antiqua" w:hAnsi="Book Antiqua" w:cs="Arial"/>
          <w:color w:val="000000"/>
        </w:rPr>
        <w:tab/>
      </w:r>
      <w:r w:rsidR="00A81112">
        <w:rPr>
          <w:rFonts w:ascii="Book Antiqua" w:hAnsi="Book Antiqua" w:cs="Arial"/>
          <w:color w:val="000000"/>
        </w:rPr>
        <w:tab/>
      </w:r>
      <w:r w:rsidR="00A81112">
        <w:rPr>
          <w:rFonts w:ascii="Book Antiqua" w:hAnsi="Book Antiqua" w:cs="Arial"/>
          <w:color w:val="000000"/>
        </w:rPr>
        <w:tab/>
      </w:r>
      <w:r w:rsidR="00A81112">
        <w:rPr>
          <w:rFonts w:ascii="Book Antiqua" w:hAnsi="Book Antiqua" w:cs="Arial"/>
          <w:color w:val="000000"/>
        </w:rPr>
        <w:tab/>
        <w:t>2</w:t>
      </w:r>
      <w:r w:rsidR="00482A3C">
        <w:rPr>
          <w:rFonts w:ascii="Book Antiqua" w:hAnsi="Book Antiqua" w:cs="Arial"/>
          <w:color w:val="000000"/>
        </w:rPr>
        <w:t>5</w:t>
      </w:r>
      <w:r w:rsidR="00A81112">
        <w:rPr>
          <w:rFonts w:ascii="Book Antiqua" w:hAnsi="Book Antiqua" w:cs="Arial"/>
          <w:color w:val="000000"/>
        </w:rPr>
        <w:t>/07/18</w:t>
      </w:r>
    </w:p>
    <w:sectPr w:rsidR="00B95326" w:rsidRPr="00FA42EA" w:rsidSect="00776E97">
      <w:headerReference w:type="default" r:id="rId14"/>
      <w:footerReference w:type="default" r:id="rId15"/>
      <w:headerReference w:type="first" r:id="rId16"/>
      <w:footerReference w:type="first" r:id="rId1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3D4" w:rsidRDefault="00E723D4">
      <w:r>
        <w:separator/>
      </w:r>
    </w:p>
  </w:endnote>
  <w:endnote w:type="continuationSeparator" w:id="0">
    <w:p w:rsidR="00E723D4" w:rsidRDefault="00E7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DB" w:rsidRPr="001C5703" w:rsidRDefault="006104DB"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BB2FAC">
      <w:rPr>
        <w:rStyle w:val="PageNumber"/>
        <w:rFonts w:ascii="Book Antiqua" w:hAnsi="Book Antiqua" w:cs="Arial"/>
        <w:noProof/>
        <w:sz w:val="16"/>
        <w:szCs w:val="16"/>
      </w:rPr>
      <w:t>27</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DB" w:rsidRPr="001C5703" w:rsidRDefault="006104DB"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3D4" w:rsidRDefault="00E723D4">
      <w:r>
        <w:separator/>
      </w:r>
    </w:p>
  </w:footnote>
  <w:footnote w:type="continuationSeparator" w:id="0">
    <w:p w:rsidR="00E723D4" w:rsidRDefault="00E72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DB" w:rsidRPr="003C1D90" w:rsidRDefault="006104DB"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Pr="003C1D90">
      <w:rPr>
        <w:rFonts w:ascii="Book Antiqua" w:hAnsi="Book Antiqua" w:cs="Arial"/>
        <w:sz w:val="16"/>
        <w:szCs w:val="16"/>
      </w:rPr>
      <w:t>PA/08518/2016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DB" w:rsidRPr="001C5703" w:rsidRDefault="006104DB">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602E"/>
    <w:multiLevelType w:val="multilevel"/>
    <w:tmpl w:val="FCA014A4"/>
    <w:lvl w:ilvl="0">
      <w:start w:val="1"/>
      <w:numFmt w:val="bullet"/>
      <w:lvlText w:val=""/>
      <w:lvlJc w:val="left"/>
      <w:pPr>
        <w:tabs>
          <w:tab w:val="num" w:pos="360"/>
        </w:tabs>
        <w:ind w:left="0" w:firstLine="0"/>
      </w:pPr>
      <w:rPr>
        <w:rFonts w:ascii="Symbol" w:hAnsi="Symbol" w:hint="default"/>
        <w:color w:val="auto"/>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2581651"/>
    <w:multiLevelType w:val="hybridMultilevel"/>
    <w:tmpl w:val="AD366456"/>
    <w:lvl w:ilvl="0" w:tplc="59822E50">
      <w:start w:val="1"/>
      <w:numFmt w:val="decimal"/>
      <w:lvlText w:val="(%1)"/>
      <w:lvlJc w:val="left"/>
      <w:pPr>
        <w:ind w:left="644" w:hanging="360"/>
      </w:pPr>
      <w:rPr>
        <w:rFonts w:cs="Times New Roman" w:hint="default"/>
      </w:rPr>
    </w:lvl>
    <w:lvl w:ilvl="1" w:tplc="08090019" w:tentative="1">
      <w:start w:val="1"/>
      <w:numFmt w:val="lowerLetter"/>
      <w:lvlText w:val="%2."/>
      <w:lvlJc w:val="left"/>
      <w:pPr>
        <w:ind w:left="1364" w:hanging="360"/>
      </w:pPr>
      <w:rPr>
        <w:rFonts w:cs="Times New Roman"/>
      </w:rPr>
    </w:lvl>
    <w:lvl w:ilvl="2" w:tplc="0809001B" w:tentative="1">
      <w:start w:val="1"/>
      <w:numFmt w:val="lowerRoman"/>
      <w:lvlText w:val="%3."/>
      <w:lvlJc w:val="right"/>
      <w:pPr>
        <w:ind w:left="2084" w:hanging="180"/>
      </w:pPr>
      <w:rPr>
        <w:rFonts w:cs="Times New Roman"/>
      </w:rPr>
    </w:lvl>
    <w:lvl w:ilvl="3" w:tplc="0809000F" w:tentative="1">
      <w:start w:val="1"/>
      <w:numFmt w:val="decimal"/>
      <w:lvlText w:val="%4."/>
      <w:lvlJc w:val="left"/>
      <w:pPr>
        <w:ind w:left="2804" w:hanging="360"/>
      </w:pPr>
      <w:rPr>
        <w:rFonts w:cs="Times New Roman"/>
      </w:rPr>
    </w:lvl>
    <w:lvl w:ilvl="4" w:tplc="08090019" w:tentative="1">
      <w:start w:val="1"/>
      <w:numFmt w:val="lowerLetter"/>
      <w:lvlText w:val="%5."/>
      <w:lvlJc w:val="left"/>
      <w:pPr>
        <w:ind w:left="3524" w:hanging="360"/>
      </w:pPr>
      <w:rPr>
        <w:rFonts w:cs="Times New Roman"/>
      </w:rPr>
    </w:lvl>
    <w:lvl w:ilvl="5" w:tplc="0809001B" w:tentative="1">
      <w:start w:val="1"/>
      <w:numFmt w:val="lowerRoman"/>
      <w:lvlText w:val="%6."/>
      <w:lvlJc w:val="right"/>
      <w:pPr>
        <w:ind w:left="4244" w:hanging="180"/>
      </w:pPr>
      <w:rPr>
        <w:rFonts w:cs="Times New Roman"/>
      </w:rPr>
    </w:lvl>
    <w:lvl w:ilvl="6" w:tplc="0809000F" w:tentative="1">
      <w:start w:val="1"/>
      <w:numFmt w:val="decimal"/>
      <w:lvlText w:val="%7."/>
      <w:lvlJc w:val="left"/>
      <w:pPr>
        <w:ind w:left="4964" w:hanging="360"/>
      </w:pPr>
      <w:rPr>
        <w:rFonts w:cs="Times New Roman"/>
      </w:rPr>
    </w:lvl>
    <w:lvl w:ilvl="7" w:tplc="08090019" w:tentative="1">
      <w:start w:val="1"/>
      <w:numFmt w:val="lowerLetter"/>
      <w:lvlText w:val="%8."/>
      <w:lvlJc w:val="left"/>
      <w:pPr>
        <w:ind w:left="5684" w:hanging="360"/>
      </w:pPr>
      <w:rPr>
        <w:rFonts w:cs="Times New Roman"/>
      </w:rPr>
    </w:lvl>
    <w:lvl w:ilvl="8" w:tplc="0809001B" w:tentative="1">
      <w:start w:val="1"/>
      <w:numFmt w:val="lowerRoman"/>
      <w:lvlText w:val="%9."/>
      <w:lvlJc w:val="right"/>
      <w:pPr>
        <w:ind w:left="6404" w:hanging="180"/>
      </w:pPr>
      <w:rPr>
        <w:rFonts w:cs="Times New Roman"/>
      </w:rPr>
    </w:lvl>
  </w:abstractNum>
  <w:abstractNum w:abstractNumId="2" w15:restartNumberingAfterBreak="0">
    <w:nsid w:val="38DA4576"/>
    <w:multiLevelType w:val="multilevel"/>
    <w:tmpl w:val="8A8C9632"/>
    <w:lvl w:ilvl="0">
      <w:start w:val="1"/>
      <w:numFmt w:val="decimal"/>
      <w:lvlText w:val="%1."/>
      <w:lvlJc w:val="left"/>
      <w:pPr>
        <w:tabs>
          <w:tab w:val="num" w:pos="567"/>
        </w:tabs>
        <w:ind w:left="567" w:hanging="567"/>
      </w:pPr>
      <w:rPr>
        <w:rFonts w:hint="default"/>
        <w:b w:val="0"/>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53315305"/>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79F501AA"/>
    <w:multiLevelType w:val="multilevel"/>
    <w:tmpl w:val="E4705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ACB1666"/>
    <w:multiLevelType w:val="multilevel"/>
    <w:tmpl w:val="DBEEB33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AF"/>
    <w:rsid w:val="00000621"/>
    <w:rsid w:val="000036C2"/>
    <w:rsid w:val="00006E2E"/>
    <w:rsid w:val="0002302B"/>
    <w:rsid w:val="0003019C"/>
    <w:rsid w:val="000318B4"/>
    <w:rsid w:val="00032B2F"/>
    <w:rsid w:val="00033D3D"/>
    <w:rsid w:val="00045798"/>
    <w:rsid w:val="000545FA"/>
    <w:rsid w:val="00062F02"/>
    <w:rsid w:val="00071A7E"/>
    <w:rsid w:val="000746C0"/>
    <w:rsid w:val="00074D1D"/>
    <w:rsid w:val="00083AA2"/>
    <w:rsid w:val="00084420"/>
    <w:rsid w:val="00092580"/>
    <w:rsid w:val="00093D4D"/>
    <w:rsid w:val="000B76CA"/>
    <w:rsid w:val="000D5D94"/>
    <w:rsid w:val="000F1A0E"/>
    <w:rsid w:val="000F2591"/>
    <w:rsid w:val="000F30BD"/>
    <w:rsid w:val="00102DC1"/>
    <w:rsid w:val="0010335F"/>
    <w:rsid w:val="0010523C"/>
    <w:rsid w:val="00113F21"/>
    <w:rsid w:val="001165A7"/>
    <w:rsid w:val="00117EE4"/>
    <w:rsid w:val="0013064B"/>
    <w:rsid w:val="001346A3"/>
    <w:rsid w:val="0014612D"/>
    <w:rsid w:val="00167D3A"/>
    <w:rsid w:val="001701DD"/>
    <w:rsid w:val="00174A01"/>
    <w:rsid w:val="001801C7"/>
    <w:rsid w:val="0018317B"/>
    <w:rsid w:val="0018557D"/>
    <w:rsid w:val="0019423D"/>
    <w:rsid w:val="001A2C1B"/>
    <w:rsid w:val="001A3082"/>
    <w:rsid w:val="001B186A"/>
    <w:rsid w:val="001B1E57"/>
    <w:rsid w:val="001B2F75"/>
    <w:rsid w:val="001C5703"/>
    <w:rsid w:val="001E2E11"/>
    <w:rsid w:val="001F2177"/>
    <w:rsid w:val="001F2716"/>
    <w:rsid w:val="001F3A92"/>
    <w:rsid w:val="00202D06"/>
    <w:rsid w:val="00207617"/>
    <w:rsid w:val="00212A0D"/>
    <w:rsid w:val="00213DA8"/>
    <w:rsid w:val="0023134B"/>
    <w:rsid w:val="0023637A"/>
    <w:rsid w:val="00244044"/>
    <w:rsid w:val="00245E9A"/>
    <w:rsid w:val="00265541"/>
    <w:rsid w:val="00283659"/>
    <w:rsid w:val="00284A9E"/>
    <w:rsid w:val="0028523A"/>
    <w:rsid w:val="002A2DD0"/>
    <w:rsid w:val="002B67BB"/>
    <w:rsid w:val="002C6BD4"/>
    <w:rsid w:val="002D68BF"/>
    <w:rsid w:val="002F6B98"/>
    <w:rsid w:val="00302A0B"/>
    <w:rsid w:val="0030786F"/>
    <w:rsid w:val="003127BB"/>
    <w:rsid w:val="00316AF3"/>
    <w:rsid w:val="00330443"/>
    <w:rsid w:val="00331DD0"/>
    <w:rsid w:val="00336CBF"/>
    <w:rsid w:val="0034295B"/>
    <w:rsid w:val="00343FE3"/>
    <w:rsid w:val="003543A1"/>
    <w:rsid w:val="003546C8"/>
    <w:rsid w:val="00371CEB"/>
    <w:rsid w:val="00383EB2"/>
    <w:rsid w:val="003A391A"/>
    <w:rsid w:val="003A7CF2"/>
    <w:rsid w:val="003B7B6A"/>
    <w:rsid w:val="003C1D90"/>
    <w:rsid w:val="003C5CE5"/>
    <w:rsid w:val="003E267B"/>
    <w:rsid w:val="003E7CD1"/>
    <w:rsid w:val="00402B9E"/>
    <w:rsid w:val="00407B71"/>
    <w:rsid w:val="004249CB"/>
    <w:rsid w:val="004267A1"/>
    <w:rsid w:val="00435691"/>
    <w:rsid w:val="0044127D"/>
    <w:rsid w:val="004448DB"/>
    <w:rsid w:val="00446C9A"/>
    <w:rsid w:val="00452F2B"/>
    <w:rsid w:val="00477193"/>
    <w:rsid w:val="00482A3C"/>
    <w:rsid w:val="00482EAC"/>
    <w:rsid w:val="004852B0"/>
    <w:rsid w:val="00496205"/>
    <w:rsid w:val="004A1848"/>
    <w:rsid w:val="004A6F4A"/>
    <w:rsid w:val="004E4717"/>
    <w:rsid w:val="005065A1"/>
    <w:rsid w:val="00507FEC"/>
    <w:rsid w:val="00510F0E"/>
    <w:rsid w:val="005136E5"/>
    <w:rsid w:val="00520345"/>
    <w:rsid w:val="0052070D"/>
    <w:rsid w:val="00526665"/>
    <w:rsid w:val="00544919"/>
    <w:rsid w:val="005479E1"/>
    <w:rsid w:val="00552779"/>
    <w:rsid w:val="00553E0A"/>
    <w:rsid w:val="005570FD"/>
    <w:rsid w:val="005575EA"/>
    <w:rsid w:val="0056251F"/>
    <w:rsid w:val="00562C59"/>
    <w:rsid w:val="00572FD2"/>
    <w:rsid w:val="005755C4"/>
    <w:rsid w:val="0057790C"/>
    <w:rsid w:val="00580DBF"/>
    <w:rsid w:val="00593795"/>
    <w:rsid w:val="005A75FF"/>
    <w:rsid w:val="005B1AA0"/>
    <w:rsid w:val="005B1C60"/>
    <w:rsid w:val="005C2DBC"/>
    <w:rsid w:val="005C3577"/>
    <w:rsid w:val="005D10AB"/>
    <w:rsid w:val="005D42C5"/>
    <w:rsid w:val="005D60D0"/>
    <w:rsid w:val="00601D8F"/>
    <w:rsid w:val="006104DB"/>
    <w:rsid w:val="00630D30"/>
    <w:rsid w:val="00634B57"/>
    <w:rsid w:val="00637CAD"/>
    <w:rsid w:val="00653E97"/>
    <w:rsid w:val="006838B4"/>
    <w:rsid w:val="00684A74"/>
    <w:rsid w:val="00690B8A"/>
    <w:rsid w:val="00694ADF"/>
    <w:rsid w:val="006960C2"/>
    <w:rsid w:val="006B0D84"/>
    <w:rsid w:val="006C3DB9"/>
    <w:rsid w:val="006D09AF"/>
    <w:rsid w:val="006D4ADC"/>
    <w:rsid w:val="006D5CE4"/>
    <w:rsid w:val="006E5738"/>
    <w:rsid w:val="006F2CF1"/>
    <w:rsid w:val="006F3929"/>
    <w:rsid w:val="006F3F32"/>
    <w:rsid w:val="007038ED"/>
    <w:rsid w:val="00703BC3"/>
    <w:rsid w:val="007045EF"/>
    <w:rsid w:val="00704B61"/>
    <w:rsid w:val="00721F72"/>
    <w:rsid w:val="0072234A"/>
    <w:rsid w:val="00736528"/>
    <w:rsid w:val="007552A9"/>
    <w:rsid w:val="00761858"/>
    <w:rsid w:val="00763FD3"/>
    <w:rsid w:val="00767D59"/>
    <w:rsid w:val="00776E97"/>
    <w:rsid w:val="00780A2F"/>
    <w:rsid w:val="00780F86"/>
    <w:rsid w:val="00782A3F"/>
    <w:rsid w:val="007912AD"/>
    <w:rsid w:val="007B0824"/>
    <w:rsid w:val="007B1E53"/>
    <w:rsid w:val="007B5D3C"/>
    <w:rsid w:val="007D5983"/>
    <w:rsid w:val="0081373A"/>
    <w:rsid w:val="00821B72"/>
    <w:rsid w:val="00823097"/>
    <w:rsid w:val="00823EF2"/>
    <w:rsid w:val="00825DDF"/>
    <w:rsid w:val="008303B8"/>
    <w:rsid w:val="0083159C"/>
    <w:rsid w:val="00833106"/>
    <w:rsid w:val="00833DCE"/>
    <w:rsid w:val="00842E4B"/>
    <w:rsid w:val="00843C51"/>
    <w:rsid w:val="00871D34"/>
    <w:rsid w:val="008A030A"/>
    <w:rsid w:val="008B270C"/>
    <w:rsid w:val="008B5078"/>
    <w:rsid w:val="008C1888"/>
    <w:rsid w:val="008C3D3D"/>
    <w:rsid w:val="008D4131"/>
    <w:rsid w:val="008E1011"/>
    <w:rsid w:val="008E52C5"/>
    <w:rsid w:val="008E683F"/>
    <w:rsid w:val="008F1932"/>
    <w:rsid w:val="009016F5"/>
    <w:rsid w:val="00902BB1"/>
    <w:rsid w:val="00904924"/>
    <w:rsid w:val="00911AB2"/>
    <w:rsid w:val="009143FE"/>
    <w:rsid w:val="00921062"/>
    <w:rsid w:val="00931FE8"/>
    <w:rsid w:val="009405A9"/>
    <w:rsid w:val="009722BC"/>
    <w:rsid w:val="009727A3"/>
    <w:rsid w:val="0097548E"/>
    <w:rsid w:val="00987774"/>
    <w:rsid w:val="00997A27"/>
    <w:rsid w:val="009A0C11"/>
    <w:rsid w:val="009A11E8"/>
    <w:rsid w:val="009E00E7"/>
    <w:rsid w:val="009F5220"/>
    <w:rsid w:val="00A15234"/>
    <w:rsid w:val="00A201AB"/>
    <w:rsid w:val="00A24FB5"/>
    <w:rsid w:val="00A31C8B"/>
    <w:rsid w:val="00A32B11"/>
    <w:rsid w:val="00A37299"/>
    <w:rsid w:val="00A509FA"/>
    <w:rsid w:val="00A5553E"/>
    <w:rsid w:val="00A57B3D"/>
    <w:rsid w:val="00A76004"/>
    <w:rsid w:val="00A81112"/>
    <w:rsid w:val="00A81751"/>
    <w:rsid w:val="00A845DC"/>
    <w:rsid w:val="00AB3F4C"/>
    <w:rsid w:val="00AD4834"/>
    <w:rsid w:val="00AE7219"/>
    <w:rsid w:val="00B03889"/>
    <w:rsid w:val="00B102B7"/>
    <w:rsid w:val="00B107B7"/>
    <w:rsid w:val="00B10C31"/>
    <w:rsid w:val="00B26AA2"/>
    <w:rsid w:val="00B3524D"/>
    <w:rsid w:val="00B40F69"/>
    <w:rsid w:val="00B45C32"/>
    <w:rsid w:val="00B46616"/>
    <w:rsid w:val="00B53E03"/>
    <w:rsid w:val="00B56B2E"/>
    <w:rsid w:val="00B6036A"/>
    <w:rsid w:val="00B62CFA"/>
    <w:rsid w:val="00B64FDC"/>
    <w:rsid w:val="00B7040A"/>
    <w:rsid w:val="00B83391"/>
    <w:rsid w:val="00B8463E"/>
    <w:rsid w:val="00B876CB"/>
    <w:rsid w:val="00B921DB"/>
    <w:rsid w:val="00B94A18"/>
    <w:rsid w:val="00B95326"/>
    <w:rsid w:val="00BA3A97"/>
    <w:rsid w:val="00BB1052"/>
    <w:rsid w:val="00BB2FAC"/>
    <w:rsid w:val="00BD1977"/>
    <w:rsid w:val="00BD4196"/>
    <w:rsid w:val="00BE0F51"/>
    <w:rsid w:val="00BE2925"/>
    <w:rsid w:val="00BF22CA"/>
    <w:rsid w:val="00BF23BB"/>
    <w:rsid w:val="00C01538"/>
    <w:rsid w:val="00C108E2"/>
    <w:rsid w:val="00C21ED2"/>
    <w:rsid w:val="00C24D4A"/>
    <w:rsid w:val="00C26032"/>
    <w:rsid w:val="00C345E1"/>
    <w:rsid w:val="00C43BFD"/>
    <w:rsid w:val="00C447D6"/>
    <w:rsid w:val="00C44D32"/>
    <w:rsid w:val="00C61688"/>
    <w:rsid w:val="00C70B68"/>
    <w:rsid w:val="00C7519B"/>
    <w:rsid w:val="00C80BB9"/>
    <w:rsid w:val="00C96774"/>
    <w:rsid w:val="00CA56A3"/>
    <w:rsid w:val="00CB0F07"/>
    <w:rsid w:val="00CB6E35"/>
    <w:rsid w:val="00CC195D"/>
    <w:rsid w:val="00CE1A46"/>
    <w:rsid w:val="00D20757"/>
    <w:rsid w:val="00D22636"/>
    <w:rsid w:val="00D40FD9"/>
    <w:rsid w:val="00D4697C"/>
    <w:rsid w:val="00D53769"/>
    <w:rsid w:val="00D64505"/>
    <w:rsid w:val="00D73FF1"/>
    <w:rsid w:val="00D80EBB"/>
    <w:rsid w:val="00D85C13"/>
    <w:rsid w:val="00D9111A"/>
    <w:rsid w:val="00D91BE3"/>
    <w:rsid w:val="00D94AFC"/>
    <w:rsid w:val="00D96B22"/>
    <w:rsid w:val="00DA19DF"/>
    <w:rsid w:val="00DB70AE"/>
    <w:rsid w:val="00DD5071"/>
    <w:rsid w:val="00DD58BB"/>
    <w:rsid w:val="00DD5C39"/>
    <w:rsid w:val="00DE0177"/>
    <w:rsid w:val="00DE680D"/>
    <w:rsid w:val="00DE7DB7"/>
    <w:rsid w:val="00DF074C"/>
    <w:rsid w:val="00E00A0A"/>
    <w:rsid w:val="00E066DE"/>
    <w:rsid w:val="00E07F57"/>
    <w:rsid w:val="00E269C4"/>
    <w:rsid w:val="00E30683"/>
    <w:rsid w:val="00E453D8"/>
    <w:rsid w:val="00E4743F"/>
    <w:rsid w:val="00E50BCE"/>
    <w:rsid w:val="00E574BF"/>
    <w:rsid w:val="00E61292"/>
    <w:rsid w:val="00E723D4"/>
    <w:rsid w:val="00E74DB6"/>
    <w:rsid w:val="00E77C4D"/>
    <w:rsid w:val="00E81D01"/>
    <w:rsid w:val="00E91901"/>
    <w:rsid w:val="00EB2C4F"/>
    <w:rsid w:val="00EC23F8"/>
    <w:rsid w:val="00ED28AE"/>
    <w:rsid w:val="00ED432F"/>
    <w:rsid w:val="00EE45D8"/>
    <w:rsid w:val="00F06A53"/>
    <w:rsid w:val="00F13366"/>
    <w:rsid w:val="00F13973"/>
    <w:rsid w:val="00F22E49"/>
    <w:rsid w:val="00F22EDA"/>
    <w:rsid w:val="00F24E8F"/>
    <w:rsid w:val="00F364CE"/>
    <w:rsid w:val="00F54A51"/>
    <w:rsid w:val="00F70110"/>
    <w:rsid w:val="00F7500E"/>
    <w:rsid w:val="00F849CF"/>
    <w:rsid w:val="00FA0872"/>
    <w:rsid w:val="00FA42EA"/>
    <w:rsid w:val="00FF3611"/>
    <w:rsid w:val="00FF6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80EBB"/>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2T07:59:52.513"/>
    </inkml:context>
    <inkml:brush xml:id="br0">
      <inkml:brushProperty name="width" value="0.05" units="cm"/>
      <inkml:brushProperty name="height" value="0.05" units="cm"/>
    </inkml:brush>
  </inkml:definitions>
  <inkml:trace contextRef="#ctx0" brushRef="#br0">0 0 32767,'0'0'-2441,"0"0"1737,0 1-91,0-1-81,0 1-267,0 0-84,0 1-736,0 2-93,0 2-48,1 12-3644,-1-12 3883,1-1 51,-1-2 477,0-1 53,0 0 67,0 0 81,1 0 96,0 0 108,0 1 122,-1-1 455,1 0 37,0 0-4,0 1 46,0 1 44,0-1 38,2 5-91,0 0 114,1 3 75,2 5 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0T17:06:19.035"/>
    </inkml:context>
    <inkml:brush xml:id="br0">
      <inkml:brushProperty name="width" value="0.05" units="cm"/>
      <inkml:brushProperty name="height" value="0.05" units="cm"/>
    </inkml:brush>
  </inkml:definitions>
  <inkml:trace contextRef="#ctx0" brushRef="#br0">0 0 32767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5T07:28:35.536"/>
    </inkml:context>
    <inkml:brush xml:id="br0">
      <inkml:brushProperty name="width" value="0.05" units="cm"/>
      <inkml:brushProperty name="height" value="0.05" units="cm"/>
    </inkml:brush>
  </inkml:definitions>
  <inkml:trace contextRef="#ctx0" brushRef="#br0">0 0 5285,'0'110'0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13836</Words>
  <Characters>68687</Characters>
  <Application>Microsoft Office Word</Application>
  <DocSecurity>0</DocSecurity>
  <Lines>572</Lines>
  <Paragraphs>164</Paragraphs>
  <ScaleCrop>false</ScaleCrop>
  <Company/>
  <LinksUpToDate>false</LinksUpToDate>
  <CharactersWithSpaces>82359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2018-08-09T13:01:00Z</dcterms:created>
  <dcterms:modified xsi:type="dcterms:W3CDTF">2018-08-09T13:01:00Z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