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850C2F" w:rsidP="00C321B5">
      <w:pPr>
        <w:jc w:val="center"/>
        <w:rPr>
          <w:rFonts w:ascii="Book Antiqua" w:hAnsi="Book Antiqua" w:cs="Arial"/>
          <w:sz w:val="16"/>
          <w:szCs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71.25pt">
            <v:imagedata r:id="rId7" o:title=""/>
          </v:shape>
        </w:pict>
      </w:r>
    </w:p>
    <w:p w:rsidR="00D94AFC" w:rsidRPr="00F5664C" w:rsidRDefault="00D94AFC">
      <w:pPr>
        <w:rPr>
          <w:rFonts w:ascii="Book Antiqua" w:hAnsi="Book Antiqua" w:cs="Arial"/>
          <w:sz w:val="16"/>
          <w:szCs w:val="16"/>
        </w:rPr>
      </w:pP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AA14C6">
        <w:rPr>
          <w:rFonts w:ascii="Book Antiqua" w:hAnsi="Book Antiqua" w:cs="Arial"/>
          <w:b/>
        </w:rPr>
        <w:t>Tribunal</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8E5E36">
        <w:rPr>
          <w:rFonts w:ascii="Book Antiqua" w:hAnsi="Book Antiqua" w:cs="Arial"/>
          <w:caps/>
        </w:rPr>
        <w:t>PA/08518</w:t>
      </w:r>
      <w:r w:rsidR="00CB4A10">
        <w:rPr>
          <w:rFonts w:ascii="Book Antiqua" w:hAnsi="Book Antiqua" w:cs="Arial"/>
          <w:caps/>
        </w:rPr>
        <w:t>/201</w:t>
      </w:r>
      <w:r w:rsidR="00F70579">
        <w:rPr>
          <w:rFonts w:ascii="Book Antiqua" w:hAnsi="Book Antiqua" w:cs="Arial"/>
          <w:caps/>
        </w:rPr>
        <w:t>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B26BAE" w:rsidTr="00B26BAE">
        <w:tc>
          <w:tcPr>
            <w:tcW w:w="6048" w:type="dxa"/>
            <w:shd w:val="clear" w:color="auto" w:fill="auto"/>
          </w:tcPr>
          <w:p w:rsidR="00D22636" w:rsidRPr="00B26BAE" w:rsidRDefault="00D22636" w:rsidP="00B26BAE">
            <w:pPr>
              <w:jc w:val="both"/>
              <w:rPr>
                <w:rFonts w:ascii="Book Antiqua" w:hAnsi="Book Antiqua" w:cs="Arial"/>
                <w:b/>
              </w:rPr>
            </w:pPr>
            <w:r w:rsidRPr="00B26BAE">
              <w:rPr>
                <w:rFonts w:ascii="Book Antiqua" w:hAnsi="Book Antiqua" w:cs="Arial"/>
                <w:b/>
              </w:rPr>
              <w:t xml:space="preserve">Heard at </w:t>
            </w:r>
            <w:r w:rsidR="00300599">
              <w:rPr>
                <w:rFonts w:ascii="Book Antiqua" w:hAnsi="Book Antiqua" w:cs="Arial"/>
                <w:b/>
              </w:rPr>
              <w:t xml:space="preserve">Bradford </w:t>
            </w:r>
          </w:p>
        </w:tc>
        <w:tc>
          <w:tcPr>
            <w:tcW w:w="3960" w:type="dxa"/>
            <w:shd w:val="clear" w:color="auto" w:fill="auto"/>
          </w:tcPr>
          <w:p w:rsidR="00D22636" w:rsidRPr="00B26BAE" w:rsidRDefault="00C77259" w:rsidP="00B26BAE">
            <w:pPr>
              <w:jc w:val="both"/>
              <w:rPr>
                <w:rFonts w:ascii="Book Antiqua" w:hAnsi="Book Antiqua" w:cs="Arial"/>
                <w:b/>
              </w:rPr>
            </w:pPr>
            <w:r w:rsidRPr="00B26BAE">
              <w:rPr>
                <w:rFonts w:ascii="Book Antiqua" w:hAnsi="Book Antiqua" w:cs="Arial"/>
                <w:b/>
              </w:rPr>
              <w:t>Decision &amp; Reasons</w:t>
            </w:r>
            <w:r w:rsidR="00B768CA" w:rsidRPr="00B26BAE">
              <w:rPr>
                <w:rFonts w:ascii="Book Antiqua" w:hAnsi="Book Antiqua" w:cs="Arial"/>
                <w:b/>
              </w:rPr>
              <w:t xml:space="preserve"> Promulgated</w:t>
            </w:r>
            <w:r w:rsidR="008C63D4" w:rsidRPr="00B26BAE">
              <w:rPr>
                <w:rFonts w:ascii="Book Antiqua" w:hAnsi="Book Antiqua" w:cs="Arial"/>
                <w:b/>
              </w:rPr>
              <w:t xml:space="preserve"> </w:t>
            </w:r>
          </w:p>
        </w:tc>
      </w:tr>
      <w:tr w:rsidR="00D22636" w:rsidRPr="00B26BAE" w:rsidTr="00B26BAE">
        <w:tc>
          <w:tcPr>
            <w:tcW w:w="6048" w:type="dxa"/>
            <w:shd w:val="clear" w:color="auto" w:fill="auto"/>
          </w:tcPr>
          <w:p w:rsidR="00D22636" w:rsidRPr="00B26BAE" w:rsidRDefault="00D22636" w:rsidP="00B26BAE">
            <w:pPr>
              <w:jc w:val="both"/>
              <w:rPr>
                <w:rFonts w:ascii="Book Antiqua" w:hAnsi="Book Antiqua" w:cs="Arial"/>
                <w:b/>
              </w:rPr>
            </w:pPr>
            <w:r w:rsidRPr="00B26BAE">
              <w:rPr>
                <w:rFonts w:ascii="Book Antiqua" w:hAnsi="Book Antiqua" w:cs="Arial"/>
                <w:b/>
              </w:rPr>
              <w:t xml:space="preserve">On </w:t>
            </w:r>
            <w:r w:rsidR="008E5E36">
              <w:rPr>
                <w:rFonts w:ascii="Book Antiqua" w:hAnsi="Book Antiqua" w:cs="Arial"/>
                <w:b/>
              </w:rPr>
              <w:t>14</w:t>
            </w:r>
            <w:r w:rsidR="008E5E36" w:rsidRPr="008E5E36">
              <w:rPr>
                <w:rFonts w:ascii="Book Antiqua" w:hAnsi="Book Antiqua" w:cs="Arial"/>
                <w:b/>
                <w:vertAlign w:val="superscript"/>
              </w:rPr>
              <w:t>th</w:t>
            </w:r>
            <w:r w:rsidR="008E5E36">
              <w:rPr>
                <w:rFonts w:ascii="Book Antiqua" w:hAnsi="Book Antiqua" w:cs="Arial"/>
                <w:b/>
              </w:rPr>
              <w:t xml:space="preserve"> June</w:t>
            </w:r>
            <w:r w:rsidR="00CB4A10" w:rsidRPr="00B26BAE">
              <w:rPr>
                <w:rFonts w:ascii="Book Antiqua" w:hAnsi="Book Antiqua" w:cs="Arial"/>
                <w:b/>
              </w:rPr>
              <w:t xml:space="preserve"> 201</w:t>
            </w:r>
            <w:r w:rsidR="001233BA">
              <w:rPr>
                <w:rFonts w:ascii="Book Antiqua" w:hAnsi="Book Antiqua" w:cs="Arial"/>
                <w:b/>
              </w:rPr>
              <w:t>8</w:t>
            </w:r>
          </w:p>
        </w:tc>
        <w:tc>
          <w:tcPr>
            <w:tcW w:w="3960" w:type="dxa"/>
            <w:shd w:val="clear" w:color="auto" w:fill="auto"/>
          </w:tcPr>
          <w:p w:rsidR="00D22636" w:rsidRPr="00B26BAE" w:rsidRDefault="00300599" w:rsidP="00B26BAE">
            <w:pPr>
              <w:jc w:val="both"/>
              <w:rPr>
                <w:rFonts w:ascii="Book Antiqua" w:hAnsi="Book Antiqua" w:cs="Arial"/>
                <w:b/>
              </w:rPr>
            </w:pPr>
            <w:r>
              <w:rPr>
                <w:rFonts w:ascii="Book Antiqua" w:hAnsi="Book Antiqua" w:cs="Arial"/>
                <w:b/>
              </w:rPr>
              <w:t>On 21</w:t>
            </w:r>
            <w:r w:rsidRPr="00300599">
              <w:rPr>
                <w:rFonts w:ascii="Book Antiqua" w:hAnsi="Book Antiqua" w:cs="Arial"/>
                <w:b/>
                <w:vertAlign w:val="superscript"/>
              </w:rPr>
              <w:t>st</w:t>
            </w:r>
            <w:r>
              <w:rPr>
                <w:rFonts w:ascii="Book Antiqua" w:hAnsi="Book Antiqua" w:cs="Arial"/>
                <w:b/>
              </w:rPr>
              <w:t xml:space="preserve"> June 2018 </w:t>
            </w:r>
          </w:p>
        </w:tc>
      </w:tr>
      <w:tr w:rsidR="00D22636" w:rsidRPr="00B26BAE" w:rsidTr="00B26BAE">
        <w:tc>
          <w:tcPr>
            <w:tcW w:w="6048" w:type="dxa"/>
            <w:shd w:val="clear" w:color="auto" w:fill="auto"/>
          </w:tcPr>
          <w:p w:rsidR="00D22636" w:rsidRPr="00B26BAE" w:rsidRDefault="00D22636" w:rsidP="00B26BAE">
            <w:pPr>
              <w:jc w:val="both"/>
              <w:rPr>
                <w:rFonts w:ascii="Book Antiqua" w:hAnsi="Book Antiqua" w:cs="Arial"/>
                <w:b/>
              </w:rPr>
            </w:pPr>
          </w:p>
        </w:tc>
        <w:tc>
          <w:tcPr>
            <w:tcW w:w="3960" w:type="dxa"/>
            <w:shd w:val="clear" w:color="auto" w:fill="auto"/>
          </w:tcPr>
          <w:p w:rsidR="00D22636" w:rsidRPr="00B26BAE" w:rsidRDefault="00D22636" w:rsidP="00B26BAE">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 xml:space="preserve">UPPER </w:t>
      </w:r>
      <w:r w:rsidR="00AA14C6">
        <w:rPr>
          <w:rFonts w:ascii="Book Antiqua" w:hAnsi="Book Antiqua" w:cs="Arial"/>
          <w:b/>
        </w:rPr>
        <w:t>TRIBUNAL</w:t>
      </w:r>
      <w:r w:rsidR="00707DB1">
        <w:rPr>
          <w:rFonts w:ascii="Book Antiqua" w:hAnsi="Book Antiqua" w:cs="Arial"/>
          <w:b/>
        </w:rPr>
        <w:t xml:space="preserve"> </w:t>
      </w:r>
      <w:r w:rsidR="00E1040E">
        <w:rPr>
          <w:rFonts w:ascii="Book Antiqua" w:hAnsi="Book Antiqua" w:cs="Arial"/>
          <w:b/>
        </w:rPr>
        <w:t xml:space="preserve">JUDGE </w:t>
      </w:r>
      <w:r w:rsidR="000E4845">
        <w:rPr>
          <w:rFonts w:ascii="Book Antiqua" w:hAnsi="Book Antiqua" w:cs="Arial"/>
          <w:b/>
        </w:rPr>
        <w:t>REEDS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8E5E36" w:rsidP="00742A8D">
      <w:pPr>
        <w:jc w:val="center"/>
        <w:rPr>
          <w:rFonts w:ascii="Book Antiqua" w:hAnsi="Book Antiqua" w:cs="Arial"/>
          <w:b/>
          <w:caps/>
        </w:rPr>
      </w:pPr>
      <w:r>
        <w:rPr>
          <w:rFonts w:ascii="Book Antiqua" w:hAnsi="Book Antiqua" w:cs="Arial"/>
          <w:b/>
          <w:caps/>
        </w:rPr>
        <w:t>AG</w:t>
      </w:r>
    </w:p>
    <w:p w:rsidR="00C77259" w:rsidRDefault="00C77259" w:rsidP="00C77259">
      <w:pPr>
        <w:jc w:val="center"/>
        <w:rPr>
          <w:rFonts w:ascii="Book Antiqua" w:hAnsi="Book Antiqua" w:cs="Arial"/>
          <w:b/>
          <w:caps/>
        </w:rPr>
      </w:pPr>
      <w:r w:rsidRPr="00C77259">
        <w:rPr>
          <w:rFonts w:ascii="Book Antiqua" w:hAnsi="Book Antiqua" w:cs="Arial"/>
          <w:b/>
          <w:caps/>
        </w:rPr>
        <w:t xml:space="preserve">(ANONYMITY DIRECTION </w:t>
      </w:r>
      <w:r w:rsidR="00CB4A10">
        <w:rPr>
          <w:rFonts w:ascii="Book Antiqua" w:hAnsi="Book Antiqua" w:cs="Arial"/>
          <w:b/>
          <w:caps/>
        </w:rPr>
        <w:t>made</w:t>
      </w:r>
      <w:r w:rsidRPr="00C77259">
        <w:rPr>
          <w:rFonts w:ascii="Book Antiqua" w:hAnsi="Book Antiqua" w:cs="Arial"/>
          <w:b/>
          <w:caps/>
        </w:rPr>
        <w:t>)</w:t>
      </w:r>
    </w:p>
    <w:p w:rsidR="00704B61" w:rsidRPr="00F5664C" w:rsidRDefault="00AA14C6" w:rsidP="00704B61">
      <w:pPr>
        <w:jc w:val="right"/>
        <w:rPr>
          <w:rFonts w:ascii="Book Antiqua" w:hAnsi="Book Antiqua" w:cs="Arial"/>
          <w:u w:val="single"/>
        </w:rPr>
      </w:pPr>
      <w:r>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704B61">
      <w:pPr>
        <w:jc w:val="center"/>
        <w:rPr>
          <w:rFonts w:ascii="Book Antiqua" w:hAnsi="Book Antiqua" w:cs="Arial"/>
          <w:b/>
        </w:rPr>
      </w:pPr>
    </w:p>
    <w:p w:rsidR="00DD5071" w:rsidRPr="00F5664C" w:rsidRDefault="00AA14C6"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1E47A5">
      <w:pPr>
        <w:tabs>
          <w:tab w:val="left" w:pos="2552"/>
        </w:tabs>
        <w:ind w:left="2520" w:hanging="2520"/>
        <w:rPr>
          <w:rFonts w:ascii="Book Antiqua" w:hAnsi="Book Antiqua" w:cs="Arial"/>
        </w:rPr>
      </w:pPr>
      <w:r w:rsidRPr="00F5664C">
        <w:rPr>
          <w:rFonts w:ascii="Book Antiqua" w:hAnsi="Book Antiqua" w:cs="Arial"/>
        </w:rPr>
        <w:t xml:space="preserve">For the </w:t>
      </w:r>
      <w:r w:rsidR="00AA14C6">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8E5E36">
        <w:rPr>
          <w:rFonts w:ascii="Book Antiqua" w:hAnsi="Book Antiqua" w:cs="Arial"/>
        </w:rPr>
        <w:t>Mr T. Hussain</w:t>
      </w:r>
      <w:r w:rsidR="001233BA">
        <w:rPr>
          <w:rFonts w:ascii="Book Antiqua" w:hAnsi="Book Antiqua" w:cs="Arial"/>
        </w:rPr>
        <w:t>,</w:t>
      </w:r>
      <w:r w:rsidR="001E47A5">
        <w:rPr>
          <w:rFonts w:ascii="Book Antiqua" w:hAnsi="Book Antiqua" w:cs="Arial"/>
        </w:rPr>
        <w:t xml:space="preserve"> </w:t>
      </w:r>
      <w:r w:rsidR="00A327C7">
        <w:rPr>
          <w:rFonts w:ascii="Book Antiqua" w:hAnsi="Book Antiqua" w:cs="Arial"/>
        </w:rPr>
        <w:t xml:space="preserve">Counsel </w:t>
      </w:r>
      <w:r w:rsidR="001E47A5">
        <w:rPr>
          <w:rFonts w:ascii="Book Antiqua" w:hAnsi="Book Antiqua" w:cs="Arial"/>
        </w:rPr>
        <w:t xml:space="preserve">instructed on behalf of the </w:t>
      </w:r>
      <w:r w:rsidR="00AA14C6">
        <w:rPr>
          <w:rFonts w:ascii="Book Antiqua" w:hAnsi="Book Antiqua" w:cs="Arial"/>
        </w:rPr>
        <w:t>Appellant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AA14C6">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8E5E36">
        <w:rPr>
          <w:rFonts w:ascii="Book Antiqua" w:hAnsi="Book Antiqua" w:cs="Arial"/>
        </w:rPr>
        <w:t xml:space="preserve">Mr </w:t>
      </w:r>
      <w:proofErr w:type="spellStart"/>
      <w:r w:rsidR="008E5E36">
        <w:rPr>
          <w:rFonts w:ascii="Book Antiqua" w:hAnsi="Book Antiqua" w:cs="Arial"/>
        </w:rPr>
        <w:t>Diwnycz</w:t>
      </w:r>
      <w:proofErr w:type="spellEnd"/>
      <w:r w:rsidR="008E5E36">
        <w:rPr>
          <w:rFonts w:ascii="Book Antiqua" w:hAnsi="Book Antiqua" w:cs="Arial"/>
        </w:rPr>
        <w:t>,</w:t>
      </w:r>
      <w:r w:rsidR="002B1371">
        <w:rPr>
          <w:rFonts w:ascii="Book Antiqua" w:hAnsi="Book Antiqua" w:cs="Arial"/>
        </w:rPr>
        <w:t xml:space="preserve"> Senior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C7725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2B1371" w:rsidRDefault="002B1371" w:rsidP="00402B9E">
      <w:pPr>
        <w:tabs>
          <w:tab w:val="left" w:pos="2520"/>
        </w:tabs>
        <w:jc w:val="both"/>
        <w:rPr>
          <w:rFonts w:ascii="Book Antiqua" w:hAnsi="Book Antiqua" w:cs="Arial"/>
        </w:rPr>
      </w:pPr>
    </w:p>
    <w:p w:rsidR="00963953" w:rsidRPr="00963953" w:rsidRDefault="002B1371" w:rsidP="00963953">
      <w:pPr>
        <w:numPr>
          <w:ilvl w:val="0"/>
          <w:numId w:val="3"/>
        </w:numPr>
        <w:spacing w:before="240"/>
        <w:jc w:val="both"/>
        <w:rPr>
          <w:rFonts w:ascii="Book Antiqua" w:hAnsi="Book Antiqua" w:cs="Arial"/>
        </w:rPr>
      </w:pPr>
      <w:r>
        <w:rPr>
          <w:rFonts w:ascii="Book Antiqua" w:hAnsi="Book Antiqua" w:cs="Arial"/>
        </w:rPr>
        <w:t>Th</w:t>
      </w:r>
      <w:r w:rsidR="00723DEB">
        <w:rPr>
          <w:rFonts w:ascii="Book Antiqua" w:hAnsi="Book Antiqua" w:cs="Arial"/>
        </w:rPr>
        <w:t xml:space="preserve">e </w:t>
      </w:r>
      <w:r w:rsidR="00AA14C6">
        <w:rPr>
          <w:rFonts w:ascii="Book Antiqua" w:hAnsi="Book Antiqua" w:cs="Arial"/>
        </w:rPr>
        <w:t>Appellant</w:t>
      </w:r>
      <w:r w:rsidR="008E5E36">
        <w:rPr>
          <w:rFonts w:ascii="Book Antiqua" w:hAnsi="Book Antiqua" w:cs="Arial"/>
        </w:rPr>
        <w:t xml:space="preserve"> is a citizen of Afghanistan</w:t>
      </w:r>
      <w:r>
        <w:rPr>
          <w:rFonts w:ascii="Book Antiqua" w:hAnsi="Book Antiqua" w:cs="Arial"/>
        </w:rPr>
        <w:t xml:space="preserve">.  </w:t>
      </w:r>
    </w:p>
    <w:p w:rsidR="002B1371" w:rsidRDefault="002B1371" w:rsidP="002B1371">
      <w:pPr>
        <w:jc w:val="both"/>
        <w:rPr>
          <w:rFonts w:ascii="Book Antiqua" w:hAnsi="Book Antiqua" w:cs="Arial"/>
          <w:b/>
        </w:rPr>
      </w:pPr>
    </w:p>
    <w:p w:rsidR="002B1371" w:rsidRDefault="002B1371" w:rsidP="002B1371">
      <w:pPr>
        <w:jc w:val="both"/>
        <w:rPr>
          <w:rFonts w:ascii="Book Antiqua" w:hAnsi="Book Antiqua" w:cs="Arial"/>
          <w:b/>
        </w:rPr>
      </w:pPr>
    </w:p>
    <w:p w:rsidR="008E5E36" w:rsidRPr="00FA67CB" w:rsidRDefault="008E5E36" w:rsidP="008E5E36">
      <w:pPr>
        <w:spacing w:before="240"/>
        <w:jc w:val="both"/>
        <w:rPr>
          <w:b/>
        </w:rPr>
      </w:pPr>
      <w:r w:rsidRPr="00FA67CB">
        <w:rPr>
          <w:rFonts w:ascii="Book Antiqua" w:hAnsi="Book Antiqua"/>
          <w:b/>
        </w:rPr>
        <w:lastRenderedPageBreak/>
        <w:t xml:space="preserve">Rule 14: The </w:t>
      </w:r>
      <w:r w:rsidR="00AA14C6">
        <w:rPr>
          <w:rFonts w:ascii="Book Antiqua" w:hAnsi="Book Antiqua"/>
          <w:b/>
        </w:rPr>
        <w:t>Tribunal</w:t>
      </w:r>
      <w:r w:rsidRPr="00FA67CB">
        <w:rPr>
          <w:rFonts w:ascii="Book Antiqua" w:hAnsi="Book Antiqua"/>
          <w:b/>
        </w:rPr>
        <w:t xml:space="preserve"> Procedure (Upper </w:t>
      </w:r>
      <w:r w:rsidR="00AA14C6">
        <w:rPr>
          <w:rFonts w:ascii="Book Antiqua" w:hAnsi="Book Antiqua"/>
          <w:b/>
        </w:rPr>
        <w:t>Tribunal</w:t>
      </w:r>
      <w:r w:rsidRPr="00FA67CB">
        <w:rPr>
          <w:rFonts w:ascii="Book Antiqua" w:hAnsi="Book Antiqua"/>
          <w:b/>
        </w:rPr>
        <w:t xml:space="preserve">) Rules 2008 </w:t>
      </w:r>
      <w:r w:rsidRPr="00FA67CB">
        <w:rPr>
          <w:rFonts w:ascii="Book Antiqua" w:hAnsi="Book Antiqua"/>
          <w:b/>
        </w:rPr>
        <w:br/>
      </w:r>
    </w:p>
    <w:p w:rsidR="002B1371" w:rsidRDefault="002B1371" w:rsidP="002B1371">
      <w:pPr>
        <w:jc w:val="both"/>
        <w:rPr>
          <w:rFonts w:ascii="Book Antiqua" w:hAnsi="Book Antiqua" w:cs="Arial"/>
        </w:rPr>
      </w:pPr>
      <w:r w:rsidRPr="000E5F3A">
        <w:rPr>
          <w:rFonts w:ascii="Book Antiqua" w:hAnsi="Book Antiqua" w:cs="Arial"/>
        </w:rPr>
        <w:t xml:space="preserve">Unless and until a </w:t>
      </w:r>
      <w:r w:rsidR="00AA14C6">
        <w:rPr>
          <w:rFonts w:ascii="Book Antiqua" w:hAnsi="Book Antiqua" w:cs="Arial"/>
        </w:rPr>
        <w:t>Tribunal</w:t>
      </w:r>
      <w:r w:rsidRPr="000E5F3A">
        <w:rPr>
          <w:rFonts w:ascii="Book Antiqua" w:hAnsi="Book Antiqua" w:cs="Arial"/>
        </w:rPr>
        <w:t xml:space="preserve"> or court directs otherwise, the </w:t>
      </w:r>
      <w:r w:rsidR="00AA14C6">
        <w:rPr>
          <w:rFonts w:ascii="Book Antiqua" w:hAnsi="Book Antiqua" w:cs="Arial"/>
        </w:rPr>
        <w:t>Appellant</w:t>
      </w:r>
      <w:r w:rsidRPr="000E5F3A">
        <w:rPr>
          <w:rFonts w:ascii="Book Antiqua" w:hAnsi="Book Antiqua" w:cs="Arial"/>
        </w:rPr>
        <w:t xml:space="preserve"> is granted anonymity.  No report of these proceedings shall directly or indirectly identify him</w:t>
      </w:r>
      <w:r w:rsidR="00F70579">
        <w:rPr>
          <w:rFonts w:ascii="Book Antiqua" w:hAnsi="Book Antiqua" w:cs="Arial"/>
        </w:rPr>
        <w:t>.</w:t>
      </w:r>
      <w:r w:rsidRPr="000E5F3A">
        <w:rPr>
          <w:rFonts w:ascii="Book Antiqua" w:hAnsi="Book Antiqua" w:cs="Arial"/>
        </w:rPr>
        <w:t xml:space="preserve"> This direction applies both to the </w:t>
      </w:r>
      <w:r w:rsidR="00AA14C6">
        <w:rPr>
          <w:rFonts w:ascii="Book Antiqua" w:hAnsi="Book Antiqua" w:cs="Arial"/>
        </w:rPr>
        <w:t>Appellant</w:t>
      </w:r>
      <w:r w:rsidRPr="000E5F3A">
        <w:rPr>
          <w:rFonts w:ascii="Book Antiqua" w:hAnsi="Book Antiqua" w:cs="Arial"/>
        </w:rPr>
        <w:t xml:space="preserve"> and to the </w:t>
      </w:r>
      <w:r w:rsidR="00AA14C6">
        <w:rPr>
          <w:rFonts w:ascii="Book Antiqua" w:hAnsi="Book Antiqua" w:cs="Arial"/>
        </w:rPr>
        <w:t>Respondent</w:t>
      </w:r>
      <w:r w:rsidRPr="000E5F3A">
        <w:rPr>
          <w:rFonts w:ascii="Book Antiqua" w:hAnsi="Book Antiqua" w:cs="Arial"/>
        </w:rPr>
        <w:t>.  Failure to comply with this direction could lead t</w:t>
      </w:r>
      <w:r>
        <w:rPr>
          <w:rFonts w:ascii="Book Antiqua" w:hAnsi="Book Antiqua" w:cs="Arial"/>
        </w:rPr>
        <w:t>o contempt of court proceedings.</w:t>
      </w:r>
    </w:p>
    <w:p w:rsidR="00F70579" w:rsidRDefault="007D0CFC" w:rsidP="005A4D0E">
      <w:pPr>
        <w:numPr>
          <w:ilvl w:val="0"/>
          <w:numId w:val="3"/>
        </w:numPr>
        <w:spacing w:before="240"/>
        <w:jc w:val="both"/>
        <w:rPr>
          <w:rFonts w:ascii="Book Antiqua" w:hAnsi="Book Antiqua" w:cs="Arial"/>
        </w:rPr>
      </w:pPr>
      <w:r w:rsidRPr="000D436D">
        <w:rPr>
          <w:rFonts w:ascii="Book Antiqua" w:hAnsi="Book Antiqua" w:cs="Arial"/>
        </w:rPr>
        <w:t xml:space="preserve">The </w:t>
      </w:r>
      <w:r w:rsidR="00AA14C6">
        <w:rPr>
          <w:rFonts w:ascii="Book Antiqua" w:hAnsi="Book Antiqua" w:cs="Arial"/>
        </w:rPr>
        <w:t>Appellant</w:t>
      </w:r>
      <w:r w:rsidR="00C44EFB">
        <w:rPr>
          <w:rFonts w:ascii="Book Antiqua" w:hAnsi="Book Antiqua" w:cs="Arial"/>
        </w:rPr>
        <w:t>,</w:t>
      </w:r>
      <w:r w:rsidR="00B5034A">
        <w:rPr>
          <w:rFonts w:ascii="Book Antiqua" w:hAnsi="Book Antiqua" w:cs="Arial"/>
        </w:rPr>
        <w:t xml:space="preserve"> with permission</w:t>
      </w:r>
      <w:r w:rsidR="00C44EFB">
        <w:rPr>
          <w:rFonts w:ascii="Book Antiqua" w:hAnsi="Book Antiqua" w:cs="Arial"/>
        </w:rPr>
        <w:t>,</w:t>
      </w:r>
      <w:r w:rsidRPr="000D436D">
        <w:rPr>
          <w:rFonts w:ascii="Book Antiqua" w:hAnsi="Book Antiqua" w:cs="Arial"/>
        </w:rPr>
        <w:t xml:space="preserve"> appeals against the decision of the </w:t>
      </w:r>
      <w:r w:rsidR="009C74C5" w:rsidRPr="000D436D">
        <w:rPr>
          <w:rFonts w:ascii="Book Antiqua" w:hAnsi="Book Antiqua" w:cs="Arial"/>
        </w:rPr>
        <w:t>First</w:t>
      </w:r>
      <w:r w:rsidRPr="000D436D">
        <w:rPr>
          <w:rFonts w:ascii="Book Antiqua" w:hAnsi="Book Antiqua" w:cs="Arial"/>
        </w:rPr>
        <w:t xml:space="preserve">-tier </w:t>
      </w:r>
      <w:r w:rsidR="00AA14C6">
        <w:rPr>
          <w:rFonts w:ascii="Book Antiqua" w:hAnsi="Book Antiqua" w:cs="Arial"/>
        </w:rPr>
        <w:t>Tribunal</w:t>
      </w:r>
      <w:r w:rsidRPr="000D436D">
        <w:rPr>
          <w:rFonts w:ascii="Book Antiqua" w:hAnsi="Book Antiqua" w:cs="Arial"/>
        </w:rPr>
        <w:t>, who, in a determination promulgated</w:t>
      </w:r>
      <w:r w:rsidR="001E47A5" w:rsidRPr="000D436D">
        <w:rPr>
          <w:rFonts w:ascii="Book Antiqua" w:hAnsi="Book Antiqua" w:cs="Arial"/>
        </w:rPr>
        <w:t xml:space="preserve"> on</w:t>
      </w:r>
      <w:r w:rsidRPr="000D436D">
        <w:rPr>
          <w:rFonts w:ascii="Book Antiqua" w:hAnsi="Book Antiqua" w:cs="Arial"/>
        </w:rPr>
        <w:t xml:space="preserve"> </w:t>
      </w:r>
      <w:r w:rsidR="00723DEB" w:rsidRPr="000D436D">
        <w:rPr>
          <w:rFonts w:ascii="Book Antiqua" w:hAnsi="Book Antiqua" w:cs="Arial"/>
        </w:rPr>
        <w:t xml:space="preserve">the </w:t>
      </w:r>
      <w:r w:rsidR="00F70579">
        <w:rPr>
          <w:rFonts w:ascii="Book Antiqua" w:hAnsi="Book Antiqua" w:cs="Arial"/>
        </w:rPr>
        <w:t>2</w:t>
      </w:r>
      <w:r w:rsidR="008E5E36" w:rsidRPr="008E5E36">
        <w:rPr>
          <w:rFonts w:ascii="Book Antiqua" w:hAnsi="Book Antiqua" w:cs="Arial"/>
          <w:vertAlign w:val="superscript"/>
        </w:rPr>
        <w:t>nd</w:t>
      </w:r>
      <w:r w:rsidR="008E5E36">
        <w:rPr>
          <w:rFonts w:ascii="Book Antiqua" w:hAnsi="Book Antiqua" w:cs="Arial"/>
        </w:rPr>
        <w:t xml:space="preserve"> October</w:t>
      </w:r>
      <w:r w:rsidR="001233BA">
        <w:rPr>
          <w:rFonts w:ascii="Book Antiqua" w:hAnsi="Book Antiqua" w:cs="Arial"/>
        </w:rPr>
        <w:t xml:space="preserve"> 2017</w:t>
      </w:r>
      <w:r w:rsidR="00B5034A">
        <w:rPr>
          <w:rFonts w:ascii="Book Antiqua" w:hAnsi="Book Antiqua" w:cs="Arial"/>
        </w:rPr>
        <w:t>,</w:t>
      </w:r>
      <w:r w:rsidR="001233BA">
        <w:rPr>
          <w:rFonts w:ascii="Book Antiqua" w:hAnsi="Book Antiqua" w:cs="Arial"/>
        </w:rPr>
        <w:t xml:space="preserve"> dismissed his</w:t>
      </w:r>
      <w:r w:rsidRPr="000D436D">
        <w:rPr>
          <w:rFonts w:ascii="Book Antiqua" w:hAnsi="Book Antiqua" w:cs="Arial"/>
        </w:rPr>
        <w:t xml:space="preserve"> claim </w:t>
      </w:r>
      <w:r w:rsidR="00723DEB" w:rsidRPr="000D436D">
        <w:rPr>
          <w:rFonts w:ascii="Book Antiqua" w:hAnsi="Book Antiqua" w:cs="Arial"/>
        </w:rPr>
        <w:t xml:space="preserve">for protection. </w:t>
      </w:r>
    </w:p>
    <w:p w:rsidR="00502B88" w:rsidRDefault="00723DEB" w:rsidP="00502B88">
      <w:pPr>
        <w:numPr>
          <w:ilvl w:val="0"/>
          <w:numId w:val="3"/>
        </w:numPr>
        <w:spacing w:before="240"/>
        <w:jc w:val="both"/>
        <w:rPr>
          <w:rFonts w:ascii="Book Antiqua" w:hAnsi="Book Antiqua" w:cs="Arial"/>
        </w:rPr>
      </w:pPr>
      <w:r w:rsidRPr="000D436D">
        <w:rPr>
          <w:rFonts w:ascii="Book Antiqua" w:hAnsi="Book Antiqua" w:cs="Arial"/>
        </w:rPr>
        <w:t xml:space="preserve"> The </w:t>
      </w:r>
      <w:r w:rsidR="00AA14C6">
        <w:rPr>
          <w:rFonts w:ascii="Book Antiqua" w:hAnsi="Book Antiqua" w:cs="Arial"/>
        </w:rPr>
        <w:t>Appellant’s</w:t>
      </w:r>
      <w:r w:rsidR="007D0CFC" w:rsidRPr="000D436D">
        <w:rPr>
          <w:rFonts w:ascii="Book Antiqua" w:hAnsi="Book Antiqua" w:cs="Arial"/>
        </w:rPr>
        <w:t xml:space="preserve"> immigration history </w:t>
      </w:r>
      <w:r w:rsidR="00502B88">
        <w:rPr>
          <w:rFonts w:ascii="Book Antiqua" w:hAnsi="Book Antiqua" w:cs="Arial"/>
        </w:rPr>
        <w:t xml:space="preserve">and the factual basis of his claim </w:t>
      </w:r>
      <w:r w:rsidR="007D0CFC" w:rsidRPr="000D436D">
        <w:rPr>
          <w:rFonts w:ascii="Book Antiqua" w:hAnsi="Book Antiqua" w:cs="Arial"/>
        </w:rPr>
        <w:t xml:space="preserve">is set out within the determination </w:t>
      </w:r>
      <w:r w:rsidR="001233BA">
        <w:rPr>
          <w:rFonts w:ascii="Book Antiqua" w:hAnsi="Book Antiqua" w:cs="Arial"/>
        </w:rPr>
        <w:t xml:space="preserve">and in the papers before the </w:t>
      </w:r>
      <w:r w:rsidR="00AA14C6">
        <w:rPr>
          <w:rFonts w:ascii="Book Antiqua" w:hAnsi="Book Antiqua" w:cs="Arial"/>
        </w:rPr>
        <w:t>Tribunal</w:t>
      </w:r>
      <w:r w:rsidR="001233BA">
        <w:rPr>
          <w:rFonts w:ascii="Book Antiqua" w:hAnsi="Book Antiqua" w:cs="Arial"/>
        </w:rPr>
        <w:t xml:space="preserve">, </w:t>
      </w:r>
      <w:r w:rsidR="003505B1" w:rsidRPr="000D436D">
        <w:rPr>
          <w:rFonts w:ascii="Book Antiqua" w:hAnsi="Book Antiqua" w:cs="Arial"/>
        </w:rPr>
        <w:t>namely</w:t>
      </w:r>
      <w:r w:rsidR="000E7B48">
        <w:rPr>
          <w:rFonts w:ascii="Book Antiqua" w:hAnsi="Book Antiqua" w:cs="Arial"/>
        </w:rPr>
        <w:t>,</w:t>
      </w:r>
      <w:r w:rsidR="003505B1" w:rsidRPr="000D436D">
        <w:rPr>
          <w:rFonts w:ascii="Book Antiqua" w:hAnsi="Book Antiqua" w:cs="Arial"/>
        </w:rPr>
        <w:t xml:space="preserve"> that</w:t>
      </w:r>
      <w:r w:rsidRPr="000D436D">
        <w:rPr>
          <w:rFonts w:ascii="Book Antiqua" w:hAnsi="Book Antiqua" w:cs="Arial"/>
        </w:rPr>
        <w:t xml:space="preserve"> </w:t>
      </w:r>
      <w:r w:rsidR="00B5034A">
        <w:rPr>
          <w:rFonts w:ascii="Book Antiqua" w:hAnsi="Book Antiqua" w:cs="Arial"/>
        </w:rPr>
        <w:t xml:space="preserve">the </w:t>
      </w:r>
      <w:r w:rsidR="00AA14C6">
        <w:rPr>
          <w:rFonts w:ascii="Book Antiqua" w:hAnsi="Book Antiqua" w:cs="Arial"/>
        </w:rPr>
        <w:t>Appellant</w:t>
      </w:r>
      <w:r w:rsidR="00B5034A">
        <w:rPr>
          <w:rFonts w:ascii="Book Antiqua" w:hAnsi="Book Antiqua" w:cs="Arial"/>
        </w:rPr>
        <w:t xml:space="preserve"> </w:t>
      </w:r>
      <w:r w:rsidR="00B5034A" w:rsidRPr="005A4D0E">
        <w:rPr>
          <w:rFonts w:ascii="Book Antiqua" w:hAnsi="Book Antiqua" w:cs="Arial"/>
        </w:rPr>
        <w:t>had</w:t>
      </w:r>
      <w:r w:rsidR="005F330E">
        <w:rPr>
          <w:rFonts w:ascii="Book Antiqua" w:hAnsi="Book Antiqua" w:cs="Arial"/>
        </w:rPr>
        <w:t xml:space="preserve"> </w:t>
      </w:r>
      <w:r w:rsidR="00502B88">
        <w:rPr>
          <w:rFonts w:ascii="Book Antiqua" w:hAnsi="Book Antiqua" w:cs="Arial"/>
        </w:rPr>
        <w:t>been working as a teacher at a local school after the official</w:t>
      </w:r>
      <w:r w:rsidR="00AA14C6">
        <w:rPr>
          <w:rFonts w:ascii="Book Antiqua" w:hAnsi="Book Antiqua" w:cs="Arial"/>
        </w:rPr>
        <w:t xml:space="preserve"> school day</w:t>
      </w:r>
      <w:r w:rsidR="00502B88">
        <w:rPr>
          <w:rFonts w:ascii="Book Antiqua" w:hAnsi="Book Antiqua" w:cs="Arial"/>
        </w:rPr>
        <w:t xml:space="preserve"> time. Approximately 4</w:t>
      </w:r>
      <w:r w:rsidR="00A73194">
        <w:rPr>
          <w:rFonts w:ascii="Book Antiqua" w:hAnsi="Book Antiqua" w:cs="Arial"/>
        </w:rPr>
        <w:t>½ – 5</w:t>
      </w:r>
      <w:r w:rsidR="00502B88">
        <w:rPr>
          <w:rFonts w:ascii="Book Antiqua" w:hAnsi="Book Antiqua" w:cs="Arial"/>
        </w:rPr>
        <w:t xml:space="preserve"> years ago, he was approached by the Taleban who had accused him of teaching the children propaganda and accused him of receiving money from the Americans. He was taken to the mountains along with another teacher, where he stayed for 12 to 13 days with the Taleban. They had asked him to join them and had threatened him with harm if he refused. The </w:t>
      </w:r>
      <w:r w:rsidR="00AA14C6">
        <w:rPr>
          <w:rFonts w:ascii="Book Antiqua" w:hAnsi="Book Antiqua" w:cs="Arial"/>
        </w:rPr>
        <w:t>Appellant</w:t>
      </w:r>
      <w:r w:rsidR="00502B88">
        <w:rPr>
          <w:rFonts w:ascii="Book Antiqua" w:hAnsi="Book Antiqua" w:cs="Arial"/>
        </w:rPr>
        <w:t xml:space="preserve"> claimed that he was able to escape from the village but that his friend was “martyred”. He claimed that shots were fired and there was an explosion and the next thing he remembered was waking up in hospital. It was further claimed that the Taleban had found out his whereabouts and he went to Kabul in hiding. </w:t>
      </w:r>
      <w:proofErr w:type="gramStart"/>
      <w:r w:rsidR="00502B88">
        <w:rPr>
          <w:rFonts w:ascii="Book Antiqua" w:hAnsi="Book Antiqua" w:cs="Arial"/>
        </w:rPr>
        <w:t>However</w:t>
      </w:r>
      <w:proofErr w:type="gramEnd"/>
      <w:r w:rsidR="00502B88">
        <w:rPr>
          <w:rFonts w:ascii="Book Antiqua" w:hAnsi="Book Antiqua" w:cs="Arial"/>
        </w:rPr>
        <w:t xml:space="preserve"> the Taleban became aware of where he was over time and threatened his uncle. The </w:t>
      </w:r>
      <w:r w:rsidR="00AA14C6">
        <w:rPr>
          <w:rFonts w:ascii="Book Antiqua" w:hAnsi="Book Antiqua" w:cs="Arial"/>
        </w:rPr>
        <w:t>Appellant</w:t>
      </w:r>
      <w:r w:rsidR="00502B88">
        <w:rPr>
          <w:rFonts w:ascii="Book Antiqua" w:hAnsi="Book Antiqua" w:cs="Arial"/>
        </w:rPr>
        <w:t xml:space="preserve"> left Afghanistan after travelling overland and arrived in the United Kingdom on 2 October 2015 when he claimed asylum on the same day.</w:t>
      </w:r>
    </w:p>
    <w:p w:rsidR="00502B88" w:rsidRDefault="00502B88" w:rsidP="00502B88">
      <w:pPr>
        <w:numPr>
          <w:ilvl w:val="0"/>
          <w:numId w:val="3"/>
        </w:numPr>
        <w:spacing w:before="240"/>
        <w:jc w:val="both"/>
        <w:rPr>
          <w:rFonts w:ascii="Book Antiqua" w:hAnsi="Book Antiqua" w:cs="Arial"/>
        </w:rPr>
      </w:pPr>
      <w:r>
        <w:rPr>
          <w:rFonts w:ascii="Book Antiqua" w:hAnsi="Book Antiqua" w:cs="Arial"/>
        </w:rPr>
        <w:t xml:space="preserve">In a decision letter of 18 August 2017, the </w:t>
      </w:r>
      <w:r w:rsidR="00AA14C6">
        <w:rPr>
          <w:rFonts w:ascii="Book Antiqua" w:hAnsi="Book Antiqua" w:cs="Arial"/>
        </w:rPr>
        <w:t>Respondent</w:t>
      </w:r>
      <w:r>
        <w:rPr>
          <w:rFonts w:ascii="Book Antiqua" w:hAnsi="Book Antiqua" w:cs="Arial"/>
        </w:rPr>
        <w:t xml:space="preserve"> refused his protection claim. The </w:t>
      </w:r>
      <w:r w:rsidR="00AA14C6">
        <w:rPr>
          <w:rFonts w:ascii="Book Antiqua" w:hAnsi="Book Antiqua" w:cs="Arial"/>
        </w:rPr>
        <w:t>Appellant</w:t>
      </w:r>
      <w:r>
        <w:rPr>
          <w:rFonts w:ascii="Book Antiqua" w:hAnsi="Book Antiqua" w:cs="Arial"/>
        </w:rPr>
        <w:t xml:space="preserve"> appealed that decision before the first-tier </w:t>
      </w:r>
      <w:r w:rsidR="00AA14C6">
        <w:rPr>
          <w:rFonts w:ascii="Book Antiqua" w:hAnsi="Book Antiqua" w:cs="Arial"/>
        </w:rPr>
        <w:t>Tribunal</w:t>
      </w:r>
      <w:r>
        <w:rPr>
          <w:rFonts w:ascii="Book Antiqua" w:hAnsi="Book Antiqua" w:cs="Arial"/>
        </w:rPr>
        <w:t xml:space="preserve">. </w:t>
      </w:r>
      <w:r w:rsidR="001039DF" w:rsidRPr="00502B88">
        <w:rPr>
          <w:rFonts w:ascii="Book Antiqua" w:hAnsi="Book Antiqua" w:cs="Arial"/>
        </w:rPr>
        <w:t>In a dec</w:t>
      </w:r>
      <w:r w:rsidR="008E5E36" w:rsidRPr="00502B88">
        <w:rPr>
          <w:rFonts w:ascii="Book Antiqua" w:hAnsi="Book Antiqua" w:cs="Arial"/>
        </w:rPr>
        <w:t>ision promulgated on 17</w:t>
      </w:r>
      <w:r w:rsidR="008E5E36" w:rsidRPr="00502B88">
        <w:rPr>
          <w:rFonts w:ascii="Book Antiqua" w:hAnsi="Book Antiqua" w:cs="Arial"/>
          <w:vertAlign w:val="superscript"/>
        </w:rPr>
        <w:t>th</w:t>
      </w:r>
      <w:r w:rsidR="008E5E36" w:rsidRPr="00502B88">
        <w:rPr>
          <w:rFonts w:ascii="Book Antiqua" w:hAnsi="Book Antiqua" w:cs="Arial"/>
        </w:rPr>
        <w:t xml:space="preserve"> October</w:t>
      </w:r>
      <w:r>
        <w:rPr>
          <w:rFonts w:ascii="Book Antiqua" w:hAnsi="Book Antiqua" w:cs="Arial"/>
        </w:rPr>
        <w:t xml:space="preserve"> 2017 his appeal was dismissed the judge having rejected the account </w:t>
      </w:r>
      <w:r w:rsidR="00AA14C6">
        <w:rPr>
          <w:rFonts w:ascii="Book Antiqua" w:hAnsi="Book Antiqua" w:cs="Arial"/>
        </w:rPr>
        <w:t>having made</w:t>
      </w:r>
      <w:r>
        <w:rPr>
          <w:rFonts w:ascii="Book Antiqua" w:hAnsi="Book Antiqua" w:cs="Arial"/>
        </w:rPr>
        <w:t xml:space="preserve"> adverse credibility findings (see findings and conclusions at paragraphs 27-39). </w:t>
      </w:r>
    </w:p>
    <w:p w:rsidR="00A73194" w:rsidRDefault="00A73194" w:rsidP="00502B88">
      <w:pPr>
        <w:numPr>
          <w:ilvl w:val="0"/>
          <w:numId w:val="3"/>
        </w:numPr>
        <w:spacing w:before="240"/>
        <w:jc w:val="both"/>
        <w:rPr>
          <w:rFonts w:ascii="Book Antiqua" w:hAnsi="Book Antiqua" w:cs="Arial"/>
        </w:rPr>
      </w:pPr>
      <w:r>
        <w:rPr>
          <w:rFonts w:ascii="Book Antiqua" w:hAnsi="Book Antiqua" w:cs="Arial"/>
        </w:rPr>
        <w:t xml:space="preserve">The </w:t>
      </w:r>
      <w:r w:rsidR="00AA14C6">
        <w:rPr>
          <w:rFonts w:ascii="Book Antiqua" w:hAnsi="Book Antiqua" w:cs="Arial"/>
        </w:rPr>
        <w:t>Appellant</w:t>
      </w:r>
      <w:r>
        <w:rPr>
          <w:rFonts w:ascii="Book Antiqua" w:hAnsi="Book Antiqua" w:cs="Arial"/>
        </w:rPr>
        <w:t xml:space="preserve"> sought permission to appeal that decision which was refused initially but granted by the Upper </w:t>
      </w:r>
      <w:r w:rsidR="00AA14C6">
        <w:rPr>
          <w:rFonts w:ascii="Book Antiqua" w:hAnsi="Book Antiqua" w:cs="Arial"/>
        </w:rPr>
        <w:t>Tribunal</w:t>
      </w:r>
      <w:r>
        <w:rPr>
          <w:rFonts w:ascii="Book Antiqua" w:hAnsi="Book Antiqua" w:cs="Arial"/>
        </w:rPr>
        <w:t xml:space="preserve"> on 26 February 2018 in the following terms:</w:t>
      </w:r>
    </w:p>
    <w:p w:rsidR="00A73194" w:rsidRDefault="00A73194" w:rsidP="00850C2F">
      <w:pPr>
        <w:spacing w:before="240"/>
        <w:ind w:left="1134"/>
        <w:jc w:val="both"/>
        <w:rPr>
          <w:rFonts w:ascii="Book Antiqua" w:hAnsi="Book Antiqua" w:cs="Arial"/>
        </w:rPr>
      </w:pPr>
      <w:r>
        <w:rPr>
          <w:rFonts w:ascii="Book Antiqua" w:hAnsi="Book Antiqua" w:cs="Arial"/>
        </w:rPr>
        <w:t>“The grounds in support of the application permission to appeal to the</w:t>
      </w:r>
      <w:r w:rsidR="00C249BE">
        <w:rPr>
          <w:rFonts w:ascii="Book Antiqua" w:hAnsi="Book Antiqua" w:cs="Arial"/>
        </w:rPr>
        <w:t xml:space="preserve"> </w:t>
      </w:r>
      <w:r w:rsidR="00AA14C6">
        <w:rPr>
          <w:rFonts w:ascii="Book Antiqua" w:hAnsi="Book Antiqua" w:cs="Arial"/>
        </w:rPr>
        <w:t>Tribunal</w:t>
      </w:r>
      <w:r>
        <w:rPr>
          <w:rFonts w:ascii="Book Antiqua" w:hAnsi="Book Antiqua" w:cs="Arial"/>
        </w:rPr>
        <w:t xml:space="preserve"> assert that the judge erred materially in law: (1) in failing to take into consideration the expert report and (2) in failing to make any finding on the reasonableness of the internal flight alternative and failed to take account of the fact that the </w:t>
      </w:r>
      <w:r w:rsidR="00AA14C6">
        <w:rPr>
          <w:rFonts w:ascii="Book Antiqua" w:hAnsi="Book Antiqua" w:cs="Arial"/>
        </w:rPr>
        <w:t>Appellant</w:t>
      </w:r>
      <w:r>
        <w:rPr>
          <w:rFonts w:ascii="Book Antiqua" w:hAnsi="Book Antiqua" w:cs="Arial"/>
        </w:rPr>
        <w:t xml:space="preserve"> only left Kabul having spent three years in hiding after the Taleban discovered his whereabouts.</w:t>
      </w:r>
    </w:p>
    <w:p w:rsidR="00A73194" w:rsidRDefault="00A73194" w:rsidP="00850C2F">
      <w:pPr>
        <w:spacing w:before="240"/>
        <w:ind w:left="1134"/>
        <w:jc w:val="both"/>
        <w:rPr>
          <w:rFonts w:ascii="Book Antiqua" w:hAnsi="Book Antiqua" w:cs="Arial"/>
        </w:rPr>
      </w:pPr>
      <w:r>
        <w:rPr>
          <w:rFonts w:ascii="Book Antiqua" w:hAnsi="Book Antiqua" w:cs="Arial"/>
        </w:rPr>
        <w:t xml:space="preserve">Following the refusal of permission to appeal to the upper </w:t>
      </w:r>
      <w:r w:rsidR="00AA14C6">
        <w:rPr>
          <w:rFonts w:ascii="Book Antiqua" w:hAnsi="Book Antiqua" w:cs="Arial"/>
        </w:rPr>
        <w:t>Tribunal</w:t>
      </w:r>
      <w:r>
        <w:rPr>
          <w:rFonts w:ascii="Book Antiqua" w:hAnsi="Book Antiqua" w:cs="Arial"/>
        </w:rPr>
        <w:t xml:space="preserve"> by FTTJ in a decision dated 30/11/17, renewed grounds of appeal was submitted, in time, which set out the specific paragraphs of the expert report relied upon.</w:t>
      </w:r>
    </w:p>
    <w:p w:rsidR="00A73194" w:rsidRDefault="00A73194" w:rsidP="00850C2F">
      <w:pPr>
        <w:spacing w:before="240"/>
        <w:ind w:left="1134"/>
        <w:jc w:val="both"/>
        <w:rPr>
          <w:rFonts w:ascii="Book Antiqua" w:hAnsi="Book Antiqua" w:cs="Arial"/>
        </w:rPr>
      </w:pPr>
      <w:r>
        <w:rPr>
          <w:rFonts w:ascii="Book Antiqua" w:hAnsi="Book Antiqua" w:cs="Arial"/>
        </w:rPr>
        <w:lastRenderedPageBreak/>
        <w:t>The</w:t>
      </w:r>
      <w:r w:rsidR="00AA14C6">
        <w:rPr>
          <w:rFonts w:ascii="Book Antiqua" w:hAnsi="Book Antiqua" w:cs="Arial"/>
        </w:rPr>
        <w:t xml:space="preserve"> grounds of appeal disclose arguable</w:t>
      </w:r>
      <w:r>
        <w:rPr>
          <w:rFonts w:ascii="Book Antiqua" w:hAnsi="Book Antiqua" w:cs="Arial"/>
        </w:rPr>
        <w:t xml:space="preserve"> errors of law in the decision of the F</w:t>
      </w:r>
      <w:r w:rsidR="00AA14C6">
        <w:rPr>
          <w:rFonts w:ascii="Book Antiqua" w:hAnsi="Book Antiqua" w:cs="Arial"/>
        </w:rPr>
        <w:t>irst-tier Tribunal</w:t>
      </w:r>
      <w:r>
        <w:rPr>
          <w:rFonts w:ascii="Book Antiqua" w:hAnsi="Book Antiqua" w:cs="Arial"/>
        </w:rPr>
        <w:t xml:space="preserve">. Whilst the judge recorded the submissions on the part of the </w:t>
      </w:r>
      <w:r w:rsidR="00AA14C6">
        <w:rPr>
          <w:rFonts w:ascii="Book Antiqua" w:hAnsi="Book Antiqua" w:cs="Arial"/>
        </w:rPr>
        <w:t>Appellant</w:t>
      </w:r>
      <w:r>
        <w:rPr>
          <w:rFonts w:ascii="Book Antiqua" w:hAnsi="Book Antiqua" w:cs="Arial"/>
        </w:rPr>
        <w:t xml:space="preserve"> including reference to the expert report at [23] – 25] of his decision, at no stage in the decision does he make any findings on the expert evidence in his assessment of the </w:t>
      </w:r>
      <w:r w:rsidR="00AA14C6">
        <w:rPr>
          <w:rFonts w:ascii="Book Antiqua" w:hAnsi="Book Antiqua" w:cs="Arial"/>
        </w:rPr>
        <w:t>Appellant</w:t>
      </w:r>
      <w:r>
        <w:rPr>
          <w:rFonts w:ascii="Book Antiqua" w:hAnsi="Book Antiqua" w:cs="Arial"/>
        </w:rPr>
        <w:t xml:space="preserve">s claim cf. </w:t>
      </w:r>
      <w:proofErr w:type="spellStart"/>
      <w:r w:rsidRPr="00A73194">
        <w:rPr>
          <w:rFonts w:ascii="Book Antiqua" w:hAnsi="Book Antiqua" w:cs="Arial"/>
          <w:u w:val="single"/>
        </w:rPr>
        <w:t>Mibanga</w:t>
      </w:r>
      <w:proofErr w:type="spellEnd"/>
      <w:r>
        <w:rPr>
          <w:rFonts w:ascii="Book Antiqua" w:hAnsi="Book Antiqua" w:cs="Arial"/>
        </w:rPr>
        <w:t xml:space="preserve"> [2005] EWCA</w:t>
      </w:r>
      <w:r w:rsidR="00AA14C6">
        <w:rPr>
          <w:rFonts w:ascii="Book Antiqua" w:hAnsi="Book Antiqua" w:cs="Arial"/>
        </w:rPr>
        <w:t xml:space="preserve"> </w:t>
      </w:r>
      <w:proofErr w:type="spellStart"/>
      <w:r>
        <w:rPr>
          <w:rFonts w:ascii="Book Antiqua" w:hAnsi="Book Antiqua" w:cs="Arial"/>
        </w:rPr>
        <w:t>Civ</w:t>
      </w:r>
      <w:proofErr w:type="spellEnd"/>
      <w:r>
        <w:rPr>
          <w:rFonts w:ascii="Book Antiqua" w:hAnsi="Book Antiqua" w:cs="Arial"/>
        </w:rPr>
        <w:t xml:space="preserve"> 367. I do not consider that the passing reference to the expert evidence at [38] constitutes finding on that evidence. Whilst the judge rejected the </w:t>
      </w:r>
      <w:r w:rsidR="00AA14C6">
        <w:rPr>
          <w:rFonts w:ascii="Book Antiqua" w:hAnsi="Book Antiqua" w:cs="Arial"/>
        </w:rPr>
        <w:t>Appellant’</w:t>
      </w:r>
      <w:r>
        <w:rPr>
          <w:rFonts w:ascii="Book Antiqua" w:hAnsi="Book Antiqua" w:cs="Arial"/>
        </w:rPr>
        <w:t xml:space="preserve">s claim to have a well-founded fear of persecution in Kabul, if his findings are found to be flawed by material error that the issue of internal relocation outside Kabul will need to be determined. It is of the </w:t>
      </w:r>
      <w:r w:rsidR="00AA14C6">
        <w:rPr>
          <w:rFonts w:ascii="Book Antiqua" w:hAnsi="Book Antiqua" w:cs="Arial"/>
        </w:rPr>
        <w:t>Appellant</w:t>
      </w:r>
      <w:r>
        <w:rPr>
          <w:rFonts w:ascii="Book Antiqua" w:hAnsi="Book Antiqua" w:cs="Arial"/>
        </w:rPr>
        <w:t xml:space="preserve"> to show the expert evidence would make a material difference to the outcome of the appeal.</w:t>
      </w:r>
    </w:p>
    <w:p w:rsidR="00A73194" w:rsidRDefault="00A73194" w:rsidP="00850C2F">
      <w:pPr>
        <w:spacing w:before="240"/>
        <w:ind w:left="1134"/>
        <w:jc w:val="both"/>
        <w:rPr>
          <w:rFonts w:ascii="Book Antiqua" w:hAnsi="Book Antiqua" w:cs="Arial"/>
        </w:rPr>
      </w:pPr>
      <w:r>
        <w:rPr>
          <w:rFonts w:ascii="Book Antiqua" w:hAnsi="Book Antiqua" w:cs="Arial"/>
        </w:rPr>
        <w:t>Permission to appeal was granted.”</w:t>
      </w:r>
    </w:p>
    <w:p w:rsidR="00A73194" w:rsidRDefault="00A73194" w:rsidP="008E5E36">
      <w:pPr>
        <w:numPr>
          <w:ilvl w:val="0"/>
          <w:numId w:val="3"/>
        </w:numPr>
        <w:spacing w:before="240"/>
        <w:jc w:val="both"/>
        <w:rPr>
          <w:rFonts w:ascii="Book Antiqua" w:hAnsi="Book Antiqua" w:cs="Arial"/>
        </w:rPr>
      </w:pPr>
      <w:proofErr w:type="gramStart"/>
      <w:r>
        <w:rPr>
          <w:rFonts w:ascii="Book Antiqua" w:hAnsi="Book Antiqua" w:cs="Arial"/>
        </w:rPr>
        <w:t>T</w:t>
      </w:r>
      <w:r w:rsidR="00AA14C6">
        <w:rPr>
          <w:rFonts w:ascii="Book Antiqua" w:hAnsi="Book Antiqua" w:cs="Arial"/>
        </w:rPr>
        <w:t>hus</w:t>
      </w:r>
      <w:proofErr w:type="gramEnd"/>
      <w:r w:rsidR="00AA14C6">
        <w:rPr>
          <w:rFonts w:ascii="Book Antiqua" w:hAnsi="Book Antiqua" w:cs="Arial"/>
        </w:rPr>
        <w:t xml:space="preserve"> the appeal came before the U</w:t>
      </w:r>
      <w:r>
        <w:rPr>
          <w:rFonts w:ascii="Book Antiqua" w:hAnsi="Book Antiqua" w:cs="Arial"/>
        </w:rPr>
        <w:t xml:space="preserve">pper </w:t>
      </w:r>
      <w:r w:rsidR="00AA14C6">
        <w:rPr>
          <w:rFonts w:ascii="Book Antiqua" w:hAnsi="Book Antiqua" w:cs="Arial"/>
        </w:rPr>
        <w:t>Tribunal</w:t>
      </w:r>
      <w:r>
        <w:rPr>
          <w:rFonts w:ascii="Book Antiqua" w:hAnsi="Book Antiqua" w:cs="Arial"/>
        </w:rPr>
        <w:t xml:space="preserve">. Mr Hussain, </w:t>
      </w:r>
      <w:r w:rsidR="00AA14C6">
        <w:rPr>
          <w:rFonts w:ascii="Book Antiqua" w:hAnsi="Book Antiqua" w:cs="Arial"/>
        </w:rPr>
        <w:t>of C</w:t>
      </w:r>
      <w:r>
        <w:rPr>
          <w:rFonts w:ascii="Book Antiqua" w:hAnsi="Book Antiqua" w:cs="Arial"/>
        </w:rPr>
        <w:t>ounsel</w:t>
      </w:r>
      <w:r w:rsidR="00AA14C6">
        <w:rPr>
          <w:rFonts w:ascii="Book Antiqua" w:hAnsi="Book Antiqua" w:cs="Arial"/>
        </w:rPr>
        <w:t>, who appeared before the F</w:t>
      </w:r>
      <w:r>
        <w:rPr>
          <w:rFonts w:ascii="Book Antiqua" w:hAnsi="Book Antiqua" w:cs="Arial"/>
        </w:rPr>
        <w:t xml:space="preserve">irst-tier </w:t>
      </w:r>
      <w:r w:rsidR="00AA14C6">
        <w:rPr>
          <w:rFonts w:ascii="Book Antiqua" w:hAnsi="Book Antiqua" w:cs="Arial"/>
        </w:rPr>
        <w:t>Tribunal</w:t>
      </w:r>
      <w:r>
        <w:rPr>
          <w:rFonts w:ascii="Book Antiqua" w:hAnsi="Book Antiqua" w:cs="Arial"/>
        </w:rPr>
        <w:t xml:space="preserve"> appeared on behalf of the </w:t>
      </w:r>
      <w:r w:rsidR="00AA14C6">
        <w:rPr>
          <w:rFonts w:ascii="Book Antiqua" w:hAnsi="Book Antiqua" w:cs="Arial"/>
        </w:rPr>
        <w:t>Appellant,</w:t>
      </w:r>
      <w:r>
        <w:rPr>
          <w:rFonts w:ascii="Book Antiqua" w:hAnsi="Book Antiqua" w:cs="Arial"/>
        </w:rPr>
        <w:t xml:space="preserve"> relied upon the grounds that he had drafted and in addition supplemented them with oral submissions. Mr </w:t>
      </w:r>
      <w:proofErr w:type="spellStart"/>
      <w:r>
        <w:rPr>
          <w:rFonts w:ascii="Book Antiqua" w:hAnsi="Book Antiqua" w:cs="Arial"/>
        </w:rPr>
        <w:t>Diwwnycz</w:t>
      </w:r>
      <w:proofErr w:type="spellEnd"/>
      <w:r>
        <w:rPr>
          <w:rFonts w:ascii="Book Antiqua" w:hAnsi="Book Antiqua" w:cs="Arial"/>
        </w:rPr>
        <w:t>,</w:t>
      </w:r>
      <w:r w:rsidR="00AA14C6">
        <w:rPr>
          <w:rFonts w:ascii="Book Antiqua" w:hAnsi="Book Antiqua" w:cs="Arial"/>
        </w:rPr>
        <w:t xml:space="preserve"> Senior Presenting O</w:t>
      </w:r>
      <w:r>
        <w:rPr>
          <w:rFonts w:ascii="Book Antiqua" w:hAnsi="Book Antiqua" w:cs="Arial"/>
        </w:rPr>
        <w:t xml:space="preserve">fficer appeared on behalf of the </w:t>
      </w:r>
      <w:r w:rsidR="00AA14C6">
        <w:rPr>
          <w:rFonts w:ascii="Book Antiqua" w:hAnsi="Book Antiqua" w:cs="Arial"/>
        </w:rPr>
        <w:t>Respondent</w:t>
      </w:r>
      <w:r>
        <w:rPr>
          <w:rFonts w:ascii="Book Antiqua" w:hAnsi="Book Antiqua" w:cs="Arial"/>
        </w:rPr>
        <w:t xml:space="preserve">. There was no rule 24 response from the </w:t>
      </w:r>
      <w:r w:rsidR="00AA14C6">
        <w:rPr>
          <w:rFonts w:ascii="Book Antiqua" w:hAnsi="Book Antiqua" w:cs="Arial"/>
        </w:rPr>
        <w:t>Respondent</w:t>
      </w:r>
      <w:r>
        <w:rPr>
          <w:rFonts w:ascii="Book Antiqua" w:hAnsi="Book Antiqua" w:cs="Arial"/>
        </w:rPr>
        <w:t xml:space="preserve">. </w:t>
      </w:r>
      <w:proofErr w:type="gramStart"/>
      <w:r>
        <w:rPr>
          <w:rFonts w:ascii="Book Antiqua" w:hAnsi="Book Antiqua" w:cs="Arial"/>
        </w:rPr>
        <w:t>However</w:t>
      </w:r>
      <w:proofErr w:type="gramEnd"/>
      <w:r>
        <w:rPr>
          <w:rFonts w:ascii="Book Antiqua" w:hAnsi="Book Antiqua" w:cs="Arial"/>
        </w:rPr>
        <w:t xml:space="preserve"> he made short oral submissions. I have taken into account the submissions of the parties when reaching a decision on whether or not the decision discloses the making of an error on a point of law. </w:t>
      </w:r>
    </w:p>
    <w:p w:rsidR="00807771" w:rsidRDefault="00807771" w:rsidP="008E5E36">
      <w:pPr>
        <w:numPr>
          <w:ilvl w:val="0"/>
          <w:numId w:val="3"/>
        </w:numPr>
        <w:spacing w:before="240"/>
        <w:jc w:val="both"/>
        <w:rPr>
          <w:rFonts w:ascii="Book Antiqua" w:hAnsi="Book Antiqua" w:cs="Arial"/>
        </w:rPr>
      </w:pPr>
      <w:r>
        <w:rPr>
          <w:rFonts w:ascii="Book Antiqua" w:hAnsi="Book Antiqua" w:cs="Arial"/>
        </w:rPr>
        <w:t xml:space="preserve">The thrust of the submissions made by Mr Hussain relate to the judges’ failure to engage with the expert report written by Dr </w:t>
      </w:r>
      <w:proofErr w:type="spellStart"/>
      <w:r>
        <w:rPr>
          <w:rFonts w:ascii="Book Antiqua" w:hAnsi="Book Antiqua" w:cs="Arial"/>
        </w:rPr>
        <w:t>G</w:t>
      </w:r>
      <w:r w:rsidR="00502B88">
        <w:rPr>
          <w:rFonts w:ascii="Book Antiqua" w:hAnsi="Book Antiqua" w:cs="Arial"/>
        </w:rPr>
        <w:t>i</w:t>
      </w:r>
      <w:r>
        <w:rPr>
          <w:rFonts w:ascii="Book Antiqua" w:hAnsi="Book Antiqua" w:cs="Arial"/>
        </w:rPr>
        <w:t>ustozzi</w:t>
      </w:r>
      <w:proofErr w:type="spellEnd"/>
      <w:r>
        <w:rPr>
          <w:rFonts w:ascii="Book Antiqua" w:hAnsi="Book Antiqua" w:cs="Arial"/>
        </w:rPr>
        <w:t xml:space="preserve">. The report was not a generalised report dealing with conditions in Afghanistan but one that was prepared by reference to the </w:t>
      </w:r>
      <w:r w:rsidR="00AA14C6">
        <w:rPr>
          <w:rFonts w:ascii="Book Antiqua" w:hAnsi="Book Antiqua" w:cs="Arial"/>
        </w:rPr>
        <w:t>Appellant’s</w:t>
      </w:r>
      <w:r>
        <w:rPr>
          <w:rFonts w:ascii="Book Antiqua" w:hAnsi="Book Antiqua" w:cs="Arial"/>
        </w:rPr>
        <w:t xml:space="preserve"> particular circumstances. The report considered the </w:t>
      </w:r>
      <w:r w:rsidR="00AA14C6">
        <w:rPr>
          <w:rFonts w:ascii="Book Antiqua" w:hAnsi="Book Antiqua" w:cs="Arial"/>
        </w:rPr>
        <w:t>Appellant</w:t>
      </w:r>
      <w:r>
        <w:rPr>
          <w:rFonts w:ascii="Book Antiqua" w:hAnsi="Book Antiqua" w:cs="Arial"/>
        </w:rPr>
        <w:t xml:space="preserve">s profile in the context of having been a teacher and the relevant country materials dealing with attacks on schools, the position of the Taleban in relation to the </w:t>
      </w:r>
      <w:r w:rsidR="00AA14C6">
        <w:rPr>
          <w:rFonts w:ascii="Book Antiqua" w:hAnsi="Book Antiqua" w:cs="Arial"/>
        </w:rPr>
        <w:t>Appellant</w:t>
      </w:r>
      <w:r>
        <w:rPr>
          <w:rFonts w:ascii="Book Antiqua" w:hAnsi="Book Antiqua" w:cs="Arial"/>
        </w:rPr>
        <w:t xml:space="preserve"> and the risk of harm to him in the home area, sufficiency of protection and the ability of the </w:t>
      </w:r>
      <w:r w:rsidR="00AA14C6">
        <w:rPr>
          <w:rFonts w:ascii="Book Antiqua" w:hAnsi="Book Antiqua" w:cs="Arial"/>
        </w:rPr>
        <w:t>Appellant</w:t>
      </w:r>
      <w:r>
        <w:rPr>
          <w:rFonts w:ascii="Book Antiqua" w:hAnsi="Book Antiqua" w:cs="Arial"/>
        </w:rPr>
        <w:t xml:space="preserve"> to return to Kabul in the light of his disability</w:t>
      </w:r>
      <w:r w:rsidR="00AA14C6">
        <w:rPr>
          <w:rFonts w:ascii="Book Antiqua" w:hAnsi="Book Antiqua" w:cs="Arial"/>
        </w:rPr>
        <w:t xml:space="preserve"> and his personal circumstances.</w:t>
      </w:r>
    </w:p>
    <w:p w:rsidR="00807771" w:rsidRDefault="00807771" w:rsidP="008E5E36">
      <w:pPr>
        <w:numPr>
          <w:ilvl w:val="0"/>
          <w:numId w:val="3"/>
        </w:numPr>
        <w:spacing w:before="240"/>
        <w:jc w:val="both"/>
        <w:rPr>
          <w:rFonts w:ascii="Book Antiqua" w:hAnsi="Book Antiqua" w:cs="Arial"/>
        </w:rPr>
      </w:pPr>
      <w:r>
        <w:rPr>
          <w:rFonts w:ascii="Book Antiqua" w:hAnsi="Book Antiqua" w:cs="Arial"/>
        </w:rPr>
        <w:t xml:space="preserve">The judge did have the report before him as he refers to it in the introductory notes relating to the evidence at [6] and when he was summarising the </w:t>
      </w:r>
      <w:r w:rsidR="00AA14C6">
        <w:rPr>
          <w:rFonts w:ascii="Book Antiqua" w:hAnsi="Book Antiqua" w:cs="Arial"/>
        </w:rPr>
        <w:t>Appellant</w:t>
      </w:r>
      <w:r>
        <w:rPr>
          <w:rFonts w:ascii="Book Antiqua" w:hAnsi="Book Antiqua" w:cs="Arial"/>
        </w:rPr>
        <w:t xml:space="preserve"> submissions at [23]. However, as Mr Hussain submits, the judge did not engage with the report in reaching his overall findings of fact on credibility which underpinned the risk assessment</w:t>
      </w:r>
      <w:r w:rsidR="00AA14C6">
        <w:rPr>
          <w:rFonts w:ascii="Book Antiqua" w:hAnsi="Book Antiqua" w:cs="Arial"/>
        </w:rPr>
        <w:t xml:space="preserve"> and any return to his home area, Kabul or elsewhere in Afghanistan.</w:t>
      </w:r>
    </w:p>
    <w:p w:rsidR="00807771" w:rsidRDefault="00807771" w:rsidP="008E5E36">
      <w:pPr>
        <w:numPr>
          <w:ilvl w:val="0"/>
          <w:numId w:val="3"/>
        </w:numPr>
        <w:spacing w:before="240"/>
        <w:jc w:val="both"/>
        <w:rPr>
          <w:rFonts w:ascii="Book Antiqua" w:hAnsi="Book Antiqua" w:cs="Arial"/>
        </w:rPr>
      </w:pPr>
      <w:r>
        <w:rPr>
          <w:rFonts w:ascii="Book Antiqua" w:hAnsi="Book Antiqua" w:cs="Arial"/>
        </w:rPr>
        <w:t xml:space="preserve">The </w:t>
      </w:r>
      <w:r w:rsidR="00AA14C6">
        <w:rPr>
          <w:rFonts w:ascii="Book Antiqua" w:hAnsi="Book Antiqua" w:cs="Arial"/>
        </w:rPr>
        <w:t>Appellant’s</w:t>
      </w:r>
      <w:r>
        <w:rPr>
          <w:rFonts w:ascii="Book Antiqua" w:hAnsi="Book Antiqua" w:cs="Arial"/>
        </w:rPr>
        <w:t xml:space="preserve"> case is based on him having worked as a teacher.</w:t>
      </w:r>
      <w:r w:rsidR="00AA14C6">
        <w:rPr>
          <w:rFonts w:ascii="Book Antiqua" w:hAnsi="Book Antiqua" w:cs="Arial"/>
        </w:rPr>
        <w:t xml:space="preserve"> Whilst it was open</w:t>
      </w:r>
      <w:r>
        <w:rPr>
          <w:rFonts w:ascii="Book Antiqua" w:hAnsi="Book Antiqua" w:cs="Arial"/>
        </w:rPr>
        <w:t xml:space="preserve"> the judge to find on the </w:t>
      </w:r>
      <w:r w:rsidR="00AA14C6">
        <w:rPr>
          <w:rFonts w:ascii="Book Antiqua" w:hAnsi="Book Antiqua" w:cs="Arial"/>
        </w:rPr>
        <w:t>Appellant’s</w:t>
      </w:r>
      <w:r>
        <w:rPr>
          <w:rFonts w:ascii="Book Antiqua" w:hAnsi="Book Antiqua" w:cs="Arial"/>
        </w:rPr>
        <w:t xml:space="preserve"> own evidence that he was, in essence, an unofficial teacher, in reaching the findings of fact there was no reference to the objective material set out in the report dealing with the general profile of teachers or the Taleban’s attitude to them or any attempts to distinguish the </w:t>
      </w:r>
      <w:r w:rsidR="00AA14C6">
        <w:rPr>
          <w:rFonts w:ascii="Book Antiqua" w:hAnsi="Book Antiqua" w:cs="Arial"/>
        </w:rPr>
        <w:t>Appellant’s</w:t>
      </w:r>
      <w:r>
        <w:rPr>
          <w:rFonts w:ascii="Book Antiqua" w:hAnsi="Book Antiqua" w:cs="Arial"/>
        </w:rPr>
        <w:t xml:space="preserve"> position from the objective material and the expert report set out at paragraph 7 and 9.</w:t>
      </w:r>
    </w:p>
    <w:p w:rsidR="00807771" w:rsidRDefault="00807771" w:rsidP="008E5E36">
      <w:pPr>
        <w:numPr>
          <w:ilvl w:val="0"/>
          <w:numId w:val="3"/>
        </w:numPr>
        <w:spacing w:before="240"/>
        <w:jc w:val="both"/>
        <w:rPr>
          <w:rFonts w:ascii="Book Antiqua" w:hAnsi="Book Antiqua" w:cs="Arial"/>
        </w:rPr>
      </w:pPr>
      <w:proofErr w:type="gramStart"/>
      <w:r>
        <w:rPr>
          <w:rFonts w:ascii="Book Antiqua" w:hAnsi="Book Antiqua" w:cs="Arial"/>
        </w:rPr>
        <w:lastRenderedPageBreak/>
        <w:t>Furthermore</w:t>
      </w:r>
      <w:proofErr w:type="gramEnd"/>
      <w:r>
        <w:rPr>
          <w:rFonts w:ascii="Book Antiqua" w:hAnsi="Book Antiqua" w:cs="Arial"/>
        </w:rPr>
        <w:t xml:space="preserve"> </w:t>
      </w:r>
      <w:r w:rsidR="00AA14C6">
        <w:rPr>
          <w:rFonts w:ascii="Book Antiqua" w:hAnsi="Book Antiqua" w:cs="Arial"/>
        </w:rPr>
        <w:t xml:space="preserve">and of more materiality, </w:t>
      </w:r>
      <w:r>
        <w:rPr>
          <w:rFonts w:ascii="Book Antiqua" w:hAnsi="Book Antiqua" w:cs="Arial"/>
        </w:rPr>
        <w:t xml:space="preserve">there was no engagement with the report in the context of the </w:t>
      </w:r>
      <w:r w:rsidR="00AA14C6">
        <w:rPr>
          <w:rFonts w:ascii="Book Antiqua" w:hAnsi="Book Antiqua" w:cs="Arial"/>
        </w:rPr>
        <w:t>Appellant</w:t>
      </w:r>
      <w:r>
        <w:rPr>
          <w:rFonts w:ascii="Book Antiqua" w:hAnsi="Book Antiqua" w:cs="Arial"/>
        </w:rPr>
        <w:t>s risk in the home area and the position in Kabul and any return to either his home area or Kabul or any other place of relocation in the light of his disability.</w:t>
      </w:r>
    </w:p>
    <w:p w:rsidR="00807771" w:rsidRDefault="00807771" w:rsidP="008E5E36">
      <w:pPr>
        <w:numPr>
          <w:ilvl w:val="0"/>
          <w:numId w:val="3"/>
        </w:numPr>
        <w:spacing w:before="240"/>
        <w:jc w:val="both"/>
        <w:rPr>
          <w:rFonts w:ascii="Book Antiqua" w:hAnsi="Book Antiqua" w:cs="Arial"/>
        </w:rPr>
      </w:pPr>
      <w:r>
        <w:rPr>
          <w:rFonts w:ascii="Book Antiqua" w:hAnsi="Book Antiqua" w:cs="Arial"/>
        </w:rPr>
        <w:t>The judge did make a reference to the expert report at paragraph 37 stating that he did not find it credible that the Taliban would not be able to discover his whereabouts, the only other reference was in passing at [38].</w:t>
      </w:r>
    </w:p>
    <w:p w:rsidR="00807771" w:rsidRDefault="00807771" w:rsidP="008E5E36">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Diwnycz</w:t>
      </w:r>
      <w:proofErr w:type="spellEnd"/>
      <w:r>
        <w:rPr>
          <w:rFonts w:ascii="Book Antiqua" w:hAnsi="Book Antiqua" w:cs="Arial"/>
        </w:rPr>
        <w:t xml:space="preserve"> on behalf of the </w:t>
      </w:r>
      <w:r w:rsidR="00AA14C6">
        <w:rPr>
          <w:rFonts w:ascii="Book Antiqua" w:hAnsi="Book Antiqua" w:cs="Arial"/>
        </w:rPr>
        <w:t>Respondent</w:t>
      </w:r>
      <w:r>
        <w:rPr>
          <w:rFonts w:ascii="Book Antiqua" w:hAnsi="Book Antiqua" w:cs="Arial"/>
        </w:rPr>
        <w:t xml:space="preserve"> </w:t>
      </w:r>
      <w:r w:rsidR="008D395C">
        <w:rPr>
          <w:rFonts w:ascii="Book Antiqua" w:hAnsi="Book Antiqua" w:cs="Arial"/>
        </w:rPr>
        <w:t xml:space="preserve">submitted that the judge could have gone into greater detail when reaching findings of fact.  He also fairly </w:t>
      </w:r>
      <w:r>
        <w:rPr>
          <w:rFonts w:ascii="Book Antiqua" w:hAnsi="Book Antiqua" w:cs="Arial"/>
        </w:rPr>
        <w:t>conceded that it was difficult to see what in the exper</w:t>
      </w:r>
      <w:r w:rsidR="00A73194">
        <w:rPr>
          <w:rFonts w:ascii="Book Antiqua" w:hAnsi="Book Antiqua" w:cs="Arial"/>
        </w:rPr>
        <w:t>t report he took into account and</w:t>
      </w:r>
      <w:r>
        <w:rPr>
          <w:rFonts w:ascii="Book Antiqua" w:hAnsi="Book Antiqua" w:cs="Arial"/>
        </w:rPr>
        <w:t xml:space="preserve"> if he rejected the report why he rejected it.</w:t>
      </w:r>
    </w:p>
    <w:p w:rsidR="00807771" w:rsidRDefault="00807771" w:rsidP="008E5E36">
      <w:pPr>
        <w:numPr>
          <w:ilvl w:val="0"/>
          <w:numId w:val="3"/>
        </w:numPr>
        <w:spacing w:before="240"/>
        <w:jc w:val="both"/>
        <w:rPr>
          <w:rFonts w:ascii="Book Antiqua" w:hAnsi="Book Antiqua" w:cs="Arial"/>
        </w:rPr>
      </w:pPr>
      <w:r>
        <w:rPr>
          <w:rFonts w:ascii="Book Antiqua" w:hAnsi="Book Antiqua" w:cs="Arial"/>
        </w:rPr>
        <w:t xml:space="preserve">There is also a factual error made as identified in the grounds and relied upon by Mr Hussain. The </w:t>
      </w:r>
      <w:r w:rsidR="00AA14C6">
        <w:rPr>
          <w:rFonts w:ascii="Book Antiqua" w:hAnsi="Book Antiqua" w:cs="Arial"/>
        </w:rPr>
        <w:t>Appellant’s</w:t>
      </w:r>
      <w:r>
        <w:rPr>
          <w:rFonts w:ascii="Book Antiqua" w:hAnsi="Book Antiqua" w:cs="Arial"/>
        </w:rPr>
        <w:t xml:space="preserve"> case was that he left his home area and went to Kabul where he remained in hiding until the Taleban had ascertained his whereabouts. It was not the </w:t>
      </w:r>
      <w:r w:rsidR="00AA14C6">
        <w:rPr>
          <w:rFonts w:ascii="Book Antiqua" w:hAnsi="Book Antiqua" w:cs="Arial"/>
        </w:rPr>
        <w:t>Appellant’s</w:t>
      </w:r>
      <w:r>
        <w:rPr>
          <w:rFonts w:ascii="Book Antiqua" w:hAnsi="Book Antiqua" w:cs="Arial"/>
        </w:rPr>
        <w:t xml:space="preserve"> case that he was in hiding at his uncle’s home (see asylum interview: Q72 and 86). The </w:t>
      </w:r>
      <w:r w:rsidR="00AA14C6">
        <w:rPr>
          <w:rFonts w:ascii="Book Antiqua" w:hAnsi="Book Antiqua" w:cs="Arial"/>
        </w:rPr>
        <w:t>Appellant</w:t>
      </w:r>
      <w:r>
        <w:rPr>
          <w:rFonts w:ascii="Book Antiqua" w:hAnsi="Book Antiqua" w:cs="Arial"/>
        </w:rPr>
        <w:t xml:space="preserve"> stated that his uncle had travelled to Kabul (see asylum interview: Q115) but it was not his case that he had lived with him. In the adverse credibility findings, the judge appears to proceed on the basis of the </w:t>
      </w:r>
      <w:r w:rsidR="00AA14C6">
        <w:rPr>
          <w:rFonts w:ascii="Book Antiqua" w:hAnsi="Book Antiqua" w:cs="Arial"/>
        </w:rPr>
        <w:t>Appellant</w:t>
      </w:r>
      <w:r>
        <w:rPr>
          <w:rFonts w:ascii="Book Antiqua" w:hAnsi="Book Antiqua" w:cs="Arial"/>
        </w:rPr>
        <w:t xml:space="preserve"> living with his uncle and therefore his account of living in Kabul without being identified was not credible (see paragraphs 15 and 38).</w:t>
      </w:r>
    </w:p>
    <w:p w:rsidR="003A3F0B" w:rsidRPr="003A3F0B" w:rsidRDefault="00807771" w:rsidP="000F47EF">
      <w:pPr>
        <w:numPr>
          <w:ilvl w:val="0"/>
          <w:numId w:val="3"/>
        </w:numPr>
        <w:spacing w:before="240"/>
        <w:jc w:val="both"/>
        <w:rPr>
          <w:rFonts w:ascii="Book Antiqua" w:hAnsi="Book Antiqua" w:cs="Arial"/>
          <w:i/>
        </w:rPr>
      </w:pPr>
      <w:r>
        <w:rPr>
          <w:rFonts w:ascii="Book Antiqua" w:hAnsi="Book Antiqua" w:cs="Arial"/>
        </w:rPr>
        <w:t xml:space="preserve">I also accept the submission made by Mr Hussain that the judge did not engage with the </w:t>
      </w:r>
      <w:r w:rsidR="00AA14C6">
        <w:rPr>
          <w:rFonts w:ascii="Book Antiqua" w:hAnsi="Book Antiqua" w:cs="Arial"/>
        </w:rPr>
        <w:t>Appellant’s</w:t>
      </w:r>
      <w:r>
        <w:rPr>
          <w:rFonts w:ascii="Book Antiqua" w:hAnsi="Book Antiqua" w:cs="Arial"/>
        </w:rPr>
        <w:t xml:space="preserve"> evidence as to why he had left Kabul which was because the Taliban had discovered his whereabouts.</w:t>
      </w:r>
    </w:p>
    <w:p w:rsidR="000F47EF" w:rsidRPr="000F47EF" w:rsidRDefault="000F47EF" w:rsidP="000F47EF">
      <w:pPr>
        <w:numPr>
          <w:ilvl w:val="0"/>
          <w:numId w:val="3"/>
        </w:numPr>
        <w:spacing w:before="240"/>
        <w:jc w:val="both"/>
        <w:rPr>
          <w:rFonts w:ascii="Book Antiqua" w:hAnsi="Book Antiqua" w:cs="Arial"/>
          <w:i/>
        </w:rPr>
      </w:pPr>
      <w:r>
        <w:rPr>
          <w:rFonts w:ascii="Book Antiqua" w:hAnsi="Book Antiqua" w:cs="Arial"/>
        </w:rPr>
        <w:t xml:space="preserve"> There is no</w:t>
      </w:r>
      <w:r w:rsidR="00807771">
        <w:rPr>
          <w:rFonts w:ascii="Book Antiqua" w:hAnsi="Book Antiqua" w:cs="Arial"/>
        </w:rPr>
        <w:t xml:space="preserve"> dispute concerning the </w:t>
      </w:r>
      <w:r w:rsidR="00AA14C6">
        <w:rPr>
          <w:rFonts w:ascii="Book Antiqua" w:hAnsi="Book Antiqua" w:cs="Arial"/>
        </w:rPr>
        <w:t>Appellant’s</w:t>
      </w:r>
      <w:r w:rsidR="00807771">
        <w:rPr>
          <w:rFonts w:ascii="Book Antiqua" w:hAnsi="Book Antiqua" w:cs="Arial"/>
        </w:rPr>
        <w:t xml:space="preserve"> disability</w:t>
      </w:r>
      <w:r>
        <w:rPr>
          <w:rFonts w:ascii="Book Antiqua" w:hAnsi="Book Antiqua" w:cs="Arial"/>
        </w:rPr>
        <w:t>;</w:t>
      </w:r>
      <w:r w:rsidR="00807771">
        <w:rPr>
          <w:rFonts w:ascii="Book Antiqua" w:hAnsi="Book Antiqua" w:cs="Arial"/>
        </w:rPr>
        <w:t xml:space="preserve"> the judge summarised the medical evidence at paragraphs 41 – 45</w:t>
      </w:r>
      <w:r w:rsidR="00CE5ED3">
        <w:rPr>
          <w:rFonts w:ascii="Book Antiqua" w:hAnsi="Book Antiqua" w:cs="Arial"/>
        </w:rPr>
        <w:t xml:space="preserve">. </w:t>
      </w:r>
      <w:proofErr w:type="gramStart"/>
      <w:r w:rsidR="00CE5ED3">
        <w:rPr>
          <w:rFonts w:ascii="Book Antiqua" w:hAnsi="Book Antiqua" w:cs="Arial"/>
        </w:rPr>
        <w:t>However</w:t>
      </w:r>
      <w:proofErr w:type="gramEnd"/>
      <w:r w:rsidR="00CE5ED3">
        <w:rPr>
          <w:rFonts w:ascii="Book Antiqua" w:hAnsi="Book Antiqua" w:cs="Arial"/>
        </w:rPr>
        <w:t xml:space="preserve"> what is material to the outcome is that the judge</w:t>
      </w:r>
      <w:r w:rsidR="00807771" w:rsidRPr="000F47EF">
        <w:rPr>
          <w:rFonts w:ascii="Book Antiqua" w:hAnsi="Book Antiqua" w:cs="Arial"/>
        </w:rPr>
        <w:t xml:space="preserve"> did not consider the contents of the expert report when considering the reasonableness or otherwise of any internal relocation alternative and made no findings of fact in relation to who he had lived with in Kabul, whether they remained there and circumstances upon return. </w:t>
      </w:r>
    </w:p>
    <w:p w:rsidR="00807771" w:rsidRPr="000F47EF" w:rsidRDefault="00807771" w:rsidP="000F47EF">
      <w:pPr>
        <w:numPr>
          <w:ilvl w:val="0"/>
          <w:numId w:val="3"/>
        </w:numPr>
        <w:spacing w:before="240"/>
        <w:jc w:val="both"/>
        <w:rPr>
          <w:rFonts w:ascii="Book Antiqua" w:hAnsi="Book Antiqua" w:cs="Arial"/>
          <w:i/>
        </w:rPr>
      </w:pPr>
      <w:r>
        <w:rPr>
          <w:rFonts w:ascii="Book Antiqua" w:hAnsi="Book Antiqua" w:cs="Arial"/>
        </w:rPr>
        <w:t xml:space="preserve">In the light of the submissions from both advocates I am satisfied that the omissions that are set out above are material as they undermine the adverse credibility findings. Those findings should be set aside and therefore it will be necessary </w:t>
      </w:r>
      <w:r w:rsidR="000F47EF">
        <w:rPr>
          <w:rFonts w:ascii="Book Antiqua" w:hAnsi="Book Antiqua" w:cs="Arial"/>
        </w:rPr>
        <w:t xml:space="preserve">for the </w:t>
      </w:r>
      <w:r w:rsidR="00AA14C6">
        <w:rPr>
          <w:rFonts w:ascii="Book Antiqua" w:hAnsi="Book Antiqua" w:cs="Arial"/>
        </w:rPr>
        <w:t>Tribunal</w:t>
      </w:r>
      <w:r>
        <w:rPr>
          <w:rFonts w:ascii="Book Antiqua" w:hAnsi="Book Antiqua" w:cs="Arial"/>
        </w:rPr>
        <w:t xml:space="preserve"> to make fresh factual findings taking into account all of the evidence, including the expert report and making a risk assessment based on the findings of fact</w:t>
      </w:r>
      <w:r w:rsidR="000F47EF">
        <w:rPr>
          <w:rFonts w:ascii="Book Antiqua" w:hAnsi="Book Antiqua" w:cs="Arial"/>
        </w:rPr>
        <w:t xml:space="preserve"> and to consider the conditions on return to Afghanistan and Kabul in the light of the particular circumstances of the </w:t>
      </w:r>
      <w:r w:rsidR="00AA14C6">
        <w:rPr>
          <w:rFonts w:ascii="Book Antiqua" w:hAnsi="Book Antiqua" w:cs="Arial"/>
        </w:rPr>
        <w:t>Appellant</w:t>
      </w:r>
      <w:r w:rsidR="000F47EF">
        <w:rPr>
          <w:rFonts w:ascii="Book Antiqua" w:hAnsi="Book Antiqua" w:cs="Arial"/>
        </w:rPr>
        <w:t xml:space="preserve"> and applying the CG</w:t>
      </w:r>
      <w:r w:rsidR="000F47EF" w:rsidRPr="000F47EF">
        <w:rPr>
          <w:rFonts w:ascii="Book Antiqua" w:hAnsi="Book Antiqua" w:cs="Arial"/>
        </w:rPr>
        <w:t xml:space="preserve"> case </w:t>
      </w:r>
      <w:r w:rsidR="000F47EF" w:rsidRPr="000F47EF">
        <w:rPr>
          <w:rFonts w:ascii="Book Antiqua" w:hAnsi="Book Antiqua" w:cs="Arial"/>
          <w:i/>
        </w:rPr>
        <w:t>AS (Safety in Kabul)</w:t>
      </w:r>
      <w:r w:rsidR="000F47EF" w:rsidRPr="000F47EF">
        <w:rPr>
          <w:rFonts w:ascii="Book Antiqua" w:hAnsi="Book Antiqua" w:cs="Arial"/>
        </w:rPr>
        <w:t xml:space="preserve"> </w:t>
      </w:r>
      <w:r w:rsidR="000F47EF" w:rsidRPr="000F47EF">
        <w:rPr>
          <w:rFonts w:ascii="Book Antiqua" w:hAnsi="Book Antiqua" w:cs="Arial"/>
          <w:i/>
        </w:rPr>
        <w:t>[2018] UKUT118.</w:t>
      </w:r>
    </w:p>
    <w:p w:rsidR="005B0975" w:rsidRPr="009836DB" w:rsidRDefault="009D2517" w:rsidP="009836DB">
      <w:pPr>
        <w:numPr>
          <w:ilvl w:val="0"/>
          <w:numId w:val="3"/>
        </w:numPr>
        <w:spacing w:before="240"/>
        <w:jc w:val="both"/>
        <w:rPr>
          <w:rFonts w:ascii="Book Antiqua" w:hAnsi="Book Antiqua" w:cs="Arial"/>
        </w:rPr>
      </w:pPr>
      <w:r>
        <w:rPr>
          <w:rFonts w:ascii="Book Antiqua" w:hAnsi="Book Antiqua" w:cs="Arial"/>
        </w:rPr>
        <w:t>I am satisfied that</w:t>
      </w:r>
      <w:r w:rsidR="00A327C7">
        <w:rPr>
          <w:rFonts w:ascii="Book Antiqua" w:hAnsi="Book Antiqua" w:cs="Arial"/>
        </w:rPr>
        <w:t xml:space="preserve"> the concession was correctly made</w:t>
      </w:r>
      <w:r w:rsidR="000F4508" w:rsidRPr="009D2517">
        <w:rPr>
          <w:rFonts w:ascii="Book Antiqua" w:hAnsi="Book Antiqua" w:cs="Arial"/>
        </w:rPr>
        <w:t xml:space="preserve"> </w:t>
      </w:r>
      <w:r w:rsidR="008D395C">
        <w:rPr>
          <w:rFonts w:ascii="Book Antiqua" w:hAnsi="Book Antiqua" w:cs="Arial"/>
        </w:rPr>
        <w:t xml:space="preserve">concerning the expert evidence </w:t>
      </w:r>
      <w:r w:rsidR="000F4508" w:rsidRPr="009D2517">
        <w:rPr>
          <w:rFonts w:ascii="Book Antiqua" w:hAnsi="Book Antiqua" w:cs="Arial"/>
        </w:rPr>
        <w:t xml:space="preserve">and that </w:t>
      </w:r>
      <w:r w:rsidR="00070D72">
        <w:rPr>
          <w:rFonts w:ascii="Book Antiqua" w:hAnsi="Book Antiqua" w:cs="Arial"/>
        </w:rPr>
        <w:t>the FTT’s</w:t>
      </w:r>
      <w:r w:rsidR="00C44EFB" w:rsidRPr="009D2517">
        <w:rPr>
          <w:rFonts w:ascii="Book Antiqua" w:hAnsi="Book Antiqua" w:cs="Arial"/>
        </w:rPr>
        <w:t xml:space="preserve"> decision is vitiated by an error of </w:t>
      </w:r>
      <w:r w:rsidR="008D395C">
        <w:rPr>
          <w:rFonts w:ascii="Book Antiqua" w:hAnsi="Book Antiqua" w:cs="Arial"/>
        </w:rPr>
        <w:t>law and therefore the</w:t>
      </w:r>
      <w:r w:rsidR="000F4508" w:rsidRPr="009D2517">
        <w:rPr>
          <w:rFonts w:ascii="Book Antiqua" w:hAnsi="Book Antiqua" w:cs="Arial"/>
        </w:rPr>
        <w:t xml:space="preserve"> decision shall be set aside.</w:t>
      </w:r>
      <w:r w:rsidR="007325D8">
        <w:rPr>
          <w:rFonts w:ascii="Book Antiqua" w:hAnsi="Book Antiqua" w:cs="Arial"/>
        </w:rPr>
        <w:t xml:space="preserve"> As to the remaking of the decision, both advocates were in agr</w:t>
      </w:r>
      <w:r w:rsidR="00A327C7">
        <w:rPr>
          <w:rFonts w:ascii="Book Antiqua" w:hAnsi="Book Antiqua" w:cs="Arial"/>
        </w:rPr>
        <w:t>eement that</w:t>
      </w:r>
      <w:r w:rsidR="007325D8">
        <w:rPr>
          <w:rFonts w:ascii="Book Antiqua" w:hAnsi="Book Antiqua" w:cs="Arial"/>
        </w:rPr>
        <w:t xml:space="preserve"> the matter should be remitted to the </w:t>
      </w:r>
      <w:r w:rsidR="00B93FCC">
        <w:rPr>
          <w:rFonts w:ascii="Book Antiqua" w:hAnsi="Book Antiqua" w:cs="Arial"/>
        </w:rPr>
        <w:t>F</w:t>
      </w:r>
      <w:r w:rsidR="007325D8">
        <w:rPr>
          <w:rFonts w:ascii="Book Antiqua" w:hAnsi="Book Antiqua" w:cs="Arial"/>
        </w:rPr>
        <w:t xml:space="preserve">irst-tier </w:t>
      </w:r>
      <w:r w:rsidR="00AA14C6">
        <w:rPr>
          <w:rFonts w:ascii="Book Antiqua" w:hAnsi="Book Antiqua" w:cs="Arial"/>
        </w:rPr>
        <w:t>Tribunal</w:t>
      </w:r>
      <w:r w:rsidR="00A327C7">
        <w:rPr>
          <w:rFonts w:ascii="Book Antiqua" w:hAnsi="Book Antiqua" w:cs="Arial"/>
        </w:rPr>
        <w:t xml:space="preserve"> to be rehear</w:t>
      </w:r>
      <w:r w:rsidR="00807771">
        <w:rPr>
          <w:rFonts w:ascii="Book Antiqua" w:hAnsi="Book Antiqua" w:cs="Arial"/>
        </w:rPr>
        <w:t>d.</w:t>
      </w:r>
      <w:r w:rsidR="005B0975" w:rsidRPr="005B0975">
        <w:rPr>
          <w:rFonts w:ascii="Book Antiqua" w:hAnsi="Book Antiqua"/>
        </w:rPr>
        <w:t xml:space="preserve"> </w:t>
      </w:r>
      <w:r w:rsidR="009836DB" w:rsidRPr="007E5A5C">
        <w:rPr>
          <w:rFonts w:ascii="Book Antiqua" w:hAnsi="Book Antiqua"/>
        </w:rPr>
        <w:t xml:space="preserve"> </w:t>
      </w:r>
      <w:r w:rsidR="009836DB" w:rsidRPr="007E5A5C">
        <w:rPr>
          <w:rFonts w:ascii="Book Antiqua" w:hAnsi="Book Antiqua"/>
        </w:rPr>
        <w:lastRenderedPageBreak/>
        <w:t xml:space="preserve">I have given careful consideration to the Joint Practice Statement of the First-tier </w:t>
      </w:r>
      <w:r w:rsidR="00AA14C6">
        <w:rPr>
          <w:rFonts w:ascii="Book Antiqua" w:hAnsi="Book Antiqua"/>
        </w:rPr>
        <w:t>Tribunal</w:t>
      </w:r>
      <w:r w:rsidR="009836DB" w:rsidRPr="007E5A5C">
        <w:rPr>
          <w:rFonts w:ascii="Book Antiqua" w:hAnsi="Book Antiqua"/>
        </w:rPr>
        <w:t xml:space="preserve"> and Upper </w:t>
      </w:r>
      <w:r w:rsidR="00AA14C6">
        <w:rPr>
          <w:rFonts w:ascii="Book Antiqua" w:hAnsi="Book Antiqua"/>
        </w:rPr>
        <w:t>Tribunal</w:t>
      </w:r>
      <w:r w:rsidR="009836DB" w:rsidRPr="007E5A5C">
        <w:rPr>
          <w:rFonts w:ascii="Book Antiqua" w:hAnsi="Book Antiqua"/>
        </w:rPr>
        <w:t xml:space="preserve"> concerning the disposal of appeals in this </w:t>
      </w:r>
      <w:r w:rsidR="00AA14C6">
        <w:rPr>
          <w:rFonts w:ascii="Book Antiqua" w:hAnsi="Book Antiqua"/>
        </w:rPr>
        <w:t>Tribunal</w:t>
      </w:r>
      <w:r w:rsidR="009836DB" w:rsidRPr="007E5A5C">
        <w:rPr>
          <w:rFonts w:ascii="Book Antiqua" w:hAnsi="Book Antiqua"/>
        </w:rPr>
        <w:t>.</w:t>
      </w:r>
      <w:r w:rsidR="009836DB">
        <w:rPr>
          <w:rFonts w:ascii="Book Antiqua" w:hAnsi="Book Antiqua" w:cs="Arial"/>
        </w:rPr>
        <w:t xml:space="preserve"> </w:t>
      </w:r>
      <w:r w:rsidR="005B0975" w:rsidRPr="009836DB">
        <w:rPr>
          <w:rFonts w:ascii="Book Antiqua" w:hAnsi="Book Antiqua"/>
        </w:rPr>
        <w:t xml:space="preserve">Accordingly, and in the interests of a fair and just disposal of the </w:t>
      </w:r>
      <w:r w:rsidR="00AA14C6">
        <w:rPr>
          <w:rFonts w:ascii="Book Antiqua" w:hAnsi="Book Antiqua"/>
        </w:rPr>
        <w:t>Appellant’s</w:t>
      </w:r>
      <w:r w:rsidR="005B0975" w:rsidRPr="009836DB">
        <w:rPr>
          <w:rFonts w:ascii="Book Antiqua" w:hAnsi="Book Antiqua"/>
        </w:rPr>
        <w:t xml:space="preserve"> claim, I am satisfied that it is appropriate to remit the appeal to the First-tier </w:t>
      </w:r>
      <w:r w:rsidR="00AA14C6">
        <w:rPr>
          <w:rFonts w:ascii="Book Antiqua" w:hAnsi="Book Antiqua"/>
        </w:rPr>
        <w:t>Tribunal</w:t>
      </w:r>
      <w:r w:rsidR="005B0975" w:rsidRPr="009836DB">
        <w:rPr>
          <w:rFonts w:ascii="Book Antiqua" w:hAnsi="Book Antiqua"/>
        </w:rPr>
        <w:t xml:space="preserve"> for re-hearing. </w:t>
      </w:r>
    </w:p>
    <w:p w:rsidR="009C74C5" w:rsidRPr="009C74C5" w:rsidRDefault="009C74C5" w:rsidP="00A327C7">
      <w:pPr>
        <w:spacing w:before="240"/>
        <w:jc w:val="both"/>
        <w:rPr>
          <w:rFonts w:ascii="Book Antiqua" w:hAnsi="Book Antiqua" w:cs="Arial"/>
          <w:b/>
          <w:u w:val="single"/>
        </w:rPr>
      </w:pPr>
      <w:r w:rsidRPr="009C74C5">
        <w:rPr>
          <w:rFonts w:ascii="Book Antiqua" w:hAnsi="Book Antiqua" w:cs="Arial"/>
          <w:b/>
          <w:u w:val="single"/>
        </w:rPr>
        <w:t>Decision:</w:t>
      </w:r>
    </w:p>
    <w:p w:rsidR="009C74C5" w:rsidRDefault="009C74C5" w:rsidP="009C74C5">
      <w:pPr>
        <w:spacing w:before="240"/>
        <w:ind w:left="567"/>
        <w:jc w:val="both"/>
        <w:rPr>
          <w:rFonts w:ascii="Book Antiqua" w:hAnsi="Book Antiqua" w:cs="Arial"/>
        </w:rPr>
      </w:pPr>
      <w:r>
        <w:rPr>
          <w:rFonts w:ascii="Book Antiqua" w:hAnsi="Book Antiqua" w:cs="Arial"/>
        </w:rPr>
        <w:t xml:space="preserve">The decision of the First-tier </w:t>
      </w:r>
      <w:r w:rsidR="00AA14C6">
        <w:rPr>
          <w:rFonts w:ascii="Book Antiqua" w:hAnsi="Book Antiqua" w:cs="Arial"/>
        </w:rPr>
        <w:t>Tribunal</w:t>
      </w:r>
      <w:r>
        <w:rPr>
          <w:rFonts w:ascii="Book Antiqua" w:hAnsi="Book Antiqua" w:cs="Arial"/>
        </w:rPr>
        <w:t xml:space="preserve"> </w:t>
      </w:r>
      <w:r w:rsidR="000F4508">
        <w:rPr>
          <w:rFonts w:ascii="Book Antiqua" w:hAnsi="Book Antiqua" w:cs="Arial"/>
        </w:rPr>
        <w:t>did</w:t>
      </w:r>
      <w:r w:rsidR="004C0B69">
        <w:rPr>
          <w:rFonts w:ascii="Book Antiqua" w:hAnsi="Book Antiqua" w:cs="Arial"/>
        </w:rPr>
        <w:t xml:space="preserve"> involve</w:t>
      </w:r>
      <w:r>
        <w:rPr>
          <w:rFonts w:ascii="Book Antiqua" w:hAnsi="Book Antiqua" w:cs="Arial"/>
        </w:rPr>
        <w:t xml:space="preserve"> the making of an error on </w:t>
      </w:r>
      <w:r w:rsidR="004C4587">
        <w:rPr>
          <w:rFonts w:ascii="Book Antiqua" w:hAnsi="Book Antiqua" w:cs="Arial"/>
        </w:rPr>
        <w:t xml:space="preserve">a point of </w:t>
      </w:r>
      <w:r w:rsidR="000F4508">
        <w:rPr>
          <w:rFonts w:ascii="Book Antiqua" w:hAnsi="Book Antiqua" w:cs="Arial"/>
        </w:rPr>
        <w:t xml:space="preserve">law and the appeal is remitted to the First-tier </w:t>
      </w:r>
      <w:r w:rsidR="00AA14C6">
        <w:rPr>
          <w:rFonts w:ascii="Book Antiqua" w:hAnsi="Book Antiqua" w:cs="Arial"/>
        </w:rPr>
        <w:t>Tribunal</w:t>
      </w:r>
      <w:r w:rsidR="004C0B69">
        <w:rPr>
          <w:rFonts w:ascii="Book Antiqua" w:hAnsi="Book Antiqua" w:cs="Arial"/>
        </w:rPr>
        <w:t>.</w:t>
      </w:r>
    </w:p>
    <w:p w:rsidR="00C77259" w:rsidRPr="00C77259" w:rsidRDefault="00C77259" w:rsidP="00C77259">
      <w:pPr>
        <w:jc w:val="both"/>
        <w:rPr>
          <w:rFonts w:ascii="Book Antiqua" w:hAnsi="Book Antiqua" w:cs="Arial"/>
        </w:rPr>
      </w:pPr>
    </w:p>
    <w:p w:rsidR="00F7453B" w:rsidRDefault="00F7453B" w:rsidP="00C77259">
      <w:pPr>
        <w:jc w:val="both"/>
        <w:rPr>
          <w:rFonts w:ascii="Book Antiqua" w:hAnsi="Book Antiqua" w:cs="Arial"/>
          <w:b/>
        </w:rPr>
      </w:pPr>
    </w:p>
    <w:p w:rsidR="00C77259" w:rsidRPr="00C77259" w:rsidRDefault="00C77259" w:rsidP="00C77259">
      <w:pPr>
        <w:jc w:val="both"/>
        <w:rPr>
          <w:rFonts w:ascii="Book Antiqua" w:hAnsi="Book Antiqua" w:cs="Arial"/>
        </w:rPr>
      </w:pPr>
      <w:r w:rsidRPr="00C77259">
        <w:rPr>
          <w:rFonts w:ascii="Book Antiqua" w:hAnsi="Book Antiqua" w:cs="Arial"/>
          <w:b/>
        </w:rPr>
        <w:t xml:space="preserve">Direction Regarding Anonymity – Rule 14 of the </w:t>
      </w:r>
      <w:r w:rsidR="00AA14C6">
        <w:rPr>
          <w:rFonts w:ascii="Book Antiqua" w:hAnsi="Book Antiqua" w:cs="Arial"/>
          <w:b/>
        </w:rPr>
        <w:t>Tribunal</w:t>
      </w:r>
      <w:r w:rsidRPr="00C77259">
        <w:rPr>
          <w:rFonts w:ascii="Book Antiqua" w:hAnsi="Book Antiqua" w:cs="Arial"/>
          <w:b/>
        </w:rPr>
        <w:t xml:space="preserve"> Procedure (Upper </w:t>
      </w:r>
      <w:r w:rsidR="00AA14C6">
        <w:rPr>
          <w:rFonts w:ascii="Book Antiqua" w:hAnsi="Book Antiqua" w:cs="Arial"/>
          <w:b/>
        </w:rPr>
        <w:t>Tribunal</w:t>
      </w:r>
      <w:r w:rsidRPr="00C77259">
        <w:rPr>
          <w:rFonts w:ascii="Book Antiqua" w:hAnsi="Book Antiqua" w:cs="Arial"/>
          <w:b/>
        </w:rPr>
        <w:t>) Rules 2008</w:t>
      </w:r>
    </w:p>
    <w:p w:rsidR="00C77259" w:rsidRPr="00C77259" w:rsidRDefault="00C77259" w:rsidP="00C77259">
      <w:pPr>
        <w:jc w:val="both"/>
        <w:rPr>
          <w:rFonts w:ascii="Book Antiqua" w:hAnsi="Book Antiqua" w:cs="Arial"/>
        </w:rPr>
      </w:pPr>
    </w:p>
    <w:p w:rsidR="00C77259" w:rsidRPr="00687601" w:rsidRDefault="00C77259" w:rsidP="00C77259">
      <w:pPr>
        <w:jc w:val="both"/>
        <w:rPr>
          <w:rFonts w:ascii="Book Antiqua" w:hAnsi="Book Antiqua" w:cs="Arial"/>
        </w:rPr>
      </w:pPr>
      <w:r w:rsidRPr="00C77259">
        <w:rPr>
          <w:rFonts w:ascii="Book Antiqua" w:hAnsi="Book Antiqua" w:cs="Arial"/>
        </w:rPr>
        <w:t xml:space="preserve">Unless and </w:t>
      </w:r>
      <w:r w:rsidRPr="00C77259">
        <w:rPr>
          <w:rFonts w:ascii="Book Antiqua" w:hAnsi="Book Antiqua"/>
        </w:rPr>
        <w:t xml:space="preserve">until a </w:t>
      </w:r>
      <w:r w:rsidR="00AA14C6">
        <w:rPr>
          <w:rFonts w:ascii="Book Antiqua" w:hAnsi="Book Antiqua"/>
        </w:rPr>
        <w:t>Tribunal</w:t>
      </w:r>
      <w:r w:rsidRPr="00C77259">
        <w:rPr>
          <w:rFonts w:ascii="Book Antiqua" w:hAnsi="Book Antiqua"/>
        </w:rPr>
        <w:t xml:space="preserve"> or court directs otherwise, the </w:t>
      </w:r>
      <w:r w:rsidR="00AA14C6">
        <w:rPr>
          <w:rFonts w:ascii="Book Antiqua" w:hAnsi="Book Antiqua"/>
        </w:rPr>
        <w:t>Appellant</w:t>
      </w:r>
      <w:r w:rsidRPr="00C77259">
        <w:rPr>
          <w:rFonts w:ascii="Book Antiqua" w:hAnsi="Book Antiqua"/>
        </w:rPr>
        <w:t xml:space="preserve"> is granted anonymity.  No report of these proceedings shall directly or indire</w:t>
      </w:r>
      <w:r w:rsidR="005B3FF6">
        <w:rPr>
          <w:rFonts w:ascii="Book Antiqua" w:hAnsi="Book Antiqua"/>
        </w:rPr>
        <w:t>ctly identify him.</w:t>
      </w:r>
      <w:r w:rsidRPr="00C77259">
        <w:rPr>
          <w:rFonts w:ascii="Book Antiqua" w:hAnsi="Book Antiqua"/>
        </w:rPr>
        <w:t xml:space="preserve">  This direction applies both to the </w:t>
      </w:r>
      <w:r w:rsidR="00AA14C6">
        <w:rPr>
          <w:rFonts w:ascii="Book Antiqua" w:hAnsi="Book Antiqua"/>
        </w:rPr>
        <w:t>Appellant</w:t>
      </w:r>
      <w:r w:rsidRPr="00C77259">
        <w:rPr>
          <w:rFonts w:ascii="Book Antiqua" w:hAnsi="Book Antiqua"/>
        </w:rPr>
        <w:t xml:space="preserve"> and to the </w:t>
      </w:r>
      <w:r w:rsidR="00AA14C6">
        <w:rPr>
          <w:rFonts w:ascii="Book Antiqua" w:hAnsi="Book Antiqua"/>
        </w:rPr>
        <w:t>Respondent</w:t>
      </w:r>
      <w:r w:rsidRPr="00C77259">
        <w:rPr>
          <w:rFonts w:ascii="Book Antiqua" w:hAnsi="Book Antiqua"/>
        </w:rPr>
        <w:t>.  Failure to comply with this direction could lead to contempt of court proceedings.</w:t>
      </w:r>
    </w:p>
    <w:p w:rsidR="00C77259" w:rsidRPr="00F5664C" w:rsidRDefault="00C77259" w:rsidP="00C77259">
      <w:pPr>
        <w:tabs>
          <w:tab w:val="left" w:pos="2520"/>
        </w:tabs>
        <w:jc w:val="both"/>
        <w:rPr>
          <w:rFonts w:ascii="Book Antiqua" w:hAnsi="Book Antiqua" w:cs="Arial"/>
        </w:rPr>
      </w:pPr>
    </w:p>
    <w:p w:rsidR="00E76309" w:rsidRPr="00F5664C" w:rsidRDefault="00E76309" w:rsidP="000369F5">
      <w:pPr>
        <w:tabs>
          <w:tab w:val="left" w:pos="2520"/>
        </w:tabs>
        <w:jc w:val="both"/>
        <w:rPr>
          <w:rFonts w:ascii="Book Antiqua" w:hAnsi="Book Antiqua" w:cs="Arial"/>
        </w:rPr>
      </w:pPr>
    </w:p>
    <w:p w:rsidR="00842418" w:rsidRPr="00F5664C" w:rsidRDefault="00842418"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927F03" w:rsidRDefault="006E3C90" w:rsidP="000369F5">
      <w:pPr>
        <w:tabs>
          <w:tab w:val="left" w:pos="2520"/>
        </w:tabs>
        <w:jc w:val="both"/>
        <w:rPr>
          <w:rFonts w:ascii="Book Antiqua" w:hAnsi="Book Antiqua" w:cs="Arial"/>
        </w:rPr>
      </w:pPr>
      <w:r w:rsidRPr="00F5664C">
        <w:rPr>
          <w:rFonts w:ascii="Book Antiqua" w:hAnsi="Book Antiqua" w:cs="Arial"/>
        </w:rPr>
        <w:t>Signed</w:t>
      </w:r>
      <w:r w:rsidR="00927F03">
        <w:rPr>
          <w:rFonts w:ascii="Book Antiqua" w:hAnsi="Book Antiqua" w:cs="Arial"/>
        </w:rPr>
        <w:t xml:space="preserve"> </w:t>
      </w:r>
      <w:r w:rsidR="00850C2F">
        <w:rPr>
          <w:rFonts w:ascii="Book Antiqua" w:hAnsi="Book Antiqua"/>
          <w:b/>
        </w:rPr>
        <w:pict>
          <v:shape id="_x0000_i1026" type="#_x0000_t75" style="width:102pt;height:33.75pt">
            <v:imagedata r:id="rId8" o:title=""/>
          </v:shape>
        </w:pict>
      </w: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C753EE">
        <w:rPr>
          <w:rFonts w:ascii="Book Antiqua" w:hAnsi="Book Antiqua" w:cs="Arial"/>
        </w:rPr>
        <w:t xml:space="preserve">: </w:t>
      </w:r>
      <w:r w:rsidR="000F47EF">
        <w:rPr>
          <w:rFonts w:ascii="Book Antiqua" w:hAnsi="Book Antiqua" w:cs="Arial"/>
        </w:rPr>
        <w:t>18</w:t>
      </w:r>
      <w:r w:rsidR="000F47EF" w:rsidRPr="000F47EF">
        <w:rPr>
          <w:rFonts w:ascii="Book Antiqua" w:hAnsi="Book Antiqua" w:cs="Arial"/>
          <w:vertAlign w:val="superscript"/>
        </w:rPr>
        <w:t>th</w:t>
      </w:r>
      <w:r w:rsidR="000F47EF">
        <w:rPr>
          <w:rFonts w:ascii="Book Antiqua" w:hAnsi="Book Antiqua" w:cs="Arial"/>
        </w:rPr>
        <w:t xml:space="preserve"> </w:t>
      </w:r>
      <w:r w:rsidR="006C08C2">
        <w:rPr>
          <w:rFonts w:ascii="Book Antiqua" w:hAnsi="Book Antiqua" w:cs="Arial"/>
        </w:rPr>
        <w:t>June</w:t>
      </w:r>
      <w:r w:rsidR="00B2567A">
        <w:rPr>
          <w:rFonts w:ascii="Book Antiqua" w:hAnsi="Book Antiqua" w:cs="Arial"/>
        </w:rPr>
        <w:t xml:space="preserve"> 2018</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Upper </w:t>
      </w:r>
      <w:r w:rsidR="00AA14C6">
        <w:rPr>
          <w:rFonts w:ascii="Book Antiqua" w:hAnsi="Book Antiqua" w:cs="Arial"/>
        </w:rPr>
        <w:t>Tribunal</w:t>
      </w:r>
      <w:r>
        <w:rPr>
          <w:rFonts w:ascii="Book Antiqua" w:hAnsi="Book Antiqua" w:cs="Arial"/>
        </w:rPr>
        <w:t xml:space="preserve"> Judge </w:t>
      </w:r>
      <w:r w:rsidR="000E4845">
        <w:rPr>
          <w:rFonts w:ascii="Book Antiqua" w:hAnsi="Book Antiqua" w:cs="Arial"/>
        </w:rPr>
        <w:t>Reeds</w:t>
      </w:r>
    </w:p>
    <w:p w:rsidR="00963953" w:rsidRDefault="00963953" w:rsidP="000369F5">
      <w:pPr>
        <w:tabs>
          <w:tab w:val="left" w:pos="2520"/>
        </w:tabs>
        <w:jc w:val="both"/>
        <w:rPr>
          <w:rFonts w:ascii="Book Antiqua" w:hAnsi="Book Antiqua" w:cs="Arial"/>
        </w:rPr>
      </w:pPr>
    </w:p>
    <w:p w:rsidR="00963953" w:rsidRPr="00963953" w:rsidRDefault="00963953" w:rsidP="00963953">
      <w:pPr>
        <w:rPr>
          <w:rFonts w:ascii="Book Antiqua" w:hAnsi="Book Antiqua" w:cs="Arial"/>
        </w:rPr>
      </w:pPr>
    </w:p>
    <w:p w:rsidR="00963953" w:rsidRPr="00963953" w:rsidRDefault="00963953" w:rsidP="00963953">
      <w:pPr>
        <w:rPr>
          <w:rFonts w:ascii="Book Antiqua" w:hAnsi="Book Antiqua" w:cs="Arial"/>
        </w:rPr>
      </w:pPr>
    </w:p>
    <w:p w:rsidR="00963953" w:rsidRPr="00963953" w:rsidRDefault="00963953" w:rsidP="00963953">
      <w:pPr>
        <w:rPr>
          <w:rFonts w:ascii="Book Antiqua" w:hAnsi="Book Antiqua" w:cs="Arial"/>
        </w:rPr>
      </w:pPr>
    </w:p>
    <w:p w:rsidR="005B7789" w:rsidRPr="00F5664C" w:rsidRDefault="005B7789" w:rsidP="005B7789">
      <w:pPr>
        <w:rPr>
          <w:rFonts w:ascii="Book Antiqua" w:hAnsi="Book Antiqua" w:cs="Arial"/>
        </w:rPr>
      </w:pPr>
    </w:p>
    <w:sectPr w:rsidR="005B7789" w:rsidRPr="00F5664C"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022" w:rsidRDefault="00FA5022">
      <w:r>
        <w:separator/>
      </w:r>
    </w:p>
  </w:endnote>
  <w:endnote w:type="continuationSeparator" w:id="0">
    <w:p w:rsidR="00FA5022" w:rsidRDefault="00FA5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F5664C" w:rsidRDefault="00CE3996"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8966BA">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F5664C" w:rsidRDefault="00CE3996" w:rsidP="00842418">
    <w:pPr>
      <w:jc w:val="center"/>
      <w:rPr>
        <w:rFonts w:ascii="Book Antiqua" w:hAnsi="Book Antiqua" w:cs="Arial"/>
        <w:b/>
      </w:rPr>
    </w:pPr>
    <w:r w:rsidRPr="00F5664C">
      <w:rPr>
        <w:rFonts w:ascii="Book Antiqua" w:hAnsi="Book Antiqua" w:cs="Arial"/>
        <w:b/>
        <w:spacing w:val="-6"/>
      </w:rPr>
      <w:t>©</w:t>
    </w:r>
    <w:r w:rsidR="000D436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022" w:rsidRDefault="00FA5022">
      <w:r>
        <w:separator/>
      </w:r>
    </w:p>
  </w:footnote>
  <w:footnote w:type="continuationSeparator" w:id="0">
    <w:p w:rsidR="00FA5022" w:rsidRDefault="00FA5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7D0CFC" w:rsidRDefault="00CE3996" w:rsidP="000369F5">
    <w:pPr>
      <w:pStyle w:val="Header"/>
      <w:tabs>
        <w:tab w:val="clear" w:pos="4153"/>
        <w:tab w:val="clear" w:pos="8306"/>
        <w:tab w:val="right" w:pos="9639"/>
      </w:tabs>
      <w:jc w:val="right"/>
      <w:rPr>
        <w:rFonts w:ascii="Book Antiqua" w:hAnsi="Book Antiqua" w:cs="Arial"/>
        <w:sz w:val="16"/>
        <w:szCs w:val="16"/>
      </w:rPr>
    </w:pPr>
    <w:r w:rsidRPr="007D0CFC">
      <w:rPr>
        <w:rFonts w:ascii="Book Antiqua" w:hAnsi="Book Antiqua" w:cs="Arial"/>
        <w:sz w:val="16"/>
        <w:szCs w:val="16"/>
      </w:rPr>
      <w:t xml:space="preserve">Appeal Number: </w:t>
    </w:r>
    <w:r w:rsidR="008E5E36">
      <w:rPr>
        <w:rFonts w:ascii="Book Antiqua" w:hAnsi="Book Antiqua" w:cs="Arial"/>
        <w:caps/>
        <w:sz w:val="16"/>
        <w:szCs w:val="16"/>
      </w:rPr>
      <w:t>PA/08518</w:t>
    </w:r>
    <w:r w:rsidRPr="007D0CFC">
      <w:rPr>
        <w:rFonts w:ascii="Book Antiqua" w:hAnsi="Book Antiqua" w:cs="Arial"/>
        <w:caps/>
        <w:sz w:val="16"/>
        <w:szCs w:val="16"/>
      </w:rPr>
      <w:t>/201</w:t>
    </w:r>
    <w:r w:rsidR="00F70579">
      <w:rPr>
        <w:rFonts w:ascii="Book Antiqua" w:hAnsi="Book Antiqua" w:cs="Arial"/>
        <w:caps/>
        <w:sz w:val="16"/>
        <w:szCs w:val="16"/>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3A6EC9"/>
    <w:multiLevelType w:val="hybridMultilevel"/>
    <w:tmpl w:val="25E41A2A"/>
    <w:lvl w:ilvl="0" w:tplc="FDE00E68">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C9E6F36"/>
    <w:multiLevelType w:val="multilevel"/>
    <w:tmpl w:val="A51EF1E6"/>
    <w:lvl w:ilvl="0">
      <w:start w:val="1"/>
      <w:numFmt w:val="decimal"/>
      <w:lvlText w:val="%1."/>
      <w:lvlJc w:val="left"/>
      <w:pPr>
        <w:tabs>
          <w:tab w:val="num" w:pos="567"/>
        </w:tabs>
        <w:ind w:left="567" w:hanging="567"/>
      </w:pPr>
      <w:rPr>
        <w:rFonts w:hint="default"/>
        <w:color w:val="00000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Roman"/>
      <w:lvlText w:val="(%8)"/>
      <w:lvlJc w:val="left"/>
      <w:pPr>
        <w:tabs>
          <w:tab w:val="num" w:pos="2880"/>
        </w:tabs>
        <w:ind w:left="2880" w:hanging="360"/>
      </w:pPr>
      <w:rPr>
        <w:rFonts w:ascii="Arial" w:hAnsi="Arial"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noPunctuationKerning/>
  <w:characterSpacingControl w:val="doNotCompress"/>
  <w:hdrShapeDefaults>
    <o:shapedefaults v:ext="edit" spidmax="512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FDA5DC8C-2F75-4A2A-9DE9-A286C83E995D}"/>
    <w:docVar w:name="dgnword-eventsink" w:val="517171872"/>
  </w:docVars>
  <w:rsids>
    <w:rsidRoot w:val="004F053E"/>
    <w:rsid w:val="00000621"/>
    <w:rsid w:val="00001F88"/>
    <w:rsid w:val="000036C2"/>
    <w:rsid w:val="00023D8C"/>
    <w:rsid w:val="00033D3D"/>
    <w:rsid w:val="00034EDB"/>
    <w:rsid w:val="000369F5"/>
    <w:rsid w:val="00043FB5"/>
    <w:rsid w:val="00067C88"/>
    <w:rsid w:val="00070D72"/>
    <w:rsid w:val="00071A7E"/>
    <w:rsid w:val="000746C0"/>
    <w:rsid w:val="00074D1D"/>
    <w:rsid w:val="00074D77"/>
    <w:rsid w:val="00074FB7"/>
    <w:rsid w:val="00092580"/>
    <w:rsid w:val="000B22F7"/>
    <w:rsid w:val="000B25A9"/>
    <w:rsid w:val="000B783D"/>
    <w:rsid w:val="000C4E01"/>
    <w:rsid w:val="000D01C9"/>
    <w:rsid w:val="000D436D"/>
    <w:rsid w:val="000D5D94"/>
    <w:rsid w:val="000E0CD7"/>
    <w:rsid w:val="000E4845"/>
    <w:rsid w:val="000E7B48"/>
    <w:rsid w:val="000F4508"/>
    <w:rsid w:val="000F47EF"/>
    <w:rsid w:val="001039DF"/>
    <w:rsid w:val="0010561B"/>
    <w:rsid w:val="00114F8B"/>
    <w:rsid w:val="001165A7"/>
    <w:rsid w:val="001233BA"/>
    <w:rsid w:val="00125219"/>
    <w:rsid w:val="001263E0"/>
    <w:rsid w:val="0014004A"/>
    <w:rsid w:val="00151BB7"/>
    <w:rsid w:val="00152B0E"/>
    <w:rsid w:val="00167D3A"/>
    <w:rsid w:val="001A1E2C"/>
    <w:rsid w:val="001D1159"/>
    <w:rsid w:val="001D1B48"/>
    <w:rsid w:val="001E381B"/>
    <w:rsid w:val="001E47A5"/>
    <w:rsid w:val="001F0CD1"/>
    <w:rsid w:val="001F1F0A"/>
    <w:rsid w:val="001F2716"/>
    <w:rsid w:val="0020133A"/>
    <w:rsid w:val="00207617"/>
    <w:rsid w:val="00215630"/>
    <w:rsid w:val="00255071"/>
    <w:rsid w:val="00283659"/>
    <w:rsid w:val="00291ECF"/>
    <w:rsid w:val="002A1714"/>
    <w:rsid w:val="002A3A92"/>
    <w:rsid w:val="002B1371"/>
    <w:rsid w:val="002C4E73"/>
    <w:rsid w:val="002D68BF"/>
    <w:rsid w:val="00300599"/>
    <w:rsid w:val="003011E1"/>
    <w:rsid w:val="00336CBF"/>
    <w:rsid w:val="003505B1"/>
    <w:rsid w:val="003546C8"/>
    <w:rsid w:val="003A3F0B"/>
    <w:rsid w:val="003A7CF2"/>
    <w:rsid w:val="003C5CE5"/>
    <w:rsid w:val="003D2CAA"/>
    <w:rsid w:val="003E267B"/>
    <w:rsid w:val="003E7CD1"/>
    <w:rsid w:val="00402B9E"/>
    <w:rsid w:val="004064D0"/>
    <w:rsid w:val="00423932"/>
    <w:rsid w:val="004249CB"/>
    <w:rsid w:val="00437B5C"/>
    <w:rsid w:val="0044127D"/>
    <w:rsid w:val="004448DB"/>
    <w:rsid w:val="00444CAD"/>
    <w:rsid w:val="00446C9A"/>
    <w:rsid w:val="00464ACF"/>
    <w:rsid w:val="0046742D"/>
    <w:rsid w:val="00477193"/>
    <w:rsid w:val="0049657B"/>
    <w:rsid w:val="004A1848"/>
    <w:rsid w:val="004B25A1"/>
    <w:rsid w:val="004C0B69"/>
    <w:rsid w:val="004C4587"/>
    <w:rsid w:val="004D2791"/>
    <w:rsid w:val="004E50B1"/>
    <w:rsid w:val="004F053E"/>
    <w:rsid w:val="004F6A57"/>
    <w:rsid w:val="00500C3F"/>
    <w:rsid w:val="00502B88"/>
    <w:rsid w:val="00504D0D"/>
    <w:rsid w:val="00507FEC"/>
    <w:rsid w:val="00510F0E"/>
    <w:rsid w:val="00535953"/>
    <w:rsid w:val="005479E1"/>
    <w:rsid w:val="005549E3"/>
    <w:rsid w:val="005570FD"/>
    <w:rsid w:val="005575EA"/>
    <w:rsid w:val="00570332"/>
    <w:rsid w:val="0057790C"/>
    <w:rsid w:val="00580F82"/>
    <w:rsid w:val="00585E0A"/>
    <w:rsid w:val="00593795"/>
    <w:rsid w:val="005A4D0E"/>
    <w:rsid w:val="005A75FF"/>
    <w:rsid w:val="005B0975"/>
    <w:rsid w:val="005B3FF6"/>
    <w:rsid w:val="005B7789"/>
    <w:rsid w:val="005C4825"/>
    <w:rsid w:val="005F330E"/>
    <w:rsid w:val="00601282"/>
    <w:rsid w:val="00610D5E"/>
    <w:rsid w:val="00631736"/>
    <w:rsid w:val="00646601"/>
    <w:rsid w:val="006547D6"/>
    <w:rsid w:val="0065791C"/>
    <w:rsid w:val="00677A0E"/>
    <w:rsid w:val="006814B8"/>
    <w:rsid w:val="00681775"/>
    <w:rsid w:val="00683D5E"/>
    <w:rsid w:val="00687DCB"/>
    <w:rsid w:val="00690B8A"/>
    <w:rsid w:val="006A4F69"/>
    <w:rsid w:val="006C08C2"/>
    <w:rsid w:val="006D1DFA"/>
    <w:rsid w:val="006D506B"/>
    <w:rsid w:val="006E3C90"/>
    <w:rsid w:val="00704B61"/>
    <w:rsid w:val="00707DB1"/>
    <w:rsid w:val="00713291"/>
    <w:rsid w:val="00723DEB"/>
    <w:rsid w:val="007325D8"/>
    <w:rsid w:val="007353BB"/>
    <w:rsid w:val="0073609A"/>
    <w:rsid w:val="00742A8D"/>
    <w:rsid w:val="00751BDD"/>
    <w:rsid w:val="007552A9"/>
    <w:rsid w:val="00761858"/>
    <w:rsid w:val="00767D59"/>
    <w:rsid w:val="00776E97"/>
    <w:rsid w:val="00780FD7"/>
    <w:rsid w:val="007912AD"/>
    <w:rsid w:val="007A1F28"/>
    <w:rsid w:val="007B0824"/>
    <w:rsid w:val="007C28B0"/>
    <w:rsid w:val="007C5368"/>
    <w:rsid w:val="007D0CFC"/>
    <w:rsid w:val="007D7562"/>
    <w:rsid w:val="00807771"/>
    <w:rsid w:val="0081086E"/>
    <w:rsid w:val="00814196"/>
    <w:rsid w:val="008303B8"/>
    <w:rsid w:val="00833DCE"/>
    <w:rsid w:val="00842418"/>
    <w:rsid w:val="00846666"/>
    <w:rsid w:val="00850C2F"/>
    <w:rsid w:val="00852B6C"/>
    <w:rsid w:val="00856FA9"/>
    <w:rsid w:val="00862257"/>
    <w:rsid w:val="008634DB"/>
    <w:rsid w:val="00863935"/>
    <w:rsid w:val="00871D34"/>
    <w:rsid w:val="00877DDB"/>
    <w:rsid w:val="008921D0"/>
    <w:rsid w:val="008966BA"/>
    <w:rsid w:val="008B270C"/>
    <w:rsid w:val="008C3D3D"/>
    <w:rsid w:val="008C63D4"/>
    <w:rsid w:val="008D395C"/>
    <w:rsid w:val="008D4131"/>
    <w:rsid w:val="008D7C3E"/>
    <w:rsid w:val="008E5E36"/>
    <w:rsid w:val="008F1932"/>
    <w:rsid w:val="008F294D"/>
    <w:rsid w:val="0091337D"/>
    <w:rsid w:val="00916FA7"/>
    <w:rsid w:val="00921062"/>
    <w:rsid w:val="0092618D"/>
    <w:rsid w:val="00927F03"/>
    <w:rsid w:val="0093083E"/>
    <w:rsid w:val="009510DF"/>
    <w:rsid w:val="00961DC8"/>
    <w:rsid w:val="00963953"/>
    <w:rsid w:val="00966ECF"/>
    <w:rsid w:val="009727A3"/>
    <w:rsid w:val="00974003"/>
    <w:rsid w:val="009836DB"/>
    <w:rsid w:val="00987774"/>
    <w:rsid w:val="00991DBA"/>
    <w:rsid w:val="009A11E8"/>
    <w:rsid w:val="009B6C45"/>
    <w:rsid w:val="009C142A"/>
    <w:rsid w:val="009C1643"/>
    <w:rsid w:val="009C74C5"/>
    <w:rsid w:val="009D2517"/>
    <w:rsid w:val="009E4E62"/>
    <w:rsid w:val="009F5220"/>
    <w:rsid w:val="009F7C4D"/>
    <w:rsid w:val="00A02D08"/>
    <w:rsid w:val="00A15234"/>
    <w:rsid w:val="00A201AB"/>
    <w:rsid w:val="00A23058"/>
    <w:rsid w:val="00A31C8B"/>
    <w:rsid w:val="00A327C7"/>
    <w:rsid w:val="00A572AF"/>
    <w:rsid w:val="00A57E6A"/>
    <w:rsid w:val="00A73194"/>
    <w:rsid w:val="00A75400"/>
    <w:rsid w:val="00A75965"/>
    <w:rsid w:val="00A75B81"/>
    <w:rsid w:val="00A845DC"/>
    <w:rsid w:val="00A97AEE"/>
    <w:rsid w:val="00AA14C6"/>
    <w:rsid w:val="00AC235A"/>
    <w:rsid w:val="00AC5CF6"/>
    <w:rsid w:val="00B0096D"/>
    <w:rsid w:val="00B101A4"/>
    <w:rsid w:val="00B144FA"/>
    <w:rsid w:val="00B15B86"/>
    <w:rsid w:val="00B16F58"/>
    <w:rsid w:val="00B2567A"/>
    <w:rsid w:val="00B26BAE"/>
    <w:rsid w:val="00B30648"/>
    <w:rsid w:val="00B3524D"/>
    <w:rsid w:val="00B36A26"/>
    <w:rsid w:val="00B40F69"/>
    <w:rsid w:val="00B46616"/>
    <w:rsid w:val="00B5034A"/>
    <w:rsid w:val="00B57048"/>
    <w:rsid w:val="00B610E3"/>
    <w:rsid w:val="00B61205"/>
    <w:rsid w:val="00B617C4"/>
    <w:rsid w:val="00B626FA"/>
    <w:rsid w:val="00B6330B"/>
    <w:rsid w:val="00B7040A"/>
    <w:rsid w:val="00B71277"/>
    <w:rsid w:val="00B768CA"/>
    <w:rsid w:val="00B93FCC"/>
    <w:rsid w:val="00B96FA0"/>
    <w:rsid w:val="00BA3B6A"/>
    <w:rsid w:val="00BD4196"/>
    <w:rsid w:val="00BE5270"/>
    <w:rsid w:val="00BE77AA"/>
    <w:rsid w:val="00BF22CA"/>
    <w:rsid w:val="00C06E2D"/>
    <w:rsid w:val="00C249BE"/>
    <w:rsid w:val="00C26032"/>
    <w:rsid w:val="00C265B0"/>
    <w:rsid w:val="00C312F9"/>
    <w:rsid w:val="00C321B5"/>
    <w:rsid w:val="00C345E1"/>
    <w:rsid w:val="00C423C9"/>
    <w:rsid w:val="00C44EFB"/>
    <w:rsid w:val="00C753EE"/>
    <w:rsid w:val="00C77259"/>
    <w:rsid w:val="00C81B5E"/>
    <w:rsid w:val="00C94CDD"/>
    <w:rsid w:val="00C977BA"/>
    <w:rsid w:val="00CB4A10"/>
    <w:rsid w:val="00CB6E35"/>
    <w:rsid w:val="00CB6E42"/>
    <w:rsid w:val="00CC3436"/>
    <w:rsid w:val="00CC58F2"/>
    <w:rsid w:val="00CC6E9E"/>
    <w:rsid w:val="00CE1A46"/>
    <w:rsid w:val="00CE26B2"/>
    <w:rsid w:val="00CE3996"/>
    <w:rsid w:val="00CE5122"/>
    <w:rsid w:val="00CE5ED3"/>
    <w:rsid w:val="00CF253F"/>
    <w:rsid w:val="00CF56B4"/>
    <w:rsid w:val="00D162DB"/>
    <w:rsid w:val="00D20F09"/>
    <w:rsid w:val="00D22636"/>
    <w:rsid w:val="00D40FD9"/>
    <w:rsid w:val="00D46358"/>
    <w:rsid w:val="00D5124A"/>
    <w:rsid w:val="00D53769"/>
    <w:rsid w:val="00D60827"/>
    <w:rsid w:val="00D65912"/>
    <w:rsid w:val="00D743AD"/>
    <w:rsid w:val="00D85705"/>
    <w:rsid w:val="00D85C13"/>
    <w:rsid w:val="00D91BE3"/>
    <w:rsid w:val="00D923E0"/>
    <w:rsid w:val="00D94AFC"/>
    <w:rsid w:val="00DA084F"/>
    <w:rsid w:val="00DB70AE"/>
    <w:rsid w:val="00DB7231"/>
    <w:rsid w:val="00DD446E"/>
    <w:rsid w:val="00DD5071"/>
    <w:rsid w:val="00DD5C39"/>
    <w:rsid w:val="00DD7755"/>
    <w:rsid w:val="00DE26AF"/>
    <w:rsid w:val="00DE4D7B"/>
    <w:rsid w:val="00DE7DB7"/>
    <w:rsid w:val="00E00A0A"/>
    <w:rsid w:val="00E07F57"/>
    <w:rsid w:val="00E1040E"/>
    <w:rsid w:val="00E1193E"/>
    <w:rsid w:val="00E222B6"/>
    <w:rsid w:val="00E23B71"/>
    <w:rsid w:val="00E50BCE"/>
    <w:rsid w:val="00E61292"/>
    <w:rsid w:val="00E76309"/>
    <w:rsid w:val="00E77C4D"/>
    <w:rsid w:val="00E81D01"/>
    <w:rsid w:val="00E93FDA"/>
    <w:rsid w:val="00EA4C45"/>
    <w:rsid w:val="00ED55F4"/>
    <w:rsid w:val="00EE45D8"/>
    <w:rsid w:val="00F004CD"/>
    <w:rsid w:val="00F02062"/>
    <w:rsid w:val="00F0479F"/>
    <w:rsid w:val="00F05008"/>
    <w:rsid w:val="00F22A22"/>
    <w:rsid w:val="00F22EDA"/>
    <w:rsid w:val="00F3224D"/>
    <w:rsid w:val="00F33E0E"/>
    <w:rsid w:val="00F33F24"/>
    <w:rsid w:val="00F5664C"/>
    <w:rsid w:val="00F574B1"/>
    <w:rsid w:val="00F70579"/>
    <w:rsid w:val="00F7453B"/>
    <w:rsid w:val="00F90EE7"/>
    <w:rsid w:val="00FA2A3A"/>
    <w:rsid w:val="00FA5022"/>
    <w:rsid w:val="00FB7E80"/>
    <w:rsid w:val="00FC55CF"/>
    <w:rsid w:val="00FE2B22"/>
    <w:rsid w:val="00FE30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styleId="CommentReference">
    <w:name w:val="annotation reference"/>
    <w:rsid w:val="001D1159"/>
    <w:rPr>
      <w:sz w:val="16"/>
      <w:szCs w:val="16"/>
    </w:rPr>
  </w:style>
  <w:style w:type="paragraph" w:styleId="CommentText">
    <w:name w:val="annotation text"/>
    <w:basedOn w:val="Normal"/>
    <w:link w:val="CommentTextChar"/>
    <w:rsid w:val="001D1159"/>
    <w:rPr>
      <w:sz w:val="20"/>
      <w:szCs w:val="20"/>
    </w:rPr>
  </w:style>
  <w:style w:type="character" w:customStyle="1" w:styleId="CommentTextChar">
    <w:name w:val="Comment Text Char"/>
    <w:basedOn w:val="DefaultParagraphFont"/>
    <w:link w:val="CommentText"/>
    <w:rsid w:val="001D1159"/>
  </w:style>
  <w:style w:type="paragraph" w:styleId="CommentSubject">
    <w:name w:val="annotation subject"/>
    <w:basedOn w:val="CommentText"/>
    <w:next w:val="CommentText"/>
    <w:link w:val="CommentSubjectChar"/>
    <w:rsid w:val="001D1159"/>
    <w:rPr>
      <w:b/>
      <w:bCs/>
    </w:rPr>
  </w:style>
  <w:style w:type="character" w:customStyle="1" w:styleId="CommentSubjectChar">
    <w:name w:val="Comment Subject Char"/>
    <w:link w:val="CommentSubject"/>
    <w:rsid w:val="001D11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2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1602</Words>
  <Characters>9137</Characters>
  <Application>Microsoft Office Word</Application>
  <DocSecurity>0</DocSecurity>
  <Lines>76</Lines>
  <Paragraphs>21</Paragraphs>
  <ScaleCrop>false</ScaleCrop>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2018-07-16T12:08:00Z</dcterms:created>
  <dcterms:modified xsi:type="dcterms:W3CDTF">2018-07-16T12:08:00Z</dcterms:modified>
</cp:coreProperties>
</file>