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5E58" w:rsidRDefault="009F5E58" w:rsidP="00C321B5">
      <w:pPr>
        <w:jc w:val="center"/>
      </w:pPr>
    </w:p>
    <w:p w:rsidR="00C321B5" w:rsidRPr="00F5664C" w:rsidRDefault="00A406BF" w:rsidP="00C321B5">
      <w:pPr>
        <w:jc w:val="center"/>
        <w:rPr>
          <w:rFonts w:ascii="Book Antiqua" w:hAnsi="Book Antiqua" w:cs="Arial"/>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D94AFC" w:rsidRPr="00F5664C" w:rsidRDefault="00D94AFC">
      <w:pPr>
        <w:rPr>
          <w:rFonts w:ascii="Book Antiqua" w:hAnsi="Book Antiqua" w:cs="Arial"/>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EE5A52" w:rsidRPr="00F5664C" w:rsidRDefault="00C321B5" w:rsidP="00EE5A52">
      <w:pPr>
        <w:tabs>
          <w:tab w:val="right" w:pos="9639"/>
        </w:tabs>
        <w:rPr>
          <w:rFonts w:ascii="Book Antiqua" w:hAnsi="Book Antiqua" w:cs="Arial"/>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426549">
        <w:rPr>
          <w:rFonts w:ascii="Book Antiqua" w:hAnsi="Book Antiqua" w:cs="Arial"/>
          <w:b/>
        </w:rPr>
        <w:t xml:space="preserve">   </w:t>
      </w:r>
      <w:proofErr w:type="gramEnd"/>
      <w:r w:rsidR="00426549">
        <w:rPr>
          <w:rFonts w:ascii="Book Antiqua" w:hAnsi="Book Antiqua" w:cs="Arial"/>
          <w:b/>
        </w:rPr>
        <w:t xml:space="preserve">                  </w:t>
      </w:r>
      <w:r w:rsidR="00B3524D" w:rsidRPr="00426549">
        <w:rPr>
          <w:rFonts w:ascii="Book Antiqua" w:hAnsi="Book Antiqua" w:cs="Arial"/>
          <w:b/>
        </w:rPr>
        <w:t>Appeal Number</w:t>
      </w:r>
      <w:r w:rsidR="00D53769" w:rsidRPr="00426549">
        <w:rPr>
          <w:rFonts w:ascii="Book Antiqua" w:hAnsi="Book Antiqua" w:cs="Arial"/>
          <w:b/>
        </w:rPr>
        <w:t>:</w:t>
      </w:r>
      <w:r w:rsidR="00B3524D" w:rsidRPr="00426549">
        <w:rPr>
          <w:rFonts w:ascii="Book Antiqua" w:hAnsi="Book Antiqua" w:cs="Arial"/>
          <w:b/>
        </w:rPr>
        <w:t xml:space="preserve"> </w:t>
      </w:r>
      <w:r w:rsidR="006C1798" w:rsidRPr="00426549">
        <w:rPr>
          <w:rFonts w:ascii="Book Antiqua" w:hAnsi="Book Antiqua" w:cs="Arial"/>
          <w:b/>
        </w:rPr>
        <w:t xml:space="preserve">PA 085652019 </w:t>
      </w:r>
      <w:r w:rsidR="00080D83" w:rsidRPr="00426549">
        <w:rPr>
          <w:rFonts w:ascii="Book Antiqua" w:hAnsi="Book Antiqua" w:cs="Arial"/>
          <w:b/>
        </w:rPr>
        <w:t>(P)</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D22636" w:rsidRPr="00BE6801" w:rsidTr="00426549">
        <w:tc>
          <w:tcPr>
            <w:tcW w:w="5245" w:type="dxa"/>
            <w:shd w:val="clear" w:color="auto" w:fill="auto"/>
          </w:tcPr>
          <w:p w:rsidR="00D22636" w:rsidRPr="00BE6801" w:rsidRDefault="00B2528F" w:rsidP="00BE6801">
            <w:pPr>
              <w:jc w:val="both"/>
              <w:rPr>
                <w:rFonts w:ascii="Book Antiqua" w:hAnsi="Book Antiqua" w:cs="Arial"/>
                <w:b/>
              </w:rPr>
            </w:pPr>
            <w:r>
              <w:rPr>
                <w:rFonts w:ascii="Book Antiqua" w:hAnsi="Book Antiqua" w:cs="Arial"/>
                <w:b/>
              </w:rPr>
              <w:t>Decided under Rule 34</w:t>
            </w:r>
            <w:r w:rsidR="00BD7742" w:rsidRPr="00BE6801">
              <w:rPr>
                <w:rFonts w:ascii="Book Antiqua" w:hAnsi="Book Antiqua" w:cs="Arial"/>
                <w:b/>
              </w:rPr>
              <w:t xml:space="preserve"> </w:t>
            </w:r>
          </w:p>
        </w:tc>
        <w:tc>
          <w:tcPr>
            <w:tcW w:w="4763" w:type="dxa"/>
            <w:shd w:val="clear" w:color="auto" w:fill="auto"/>
          </w:tcPr>
          <w:p w:rsidR="00D22636" w:rsidRPr="00BE6801" w:rsidRDefault="008508AD" w:rsidP="00BE6801">
            <w:pPr>
              <w:jc w:val="both"/>
              <w:rPr>
                <w:rFonts w:ascii="Book Antiqua" w:hAnsi="Book Antiqua" w:cs="Arial"/>
                <w:b/>
              </w:rPr>
            </w:pPr>
            <w:r w:rsidRPr="00BE6801">
              <w:rPr>
                <w:rFonts w:ascii="Book Antiqua" w:hAnsi="Book Antiqua" w:cs="Arial"/>
                <w:b/>
              </w:rPr>
              <w:t>Decision &amp; Reasons</w:t>
            </w:r>
            <w:r w:rsidR="00283659" w:rsidRPr="00BE6801">
              <w:rPr>
                <w:rFonts w:ascii="Book Antiqua" w:hAnsi="Book Antiqua" w:cs="Arial"/>
                <w:b/>
              </w:rPr>
              <w:t xml:space="preserve"> Promulgated</w:t>
            </w:r>
          </w:p>
        </w:tc>
      </w:tr>
      <w:tr w:rsidR="00D22636" w:rsidRPr="00BE6801" w:rsidTr="00426549">
        <w:tc>
          <w:tcPr>
            <w:tcW w:w="5245" w:type="dxa"/>
            <w:shd w:val="clear" w:color="auto" w:fill="auto"/>
          </w:tcPr>
          <w:p w:rsidR="00D22636" w:rsidRPr="00BE6801" w:rsidRDefault="00D22636" w:rsidP="00BE6801">
            <w:pPr>
              <w:jc w:val="both"/>
              <w:rPr>
                <w:rFonts w:ascii="Book Antiqua" w:hAnsi="Book Antiqua" w:cs="Arial"/>
                <w:b/>
              </w:rPr>
            </w:pPr>
            <w:r w:rsidRPr="00BE6801">
              <w:rPr>
                <w:rFonts w:ascii="Book Antiqua" w:hAnsi="Book Antiqua" w:cs="Arial"/>
                <w:b/>
              </w:rPr>
              <w:t xml:space="preserve">On </w:t>
            </w:r>
            <w:r w:rsidR="003C117E">
              <w:rPr>
                <w:rFonts w:ascii="Book Antiqua" w:hAnsi="Book Antiqua" w:cs="Arial"/>
                <w:b/>
              </w:rPr>
              <w:t xml:space="preserve">7 July </w:t>
            </w:r>
            <w:r w:rsidR="005A4861">
              <w:rPr>
                <w:rFonts w:ascii="Book Antiqua" w:hAnsi="Book Antiqua" w:cs="Arial"/>
                <w:b/>
              </w:rPr>
              <w:t>20</w:t>
            </w:r>
            <w:r w:rsidR="009257F2">
              <w:rPr>
                <w:rFonts w:ascii="Book Antiqua" w:hAnsi="Book Antiqua" w:cs="Arial"/>
                <w:b/>
              </w:rPr>
              <w:t>20</w:t>
            </w:r>
          </w:p>
        </w:tc>
        <w:tc>
          <w:tcPr>
            <w:tcW w:w="4763" w:type="dxa"/>
            <w:shd w:val="clear" w:color="auto" w:fill="auto"/>
          </w:tcPr>
          <w:p w:rsidR="00D22636" w:rsidRPr="00BE6801" w:rsidRDefault="009F5E58" w:rsidP="00BE6801">
            <w:pPr>
              <w:jc w:val="both"/>
              <w:rPr>
                <w:rFonts w:ascii="Book Antiqua" w:hAnsi="Book Antiqua" w:cs="Arial"/>
                <w:b/>
              </w:rPr>
            </w:pPr>
            <w:r>
              <w:rPr>
                <w:rFonts w:ascii="Book Antiqua" w:hAnsi="Book Antiqua" w:cs="Arial"/>
                <w:b/>
              </w:rPr>
              <w:t>On 23 July 2020</w:t>
            </w:r>
          </w:p>
        </w:tc>
      </w:tr>
      <w:tr w:rsidR="00D22636" w:rsidRPr="00BE6801" w:rsidTr="00426549">
        <w:tc>
          <w:tcPr>
            <w:tcW w:w="5245" w:type="dxa"/>
            <w:shd w:val="clear" w:color="auto" w:fill="auto"/>
          </w:tcPr>
          <w:p w:rsidR="00D22636" w:rsidRPr="00BE6801" w:rsidRDefault="00D22636" w:rsidP="00BE6801">
            <w:pPr>
              <w:jc w:val="both"/>
              <w:rPr>
                <w:rFonts w:ascii="Book Antiqua" w:hAnsi="Book Antiqua" w:cs="Arial"/>
                <w:b/>
              </w:rPr>
            </w:pPr>
          </w:p>
        </w:tc>
        <w:tc>
          <w:tcPr>
            <w:tcW w:w="4763" w:type="dxa"/>
            <w:shd w:val="clear" w:color="auto" w:fill="auto"/>
          </w:tcPr>
          <w:p w:rsidR="00D22636" w:rsidRPr="00BE6801" w:rsidRDefault="00D22636" w:rsidP="00BE6801">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155BA9" w:rsidP="00A15234">
      <w:pPr>
        <w:jc w:val="center"/>
        <w:rPr>
          <w:rFonts w:ascii="Book Antiqua" w:hAnsi="Book Antiqua" w:cs="Arial"/>
          <w:b/>
        </w:rPr>
      </w:pPr>
      <w:r>
        <w:rPr>
          <w:rFonts w:ascii="Book Antiqua" w:hAnsi="Book Antiqua" w:cs="Arial"/>
          <w:b/>
        </w:rPr>
        <w:t>UPPER TRIBUNAL</w:t>
      </w:r>
      <w:r w:rsidR="00EE5A52">
        <w:rPr>
          <w:rFonts w:ascii="Book Antiqua" w:hAnsi="Book Antiqua" w:cs="Arial"/>
          <w:b/>
        </w:rPr>
        <w:t xml:space="preserve"> JUDGE</w:t>
      </w:r>
      <w:r w:rsidR="008639DC">
        <w:rPr>
          <w:rFonts w:ascii="Book Antiqua" w:hAnsi="Book Antiqua" w:cs="Arial"/>
          <w:b/>
        </w:rPr>
        <w:t xml:space="preserve"> LANE</w:t>
      </w:r>
    </w:p>
    <w:p w:rsidR="00144DA1" w:rsidRPr="00F5664C" w:rsidRDefault="00144DA1"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Default="00A845DC" w:rsidP="00A15234">
      <w:pPr>
        <w:jc w:val="center"/>
        <w:rPr>
          <w:rFonts w:ascii="Book Antiqua" w:hAnsi="Book Antiqua" w:cs="Arial"/>
          <w:b/>
        </w:rPr>
      </w:pPr>
    </w:p>
    <w:p w:rsidR="00144DA1" w:rsidRPr="00F5664C" w:rsidRDefault="00426549" w:rsidP="00144DA1">
      <w:pPr>
        <w:jc w:val="center"/>
        <w:rPr>
          <w:rFonts w:ascii="Book Antiqua" w:hAnsi="Book Antiqua" w:cs="Arial"/>
          <w:b/>
        </w:rPr>
      </w:pPr>
      <w:r>
        <w:rPr>
          <w:rFonts w:ascii="Book Antiqua" w:hAnsi="Book Antiqua" w:cs="Arial"/>
          <w:b/>
        </w:rPr>
        <w:t>THE SECRETARY OF STATE FOR THE HOME DEPARTMENT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84A95" w:rsidRDefault="00784A95" w:rsidP="00704B61">
      <w:pPr>
        <w:jc w:val="center"/>
        <w:rPr>
          <w:rFonts w:ascii="Book Antiqua" w:hAnsi="Book Antiqua" w:cs="Arial"/>
          <w:b/>
        </w:rPr>
      </w:pPr>
    </w:p>
    <w:p w:rsidR="00426549" w:rsidRDefault="00426549" w:rsidP="007716C3">
      <w:pPr>
        <w:jc w:val="center"/>
        <w:rPr>
          <w:rFonts w:ascii="Book Antiqua" w:hAnsi="Book Antiqua" w:cs="Arial"/>
          <w:b/>
        </w:rPr>
      </w:pPr>
    </w:p>
    <w:p w:rsidR="00784A95" w:rsidRPr="007716C3" w:rsidRDefault="00DD5071" w:rsidP="007716C3">
      <w:pPr>
        <w:jc w:val="center"/>
        <w:rPr>
          <w:rFonts w:ascii="Book Antiqua" w:hAnsi="Book Antiqua" w:cs="Arial"/>
          <w:b/>
        </w:rPr>
      </w:pPr>
      <w:r w:rsidRPr="00F5664C">
        <w:rPr>
          <w:rFonts w:ascii="Book Antiqua" w:hAnsi="Book Antiqua" w:cs="Arial"/>
          <w:b/>
        </w:rPr>
        <w:t>and</w:t>
      </w:r>
    </w:p>
    <w:p w:rsidR="00144DA1" w:rsidRDefault="00144DA1" w:rsidP="00144DA1">
      <w:pPr>
        <w:jc w:val="center"/>
        <w:rPr>
          <w:rFonts w:ascii="Book Antiqua" w:hAnsi="Book Antiqua" w:cs="Arial"/>
          <w:b/>
          <w:caps/>
        </w:rPr>
      </w:pPr>
    </w:p>
    <w:p w:rsidR="00DD5071" w:rsidRPr="00F5664C" w:rsidRDefault="00DD5071" w:rsidP="00704B61">
      <w:pPr>
        <w:jc w:val="center"/>
        <w:rPr>
          <w:rFonts w:ascii="Book Antiqua" w:hAnsi="Book Antiqua" w:cs="Arial"/>
          <w:b/>
        </w:rPr>
      </w:pPr>
    </w:p>
    <w:p w:rsidR="00426549" w:rsidRDefault="003C117E" w:rsidP="00426549">
      <w:pPr>
        <w:jc w:val="center"/>
        <w:rPr>
          <w:rFonts w:ascii="Book Antiqua" w:hAnsi="Book Antiqua" w:cs="Arial"/>
        </w:rPr>
      </w:pPr>
      <w:r w:rsidRPr="003C117E">
        <w:rPr>
          <w:rFonts w:ascii="Book Antiqua" w:hAnsi="Book Antiqua" w:cs="Arial"/>
          <w:b/>
          <w:bCs/>
        </w:rPr>
        <w:t>JS</w:t>
      </w:r>
    </w:p>
    <w:p w:rsidR="00426549" w:rsidRPr="00426549" w:rsidRDefault="00426549" w:rsidP="00426549">
      <w:pPr>
        <w:jc w:val="center"/>
        <w:rPr>
          <w:rFonts w:ascii="Book Antiqua" w:hAnsi="Book Antiqua" w:cs="Arial"/>
        </w:rPr>
      </w:pPr>
      <w:r w:rsidRPr="00426549">
        <w:rPr>
          <w:rFonts w:ascii="Book Antiqua" w:hAnsi="Book Antiqua" w:cs="Arial"/>
          <w:caps/>
        </w:rPr>
        <w:t>(ANONYMITY DIRECTION MADE)</w:t>
      </w:r>
    </w:p>
    <w:p w:rsidR="00DD5071" w:rsidRPr="00426549" w:rsidRDefault="003C117E" w:rsidP="00DD5071">
      <w:pPr>
        <w:jc w:val="right"/>
        <w:rPr>
          <w:rFonts w:ascii="Book Antiqua" w:hAnsi="Book Antiqua" w:cs="Arial"/>
          <w:u w:val="single"/>
        </w:rPr>
      </w:pPr>
      <w:r w:rsidRPr="003C117E">
        <w:rPr>
          <w:rFonts w:ascii="Book Antiqua" w:hAnsi="Book Antiqua" w:cs="Arial"/>
        </w:rPr>
        <w:t xml:space="preserve"> </w:t>
      </w:r>
      <w:r w:rsidR="00DD5071" w:rsidRPr="00426549">
        <w:rPr>
          <w:rFonts w:ascii="Book Antiqua" w:hAnsi="Book Antiqua" w:cs="Arial"/>
          <w:u w:val="single"/>
        </w:rPr>
        <w:t>Respondent</w:t>
      </w:r>
    </w:p>
    <w:p w:rsidR="00DD5071" w:rsidRPr="00F5664C" w:rsidRDefault="00DD5071" w:rsidP="00DD5071">
      <w:pPr>
        <w:rPr>
          <w:rFonts w:ascii="Book Antiqua" w:hAnsi="Book Antiqua" w:cs="Arial"/>
          <w:u w:val="single"/>
        </w:rPr>
      </w:pPr>
    </w:p>
    <w:p w:rsidR="00DE7DB7" w:rsidRPr="00F5664C" w:rsidRDefault="00DE7DB7" w:rsidP="00402B9E">
      <w:pPr>
        <w:tabs>
          <w:tab w:val="left" w:pos="2520"/>
        </w:tabs>
        <w:jc w:val="center"/>
        <w:rPr>
          <w:rFonts w:ascii="Book Antiqua" w:hAnsi="Book Antiqua" w:cs="Arial"/>
        </w:rPr>
      </w:pPr>
    </w:p>
    <w:p w:rsidR="001B72F4" w:rsidRPr="00D47E30" w:rsidRDefault="008508AD" w:rsidP="00784A95">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w:t>
      </w:r>
      <w:r w:rsidR="00784A95">
        <w:rPr>
          <w:rFonts w:ascii="Book Antiqua" w:hAnsi="Book Antiqua" w:cs="Arial"/>
          <w:b/>
          <w:u w:val="single"/>
        </w:rPr>
        <w:t>S</w:t>
      </w:r>
    </w:p>
    <w:p w:rsidR="006C1798" w:rsidRDefault="003C117E" w:rsidP="00064BDC">
      <w:pPr>
        <w:numPr>
          <w:ilvl w:val="0"/>
          <w:numId w:val="3"/>
        </w:numPr>
        <w:spacing w:before="240"/>
        <w:jc w:val="both"/>
        <w:rPr>
          <w:rFonts w:ascii="Book Antiqua" w:hAnsi="Book Antiqua" w:cs="Arial"/>
        </w:rPr>
      </w:pPr>
      <w:r>
        <w:rPr>
          <w:rFonts w:ascii="Book Antiqua" w:hAnsi="Book Antiqua" w:cs="Arial"/>
        </w:rPr>
        <w:t xml:space="preserve">I shall refer to the appellant has the respondent and the respondent </w:t>
      </w:r>
      <w:r w:rsidR="006C1798">
        <w:rPr>
          <w:rFonts w:ascii="Book Antiqua" w:hAnsi="Book Antiqua" w:cs="Arial"/>
        </w:rPr>
        <w:t>as</w:t>
      </w:r>
      <w:r>
        <w:rPr>
          <w:rFonts w:ascii="Book Antiqua" w:hAnsi="Book Antiqua" w:cs="Arial"/>
        </w:rPr>
        <w:t xml:space="preserve"> the appellant, as they respectively appeared before the First-tier Tribunal. The appellant was born in 1986 and is a male citizen of China. He entered the United Kingdom in 2008 and claimed asylu</w:t>
      </w:r>
      <w:r w:rsidR="006C1798">
        <w:rPr>
          <w:rFonts w:ascii="Book Antiqua" w:hAnsi="Book Antiqua" w:cs="Arial"/>
        </w:rPr>
        <w:t>m. F</w:t>
      </w:r>
      <w:r>
        <w:rPr>
          <w:rFonts w:ascii="Book Antiqua" w:hAnsi="Book Antiqua" w:cs="Arial"/>
        </w:rPr>
        <w:t xml:space="preserve">urther submissions made by the appellant in July 2016 </w:t>
      </w:r>
      <w:r w:rsidR="006C1798">
        <w:rPr>
          <w:rFonts w:ascii="Book Antiqua" w:hAnsi="Book Antiqua" w:cs="Arial"/>
        </w:rPr>
        <w:t xml:space="preserve">were </w:t>
      </w:r>
      <w:r>
        <w:rPr>
          <w:rFonts w:ascii="Book Antiqua" w:hAnsi="Book Antiqua" w:cs="Arial"/>
        </w:rPr>
        <w:t xml:space="preserve">reconsidered by the Secretary of State but </w:t>
      </w:r>
      <w:r w:rsidR="006C1798">
        <w:rPr>
          <w:rFonts w:ascii="Book Antiqua" w:hAnsi="Book Antiqua" w:cs="Arial"/>
        </w:rPr>
        <w:t xml:space="preserve">the appellant’s asylum/human rights claim was </w:t>
      </w:r>
      <w:r>
        <w:rPr>
          <w:rFonts w:ascii="Book Antiqua" w:hAnsi="Book Antiqua" w:cs="Arial"/>
        </w:rPr>
        <w:t>refused by her. The appellant appealed against that decision on asylum/human rights grounds to the First-tier Tribunal which, in a decision promulgated on 15 November 2019</w:t>
      </w:r>
      <w:r w:rsidR="006C1798">
        <w:rPr>
          <w:rFonts w:ascii="Book Antiqua" w:hAnsi="Book Antiqua" w:cs="Arial"/>
        </w:rPr>
        <w:t>,</w:t>
      </w:r>
      <w:r>
        <w:rPr>
          <w:rFonts w:ascii="Book Antiqua" w:hAnsi="Book Antiqua" w:cs="Arial"/>
        </w:rPr>
        <w:t xml:space="preserve"> allowed the appeal on human rights </w:t>
      </w:r>
      <w:r w:rsidR="00426549">
        <w:rPr>
          <w:rFonts w:ascii="Book Antiqua" w:hAnsi="Book Antiqua" w:cs="Arial"/>
        </w:rPr>
        <w:t xml:space="preserve">grounds </w:t>
      </w:r>
      <w:r w:rsidR="006C1798">
        <w:rPr>
          <w:rFonts w:ascii="Book Antiqua" w:hAnsi="Book Antiqua" w:cs="Arial"/>
        </w:rPr>
        <w:t xml:space="preserve">only </w:t>
      </w:r>
      <w:r>
        <w:rPr>
          <w:rFonts w:ascii="Book Antiqua" w:hAnsi="Book Antiqua" w:cs="Arial"/>
        </w:rPr>
        <w:t>(Article 8 ECHR</w:t>
      </w:r>
      <w:bookmarkStart w:id="0" w:name="_GoBack"/>
      <w:bookmarkEnd w:id="0"/>
      <w:r>
        <w:rPr>
          <w:rFonts w:ascii="Book Antiqua" w:hAnsi="Book Antiqua" w:cs="Arial"/>
        </w:rPr>
        <w:t xml:space="preserve">); the asylum appeal </w:t>
      </w:r>
      <w:r w:rsidR="006C1798">
        <w:rPr>
          <w:rFonts w:ascii="Book Antiqua" w:hAnsi="Book Antiqua" w:cs="Arial"/>
        </w:rPr>
        <w:t>was</w:t>
      </w:r>
      <w:r>
        <w:rPr>
          <w:rFonts w:ascii="Book Antiqua" w:hAnsi="Book Antiqua" w:cs="Arial"/>
        </w:rPr>
        <w:t xml:space="preserve"> dismissed</w:t>
      </w:r>
      <w:r w:rsidR="006C1798">
        <w:rPr>
          <w:rFonts w:ascii="Book Antiqua" w:hAnsi="Book Antiqua" w:cs="Arial"/>
        </w:rPr>
        <w:t>, a decision which is not subject to challenge in the Upper Tribunal</w:t>
      </w:r>
      <w:r>
        <w:rPr>
          <w:rFonts w:ascii="Book Antiqua" w:hAnsi="Book Antiqua" w:cs="Arial"/>
        </w:rPr>
        <w:t xml:space="preserve">. </w:t>
      </w:r>
    </w:p>
    <w:p w:rsidR="00D47E30" w:rsidRDefault="003C117E" w:rsidP="00064BDC">
      <w:pPr>
        <w:numPr>
          <w:ilvl w:val="0"/>
          <w:numId w:val="3"/>
        </w:numPr>
        <w:spacing w:before="240"/>
        <w:jc w:val="both"/>
        <w:rPr>
          <w:rFonts w:ascii="Book Antiqua" w:hAnsi="Book Antiqua" w:cs="Arial"/>
        </w:rPr>
      </w:pPr>
      <w:r>
        <w:rPr>
          <w:rFonts w:ascii="Book Antiqua" w:hAnsi="Book Antiqua" w:cs="Arial"/>
        </w:rPr>
        <w:lastRenderedPageBreak/>
        <w:t>The Secretary of State now appeals against the</w:t>
      </w:r>
      <w:r w:rsidR="00B56714">
        <w:rPr>
          <w:rFonts w:ascii="Book Antiqua" w:hAnsi="Book Antiqua" w:cs="Arial"/>
        </w:rPr>
        <w:t xml:space="preserve"> decision of the First-tier Tribunal. Permission was granted by Designated Judge Woodcraft on 30 December 2019 and </w:t>
      </w:r>
      <w:r w:rsidR="006C1798">
        <w:rPr>
          <w:rFonts w:ascii="Book Antiqua" w:hAnsi="Book Antiqua" w:cs="Arial"/>
        </w:rPr>
        <w:t xml:space="preserve">an </w:t>
      </w:r>
      <w:r w:rsidR="00B56714">
        <w:rPr>
          <w:rFonts w:ascii="Book Antiqua" w:hAnsi="Book Antiqua" w:cs="Arial"/>
        </w:rPr>
        <w:t>initial hearing listed in Edinburgh on 16 April 2020. The coronavirus emergency led to that hearing being vacated and, on 16 April 2020, Upper Tribunal Judge Sheridan gave further directions</w:t>
      </w:r>
      <w:r w:rsidR="006C1798">
        <w:rPr>
          <w:rFonts w:ascii="Book Antiqua" w:hAnsi="Book Antiqua" w:cs="Arial"/>
        </w:rPr>
        <w:t>,</w:t>
      </w:r>
      <w:r w:rsidR="00B56714">
        <w:rPr>
          <w:rFonts w:ascii="Book Antiqua" w:hAnsi="Book Antiqua" w:cs="Arial"/>
        </w:rPr>
        <w:t xml:space="preserve"> indicating that the Upper Tribunal was of the provisional view that that it may be appropriate for </w:t>
      </w:r>
      <w:r w:rsidR="006C1798">
        <w:rPr>
          <w:rFonts w:ascii="Book Antiqua" w:hAnsi="Book Antiqua" w:cs="Arial"/>
        </w:rPr>
        <w:t xml:space="preserve">the </w:t>
      </w:r>
      <w:r w:rsidR="00B56714">
        <w:rPr>
          <w:rFonts w:ascii="Book Antiqua" w:hAnsi="Book Antiqua" w:cs="Arial"/>
        </w:rPr>
        <w:t xml:space="preserve">determination of the initial stage of the appeal to take place without a hearing. Both parties have responded to Judge’s Sheridan’s directions by making written submissions. I have very carefully considered those submissions and </w:t>
      </w:r>
      <w:r w:rsidR="006C1798">
        <w:rPr>
          <w:rFonts w:ascii="Book Antiqua" w:hAnsi="Book Antiqua" w:cs="Arial"/>
        </w:rPr>
        <w:t xml:space="preserve">all the </w:t>
      </w:r>
      <w:r w:rsidR="00B56714">
        <w:rPr>
          <w:rFonts w:ascii="Book Antiqua" w:hAnsi="Book Antiqua" w:cs="Arial"/>
        </w:rPr>
        <w:t xml:space="preserve">papers </w:t>
      </w:r>
      <w:r w:rsidR="006C1798">
        <w:rPr>
          <w:rFonts w:ascii="Book Antiqua" w:hAnsi="Book Antiqua" w:cs="Arial"/>
        </w:rPr>
        <w:t xml:space="preserve">before </w:t>
      </w:r>
      <w:r w:rsidR="00B56714">
        <w:rPr>
          <w:rFonts w:ascii="Book Antiqua" w:hAnsi="Book Antiqua" w:cs="Arial"/>
        </w:rPr>
        <w:t xml:space="preserve">deciding whether to proceed without a hearing under rule 34. </w:t>
      </w:r>
      <w:r w:rsidR="006C1798">
        <w:rPr>
          <w:rFonts w:ascii="Book Antiqua" w:hAnsi="Book Antiqua" w:cs="Arial"/>
        </w:rPr>
        <w:t>For r</w:t>
      </w:r>
      <w:r w:rsidR="00B56714">
        <w:rPr>
          <w:rFonts w:ascii="Book Antiqua" w:hAnsi="Book Antiqua" w:cs="Arial"/>
        </w:rPr>
        <w:t>easons which I will explain further below, I have decided that it is appropriate to proceed under rule 34 and I have determined the appeal accordingly.</w:t>
      </w:r>
    </w:p>
    <w:p w:rsidR="0092225E" w:rsidRDefault="00B56714" w:rsidP="00064BDC">
      <w:pPr>
        <w:numPr>
          <w:ilvl w:val="0"/>
          <w:numId w:val="3"/>
        </w:numPr>
        <w:spacing w:before="240"/>
        <w:jc w:val="both"/>
        <w:rPr>
          <w:rFonts w:ascii="Book Antiqua" w:hAnsi="Book Antiqua" w:cs="Arial"/>
        </w:rPr>
      </w:pPr>
      <w:r>
        <w:rPr>
          <w:rFonts w:ascii="Book Antiqua" w:hAnsi="Book Antiqua" w:cs="Arial"/>
        </w:rPr>
        <w:t xml:space="preserve">The appeal was allowed in the First-tier Tribunal by Judge Kempton. The judge </w:t>
      </w:r>
      <w:r w:rsidR="001773AD">
        <w:rPr>
          <w:rFonts w:ascii="Book Antiqua" w:hAnsi="Book Antiqua" w:cs="Arial"/>
        </w:rPr>
        <w:t xml:space="preserve">found that the effect of the removal of the appellant to China would, having proper regard to the public interest concerned with his removal, lead to a disproportionate interference with the rights to family life of the appellant, his wife and their two children. </w:t>
      </w:r>
      <w:r>
        <w:rPr>
          <w:rFonts w:ascii="Book Antiqua" w:hAnsi="Book Antiqua" w:cs="Arial"/>
        </w:rPr>
        <w:t xml:space="preserve">I am satisfied for the reasons detailed in the appellant’s advocate’s [11-17] written submissions that </w:t>
      </w:r>
      <w:r w:rsidR="006C1798">
        <w:rPr>
          <w:rFonts w:ascii="Book Antiqua" w:hAnsi="Book Antiqua" w:cs="Arial"/>
        </w:rPr>
        <w:t>the judge</w:t>
      </w:r>
      <w:r>
        <w:rPr>
          <w:rFonts w:ascii="Book Antiqua" w:hAnsi="Book Antiqua" w:cs="Arial"/>
        </w:rPr>
        <w:t xml:space="preserve"> did apply the appropriate test when determining the appeal under Article 8. I accept that the judge accurately recorded that the respondent had adopted the test of unjustifiably harsh consequences and that she </w:t>
      </w:r>
      <w:r w:rsidR="006C1798">
        <w:rPr>
          <w:rFonts w:ascii="Book Antiqua" w:hAnsi="Book Antiqua" w:cs="Arial"/>
        </w:rPr>
        <w:t>carried out her own analysis and reached</w:t>
      </w:r>
      <w:r>
        <w:rPr>
          <w:rFonts w:ascii="Book Antiqua" w:hAnsi="Book Antiqua" w:cs="Arial"/>
        </w:rPr>
        <w:t xml:space="preserve"> her own conclusions by reference to the same test. In places</w:t>
      </w:r>
      <w:r w:rsidR="006C1798">
        <w:rPr>
          <w:rFonts w:ascii="Book Antiqua" w:hAnsi="Book Antiqua" w:cs="Arial"/>
        </w:rPr>
        <w:t xml:space="preserve"> in the decision</w:t>
      </w:r>
      <w:r>
        <w:rPr>
          <w:rFonts w:ascii="Book Antiqua" w:hAnsi="Book Antiqua" w:cs="Arial"/>
        </w:rPr>
        <w:t>, the reasoning of the judge could be clearer but I</w:t>
      </w:r>
      <w:r w:rsidR="009C1E9D">
        <w:rPr>
          <w:rFonts w:ascii="Book Antiqua" w:hAnsi="Book Antiqua" w:cs="Arial"/>
        </w:rPr>
        <w:t xml:space="preserve"> am</w:t>
      </w:r>
      <w:r>
        <w:rPr>
          <w:rFonts w:ascii="Book Antiqua" w:hAnsi="Book Antiqua" w:cs="Arial"/>
        </w:rPr>
        <w:t xml:space="preserve"> satisfied that, read</w:t>
      </w:r>
      <w:r w:rsidR="006C1798">
        <w:rPr>
          <w:rFonts w:ascii="Book Antiqua" w:hAnsi="Book Antiqua" w:cs="Arial"/>
        </w:rPr>
        <w:t xml:space="preserve">ing the decision </w:t>
      </w:r>
      <w:proofErr w:type="gramStart"/>
      <w:r>
        <w:rPr>
          <w:rFonts w:ascii="Book Antiqua" w:hAnsi="Book Antiqua" w:cs="Arial"/>
        </w:rPr>
        <w:t>as a whole, the</w:t>
      </w:r>
      <w:proofErr w:type="gramEnd"/>
      <w:r>
        <w:rPr>
          <w:rFonts w:ascii="Book Antiqua" w:hAnsi="Book Antiqua" w:cs="Arial"/>
        </w:rPr>
        <w:t xml:space="preserve"> judge has directed herself appropriately and that the Upper Tribunal should hesitate before finding otherwise.</w:t>
      </w:r>
    </w:p>
    <w:p w:rsidR="0092225E" w:rsidRDefault="001773AD" w:rsidP="00064BDC">
      <w:pPr>
        <w:numPr>
          <w:ilvl w:val="0"/>
          <w:numId w:val="3"/>
        </w:numPr>
        <w:spacing w:before="240"/>
        <w:jc w:val="both"/>
        <w:rPr>
          <w:rFonts w:ascii="Book Antiqua" w:hAnsi="Book Antiqua" w:cs="Arial"/>
        </w:rPr>
      </w:pPr>
      <w:r>
        <w:rPr>
          <w:rFonts w:ascii="Book Antiqua" w:hAnsi="Book Antiqua" w:cs="Arial"/>
        </w:rPr>
        <w:t>I agree also with the appellant’s advocate that the grounds of appeal at [4] misrepresent the reasoning of the judge. It is not the case that at [25] the judge recorded that there was ‘</w:t>
      </w:r>
      <w:r w:rsidRPr="006C1798">
        <w:rPr>
          <w:rFonts w:ascii="Book Antiqua" w:hAnsi="Book Antiqua" w:cs="Arial"/>
          <w:b/>
          <w:bCs/>
        </w:rPr>
        <w:t>no evidence</w:t>
      </w:r>
      <w:r>
        <w:rPr>
          <w:rFonts w:ascii="Book Antiqua" w:hAnsi="Book Antiqua" w:cs="Arial"/>
        </w:rPr>
        <w:t>…[from] the appellant as to what exactly does with the children…’</w:t>
      </w:r>
      <w:r w:rsidR="006C1798">
        <w:rPr>
          <w:rFonts w:ascii="Book Antiqua" w:hAnsi="Book Antiqua" w:cs="Arial"/>
        </w:rPr>
        <w:t xml:space="preserve"> [my emphasis].</w:t>
      </w:r>
      <w:r>
        <w:rPr>
          <w:rFonts w:ascii="Book Antiqua" w:hAnsi="Book Antiqua" w:cs="Arial"/>
        </w:rPr>
        <w:t xml:space="preserve"> </w:t>
      </w:r>
      <w:r w:rsidR="006C1798">
        <w:rPr>
          <w:rFonts w:ascii="Book Antiqua" w:hAnsi="Book Antiqua" w:cs="Arial"/>
        </w:rPr>
        <w:t>A</w:t>
      </w:r>
      <w:r>
        <w:rPr>
          <w:rFonts w:ascii="Book Antiqua" w:hAnsi="Book Antiqua" w:cs="Arial"/>
        </w:rPr>
        <w:t xml:space="preserve">s the appellant’s advocate records, the judge wrote that she had ‘no </w:t>
      </w:r>
      <w:r w:rsidRPr="001773AD">
        <w:rPr>
          <w:rFonts w:ascii="Book Antiqua" w:hAnsi="Book Antiqua" w:cs="Arial"/>
          <w:b/>
          <w:bCs/>
        </w:rPr>
        <w:t>independent</w:t>
      </w:r>
      <w:r>
        <w:rPr>
          <w:rFonts w:ascii="Book Antiqua" w:hAnsi="Book Antiqua" w:cs="Arial"/>
        </w:rPr>
        <w:t xml:space="preserve"> evidence of exactly what the appellant does for the children or the effect on the children of removal of the appellant back to China.’ [my emphasis]. I take this to mean that the judge was recording the absence of any independent expert evidence (for example, from an independent social worker) which might supplement that of the appellant himself and his wife. The grounds suggest that the judge reached a finding based on no evidence at all when, in fact, she reached her finding having accepted the truth and accuracy of the evidence of the appellant and his wife, which he was not only entitled to do but for which she has given cogent reasons for so accepting.</w:t>
      </w:r>
    </w:p>
    <w:p w:rsidR="001773AD" w:rsidRDefault="001773AD" w:rsidP="00064BDC">
      <w:pPr>
        <w:numPr>
          <w:ilvl w:val="0"/>
          <w:numId w:val="3"/>
        </w:numPr>
        <w:spacing w:before="240"/>
        <w:jc w:val="both"/>
        <w:rPr>
          <w:rFonts w:ascii="Book Antiqua" w:hAnsi="Book Antiqua" w:cs="Arial"/>
        </w:rPr>
      </w:pPr>
      <w:r>
        <w:rPr>
          <w:rFonts w:ascii="Book Antiqua" w:hAnsi="Book Antiqua" w:cs="Arial"/>
        </w:rPr>
        <w:t>I find that I also agree with the remainder of the advocate</w:t>
      </w:r>
      <w:r w:rsidR="006C1798">
        <w:rPr>
          <w:rFonts w:ascii="Book Antiqua" w:hAnsi="Book Antiqua" w:cs="Arial"/>
        </w:rPr>
        <w:t>’</w:t>
      </w:r>
      <w:r>
        <w:rPr>
          <w:rFonts w:ascii="Book Antiqua" w:hAnsi="Book Antiqua" w:cs="Arial"/>
        </w:rPr>
        <w:t>s submission and prefer those submissions to th</w:t>
      </w:r>
      <w:r w:rsidR="006C1798">
        <w:rPr>
          <w:rFonts w:ascii="Book Antiqua" w:hAnsi="Book Antiqua" w:cs="Arial"/>
        </w:rPr>
        <w:t xml:space="preserve">e submissions </w:t>
      </w:r>
      <w:r>
        <w:rPr>
          <w:rFonts w:ascii="Book Antiqua" w:hAnsi="Book Antiqua" w:cs="Arial"/>
        </w:rPr>
        <w:t>set out in the skeleton argument of the Secretary of State. I do not propose to provide detailed reasons for reaching that decision for the following reason. I am determining this appeal on 7 July 2020</w:t>
      </w:r>
      <w:r w:rsidR="006C1798">
        <w:rPr>
          <w:rFonts w:ascii="Book Antiqua" w:hAnsi="Book Antiqua" w:cs="Arial"/>
        </w:rPr>
        <w:t>,</w:t>
      </w:r>
      <w:r>
        <w:rPr>
          <w:rFonts w:ascii="Book Antiqua" w:hAnsi="Book Antiqua" w:cs="Arial"/>
        </w:rPr>
        <w:t xml:space="preserve"> the date upon which the appellant’s eldest child reaches her seventh birthday. I am </w:t>
      </w:r>
      <w:proofErr w:type="gramStart"/>
      <w:r>
        <w:rPr>
          <w:rFonts w:ascii="Book Antiqua" w:hAnsi="Book Antiqua" w:cs="Arial"/>
        </w:rPr>
        <w:t>well aware</w:t>
      </w:r>
      <w:proofErr w:type="gramEnd"/>
      <w:r w:rsidR="006C1798">
        <w:rPr>
          <w:rFonts w:ascii="Book Antiqua" w:hAnsi="Book Antiqua" w:cs="Arial"/>
        </w:rPr>
        <w:t>,</w:t>
      </w:r>
      <w:r>
        <w:rPr>
          <w:rFonts w:ascii="Book Antiqua" w:hAnsi="Book Antiqua" w:cs="Arial"/>
        </w:rPr>
        <w:t xml:space="preserve"> as was the judge [27]</w:t>
      </w:r>
      <w:r w:rsidR="006C1798">
        <w:rPr>
          <w:rFonts w:ascii="Book Antiqua" w:hAnsi="Book Antiqua" w:cs="Arial"/>
        </w:rPr>
        <w:t>,</w:t>
      </w:r>
      <w:r>
        <w:rPr>
          <w:rFonts w:ascii="Book Antiqua" w:hAnsi="Book Antiqua" w:cs="Arial"/>
        </w:rPr>
        <w:t xml:space="preserve"> </w:t>
      </w:r>
      <w:r w:rsidR="006C1798">
        <w:rPr>
          <w:rFonts w:ascii="Book Antiqua" w:hAnsi="Book Antiqua" w:cs="Arial"/>
        </w:rPr>
        <w:t xml:space="preserve">that </w:t>
      </w:r>
      <w:r>
        <w:rPr>
          <w:rFonts w:ascii="Book Antiqua" w:hAnsi="Book Antiqua" w:cs="Arial"/>
        </w:rPr>
        <w:t>th</w:t>
      </w:r>
      <w:r w:rsidR="006C1798">
        <w:rPr>
          <w:rFonts w:ascii="Book Antiqua" w:hAnsi="Book Antiqua" w:cs="Arial"/>
        </w:rPr>
        <w:t>is</w:t>
      </w:r>
      <w:r>
        <w:rPr>
          <w:rFonts w:ascii="Book Antiqua" w:hAnsi="Book Antiqua" w:cs="Arial"/>
        </w:rPr>
        <w:t xml:space="preserve"> child had not achieved this milestone at the date of the hearing before the First-tier Tribunal. It is, however, so far as the Upper Tribunal is now concerned</w:t>
      </w:r>
      <w:r w:rsidR="006C1798">
        <w:rPr>
          <w:rFonts w:ascii="Book Antiqua" w:hAnsi="Book Antiqua" w:cs="Arial"/>
        </w:rPr>
        <w:t>,</w:t>
      </w:r>
      <w:r>
        <w:rPr>
          <w:rFonts w:ascii="Book Antiqua" w:hAnsi="Book Antiqua" w:cs="Arial"/>
        </w:rPr>
        <w:t xml:space="preserve"> a </w:t>
      </w:r>
      <w:r w:rsidR="006C1798">
        <w:rPr>
          <w:rFonts w:ascii="Book Antiqua" w:hAnsi="Book Antiqua" w:cs="Arial"/>
        </w:rPr>
        <w:t>pertinent</w:t>
      </w:r>
      <w:r>
        <w:rPr>
          <w:rFonts w:ascii="Book Antiqua" w:hAnsi="Book Antiqua" w:cs="Arial"/>
        </w:rPr>
        <w:t xml:space="preserve"> factor. Even if I were to find that the First-tier Tribunal had erred in law such that its decision fell to be set aside</w:t>
      </w:r>
      <w:r w:rsidR="006C1798">
        <w:rPr>
          <w:rFonts w:ascii="Book Antiqua" w:hAnsi="Book Antiqua" w:cs="Arial"/>
        </w:rPr>
        <w:t>,</w:t>
      </w:r>
      <w:r>
        <w:rPr>
          <w:rFonts w:ascii="Book Antiqua" w:hAnsi="Book Antiqua" w:cs="Arial"/>
        </w:rPr>
        <w:t xml:space="preserve"> it would then fall to me to remake </w:t>
      </w:r>
      <w:r>
        <w:rPr>
          <w:rFonts w:ascii="Book Antiqua" w:hAnsi="Book Antiqua" w:cs="Arial"/>
        </w:rPr>
        <w:lastRenderedPageBreak/>
        <w:t xml:space="preserve">the decision having regard to the circumstances </w:t>
      </w:r>
      <w:r w:rsidR="006C1798">
        <w:rPr>
          <w:rFonts w:ascii="Book Antiqua" w:hAnsi="Book Antiqua" w:cs="Arial"/>
        </w:rPr>
        <w:t xml:space="preserve">of the appellant and his family </w:t>
      </w:r>
      <w:r>
        <w:rPr>
          <w:rFonts w:ascii="Book Antiqua" w:hAnsi="Book Antiqua" w:cs="Arial"/>
        </w:rPr>
        <w:t xml:space="preserve">as at the present date. As at today’s date, the circumstances of the </w:t>
      </w:r>
      <w:r w:rsidR="009C1E9D">
        <w:rPr>
          <w:rFonts w:ascii="Book Antiqua" w:hAnsi="Book Antiqua" w:cs="Arial"/>
        </w:rPr>
        <w:t>e</w:t>
      </w:r>
      <w:r>
        <w:rPr>
          <w:rFonts w:ascii="Book Antiqua" w:hAnsi="Book Antiqua" w:cs="Arial"/>
        </w:rPr>
        <w:t xml:space="preserve">ldest child </w:t>
      </w:r>
      <w:r w:rsidR="006C1798">
        <w:rPr>
          <w:rFonts w:ascii="Book Antiqua" w:hAnsi="Book Antiqua" w:cs="Arial"/>
        </w:rPr>
        <w:t xml:space="preserve">should </w:t>
      </w:r>
      <w:r>
        <w:rPr>
          <w:rFonts w:ascii="Book Antiqua" w:hAnsi="Book Antiqua" w:cs="Arial"/>
        </w:rPr>
        <w:t xml:space="preserve">to be considered under s117 </w:t>
      </w:r>
      <w:proofErr w:type="gramStart"/>
      <w:r>
        <w:rPr>
          <w:rFonts w:ascii="Book Antiqua" w:hAnsi="Book Antiqua" w:cs="Arial"/>
        </w:rPr>
        <w:t>B(</w:t>
      </w:r>
      <w:proofErr w:type="gramEnd"/>
      <w:r>
        <w:rPr>
          <w:rFonts w:ascii="Book Antiqua" w:hAnsi="Book Antiqua" w:cs="Arial"/>
        </w:rPr>
        <w:t>6) of the 2002 Act:</w:t>
      </w:r>
    </w:p>
    <w:p w:rsidR="001773AD" w:rsidRPr="009C1E9D" w:rsidRDefault="001773AD" w:rsidP="001773AD">
      <w:pPr>
        <w:spacing w:before="240"/>
        <w:ind w:left="567"/>
        <w:jc w:val="both"/>
        <w:rPr>
          <w:rFonts w:ascii="Book Antiqua" w:hAnsi="Book Antiqua" w:cs="Arial"/>
          <w:sz w:val="22"/>
          <w:szCs w:val="22"/>
        </w:rPr>
      </w:pPr>
      <w:r w:rsidRPr="009C1E9D">
        <w:rPr>
          <w:rFonts w:ascii="Book Antiqua" w:hAnsi="Book Antiqua" w:cs="Arial"/>
          <w:sz w:val="22"/>
          <w:szCs w:val="22"/>
        </w:rPr>
        <w:t>(6) In the case of a person who is not liable to deportation, the public interest does not require the person’s removal where—</w:t>
      </w:r>
    </w:p>
    <w:p w:rsidR="001773AD" w:rsidRPr="009C1E9D" w:rsidRDefault="001773AD" w:rsidP="001773AD">
      <w:pPr>
        <w:spacing w:before="240"/>
        <w:ind w:left="567"/>
        <w:jc w:val="both"/>
        <w:rPr>
          <w:rFonts w:ascii="Book Antiqua" w:hAnsi="Book Antiqua" w:cs="Arial"/>
          <w:sz w:val="22"/>
          <w:szCs w:val="22"/>
        </w:rPr>
      </w:pPr>
      <w:r w:rsidRPr="009C1E9D">
        <w:rPr>
          <w:rFonts w:ascii="Book Antiqua" w:hAnsi="Book Antiqua" w:cs="Arial"/>
          <w:sz w:val="22"/>
          <w:szCs w:val="22"/>
        </w:rPr>
        <w:t>(a) the person has a genuine and subsisting parental relationship with a qualifying child, and</w:t>
      </w:r>
    </w:p>
    <w:p w:rsidR="0092225E" w:rsidRDefault="001773AD" w:rsidP="001773AD">
      <w:pPr>
        <w:spacing w:before="240"/>
        <w:ind w:left="567"/>
        <w:jc w:val="both"/>
        <w:rPr>
          <w:rFonts w:ascii="Book Antiqua" w:hAnsi="Book Antiqua" w:cs="Arial"/>
        </w:rPr>
      </w:pPr>
      <w:r w:rsidRPr="009C1E9D">
        <w:rPr>
          <w:rFonts w:ascii="Book Antiqua" w:hAnsi="Book Antiqua" w:cs="Arial"/>
          <w:sz w:val="22"/>
          <w:szCs w:val="22"/>
        </w:rPr>
        <w:t>(b) it would not be reasonable to expect the child to leave the United Kingdom</w:t>
      </w:r>
      <w:r w:rsidRPr="001773AD">
        <w:rPr>
          <w:rFonts w:ascii="Book Antiqua" w:hAnsi="Book Antiqua" w:cs="Arial"/>
        </w:rPr>
        <w:t>.</w:t>
      </w:r>
    </w:p>
    <w:p w:rsidR="00D47E30" w:rsidRPr="009C1E9D" w:rsidRDefault="009C1E9D" w:rsidP="009C1E9D">
      <w:pPr>
        <w:spacing w:before="240"/>
        <w:ind w:left="567"/>
        <w:jc w:val="both"/>
        <w:rPr>
          <w:rFonts w:ascii="Book Antiqua" w:hAnsi="Book Antiqua" w:cs="Arial"/>
        </w:rPr>
      </w:pPr>
      <w:r>
        <w:rPr>
          <w:rFonts w:ascii="Book Antiqua" w:hAnsi="Book Antiqua" w:cs="Arial"/>
        </w:rPr>
        <w:t>Given that I have rejected the respondent’s challenge to the judge</w:t>
      </w:r>
      <w:r w:rsidR="006C1798">
        <w:rPr>
          <w:rFonts w:ascii="Book Antiqua" w:hAnsi="Book Antiqua" w:cs="Arial"/>
        </w:rPr>
        <w:t>’</w:t>
      </w:r>
      <w:r>
        <w:rPr>
          <w:rFonts w:ascii="Book Antiqua" w:hAnsi="Book Antiqua" w:cs="Arial"/>
        </w:rPr>
        <w:t>s analysis of the evidence there remains little in the Secretary of State’s submissions of April 2020 which would suggest that, given the appellant’s wife’s own immigration position and employment status, it would be reasonable for either the whole family to move to China or, more particularly, for the eldest daughter, now a ‘qualifying child</w:t>
      </w:r>
      <w:proofErr w:type="gramStart"/>
      <w:r>
        <w:rPr>
          <w:rFonts w:ascii="Book Antiqua" w:hAnsi="Book Antiqua" w:cs="Arial"/>
        </w:rPr>
        <w:t>’,  to</w:t>
      </w:r>
      <w:proofErr w:type="gramEnd"/>
      <w:r>
        <w:rPr>
          <w:rFonts w:ascii="Book Antiqua" w:hAnsi="Book Antiqua" w:cs="Arial"/>
        </w:rPr>
        <w:t xml:space="preserve"> leave the jurisdiction of the United Kingdom. I am satisfied that the judge reached findings of fact which were available to her on the evidence and that she applied the correct legal test to those findings. On the basis of those findings I would inevitably find that, by application of section 117</w:t>
      </w:r>
      <w:proofErr w:type="gramStart"/>
      <w:r>
        <w:rPr>
          <w:rFonts w:ascii="Book Antiqua" w:hAnsi="Book Antiqua" w:cs="Arial"/>
        </w:rPr>
        <w:t>B(</w:t>
      </w:r>
      <w:proofErr w:type="gramEnd"/>
      <w:r>
        <w:rPr>
          <w:rFonts w:ascii="Book Antiqua" w:hAnsi="Book Antiqua" w:cs="Arial"/>
        </w:rPr>
        <w:t>6),</w:t>
      </w:r>
      <w:r w:rsidRPr="009C1E9D">
        <w:rPr>
          <w:rFonts w:ascii="Book Antiqua" w:hAnsi="Book Antiqua" w:cs="Arial"/>
        </w:rPr>
        <w:t xml:space="preserve"> </w:t>
      </w:r>
      <w:r>
        <w:rPr>
          <w:rFonts w:ascii="Book Antiqua" w:hAnsi="Book Antiqua" w:cs="Arial"/>
        </w:rPr>
        <w:t>it would not be in the public interest for the appellant to be removed from the United Kingdom. Therefore, whilst my primary finding is that, for the reasons articulated by the appellant’s advocate, the First-tier Tribunal judge did not fall into legal error, even if I were to find that she had done so</w:t>
      </w:r>
      <w:r w:rsidR="000143E4">
        <w:rPr>
          <w:rFonts w:ascii="Book Antiqua" w:hAnsi="Book Antiqua" w:cs="Arial"/>
        </w:rPr>
        <w:t>,</w:t>
      </w:r>
      <w:r>
        <w:rPr>
          <w:rFonts w:ascii="Book Antiqua" w:hAnsi="Book Antiqua" w:cs="Arial"/>
        </w:rPr>
        <w:t xml:space="preserve"> I would exercise my discretion not to set aside the decision for the reasons I have articulated above. </w:t>
      </w:r>
      <w:r w:rsidR="000143E4">
        <w:rPr>
          <w:rFonts w:ascii="Book Antiqua" w:hAnsi="Book Antiqua" w:cs="Arial"/>
        </w:rPr>
        <w:t>Given those circumstances, t</w:t>
      </w:r>
      <w:r>
        <w:rPr>
          <w:rFonts w:ascii="Book Antiqua" w:hAnsi="Book Antiqua" w:cs="Arial"/>
        </w:rPr>
        <w:t>he Secretary of State’s appeal is, therefore, dismissed.</w:t>
      </w:r>
    </w:p>
    <w:p w:rsidR="008508AD" w:rsidRPr="00FC202F" w:rsidRDefault="008508AD" w:rsidP="009C1E9D">
      <w:pPr>
        <w:spacing w:before="240"/>
        <w:ind w:firstLine="567"/>
        <w:jc w:val="both"/>
        <w:rPr>
          <w:rFonts w:ascii="Book Antiqua" w:hAnsi="Book Antiqua" w:cs="Arial"/>
          <w:b/>
          <w:u w:val="single"/>
        </w:rPr>
      </w:pPr>
      <w:r w:rsidRPr="008508AD">
        <w:rPr>
          <w:rFonts w:ascii="Book Antiqua" w:hAnsi="Book Antiqua" w:cs="Arial"/>
          <w:b/>
          <w:u w:val="single"/>
        </w:rPr>
        <w:t>Notice of Decision</w:t>
      </w:r>
    </w:p>
    <w:p w:rsidR="008508AD" w:rsidRPr="008508AD" w:rsidRDefault="009C1E9D" w:rsidP="00064BDC">
      <w:pPr>
        <w:spacing w:before="240"/>
        <w:ind w:left="567"/>
        <w:jc w:val="both"/>
        <w:rPr>
          <w:rFonts w:ascii="Book Antiqua" w:hAnsi="Book Antiqua" w:cs="Arial"/>
        </w:rPr>
      </w:pPr>
      <w:r>
        <w:rPr>
          <w:rFonts w:ascii="Book Antiqua" w:hAnsi="Book Antiqua" w:cs="Arial"/>
        </w:rPr>
        <w:t>The Secretary of State’s appeal is dismissed.</w:t>
      </w:r>
    </w:p>
    <w:p w:rsidR="008508AD" w:rsidRPr="008508AD" w:rsidRDefault="008508AD" w:rsidP="008508AD">
      <w:pPr>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Default="000143E4" w:rsidP="000369F5">
      <w:pPr>
        <w:tabs>
          <w:tab w:val="left" w:pos="2520"/>
        </w:tabs>
        <w:jc w:val="both"/>
        <w:rPr>
          <w:rFonts w:ascii="Book Antiqua" w:hAnsi="Book Antiqua" w:cs="Arial"/>
        </w:rPr>
      </w:pPr>
      <w:r>
        <w:rPr>
          <w:rFonts w:ascii="Book Antiqua" w:hAnsi="Book Antiqua" w:cs="Arial"/>
        </w:rPr>
        <w:t xml:space="preserve">      </w:t>
      </w:r>
      <w:r w:rsidR="006C1798">
        <w:rPr>
          <w:rFonts w:ascii="Book Antiqua" w:hAnsi="Book Antiqua" w:cs="Arial"/>
        </w:rPr>
        <w:t xml:space="preserve">   </w:t>
      </w:r>
      <w:r w:rsidR="006E3C90" w:rsidRPr="00F5664C">
        <w:rPr>
          <w:rFonts w:ascii="Book Antiqua" w:hAnsi="Book Antiqua" w:cs="Arial"/>
        </w:rPr>
        <w:t>Signed</w:t>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1F2716" w:rsidRPr="00F5664C">
        <w:rPr>
          <w:rFonts w:ascii="Book Antiqua" w:hAnsi="Book Antiqua" w:cs="Arial"/>
        </w:rPr>
        <w:t>Date</w:t>
      </w:r>
      <w:r w:rsidR="00D70775">
        <w:rPr>
          <w:rFonts w:ascii="Book Antiqua" w:hAnsi="Book Antiqua" w:cs="Arial"/>
        </w:rPr>
        <w:t xml:space="preserve"> </w:t>
      </w:r>
      <w:r w:rsidR="009C1E9D">
        <w:rPr>
          <w:rFonts w:ascii="Book Antiqua" w:hAnsi="Book Antiqua" w:cs="Arial"/>
        </w:rPr>
        <w:t xml:space="preserve">7 July </w:t>
      </w:r>
      <w:r w:rsidR="0073517A">
        <w:rPr>
          <w:rFonts w:ascii="Book Antiqua" w:hAnsi="Book Antiqua" w:cs="Arial"/>
        </w:rPr>
        <w:t>20</w:t>
      </w:r>
      <w:r w:rsidR="009257F2">
        <w:rPr>
          <w:rFonts w:ascii="Book Antiqua" w:hAnsi="Book Antiqua" w:cs="Arial"/>
        </w:rPr>
        <w:t>20</w:t>
      </w:r>
    </w:p>
    <w:p w:rsidR="00F60D99" w:rsidRPr="00F5664C" w:rsidRDefault="00F60D99" w:rsidP="000369F5">
      <w:pPr>
        <w:tabs>
          <w:tab w:val="left" w:pos="2520"/>
        </w:tabs>
        <w:jc w:val="both"/>
        <w:rPr>
          <w:rFonts w:ascii="Book Antiqua" w:hAnsi="Book Antiqua" w:cs="Arial"/>
        </w:rPr>
      </w:pPr>
    </w:p>
    <w:p w:rsidR="001F2716" w:rsidRPr="009C1E9D" w:rsidRDefault="006C1798" w:rsidP="000369F5">
      <w:pPr>
        <w:tabs>
          <w:tab w:val="left" w:pos="2520"/>
        </w:tabs>
        <w:jc w:val="both"/>
        <w:rPr>
          <w:rFonts w:ascii="Lucida Handwriting" w:hAnsi="Lucida Handwriting" w:cs="Arial"/>
        </w:rPr>
      </w:pPr>
      <w:r>
        <w:rPr>
          <w:rFonts w:ascii="Lucida Handwriting" w:hAnsi="Lucida Handwriting" w:cs="Arial"/>
        </w:rPr>
        <w:t xml:space="preserve">      </w:t>
      </w:r>
      <w:proofErr w:type="spellStart"/>
      <w:r w:rsidR="009C1E9D" w:rsidRPr="009C1E9D">
        <w:rPr>
          <w:rFonts w:ascii="Lucida Handwriting" w:hAnsi="Lucida Handwriting" w:cs="Arial"/>
        </w:rPr>
        <w:t>C.</w:t>
      </w:r>
      <w:proofErr w:type="gramStart"/>
      <w:r w:rsidR="009C1E9D" w:rsidRPr="009C1E9D">
        <w:rPr>
          <w:rFonts w:ascii="Lucida Handwriting" w:hAnsi="Lucida Handwriting" w:cs="Arial"/>
        </w:rPr>
        <w:t>N.Lane</w:t>
      </w:r>
      <w:proofErr w:type="spellEnd"/>
      <w:proofErr w:type="gramEnd"/>
    </w:p>
    <w:p w:rsidR="008508AD" w:rsidRDefault="006C1798" w:rsidP="000369F5">
      <w:pPr>
        <w:tabs>
          <w:tab w:val="left" w:pos="2520"/>
        </w:tabs>
        <w:jc w:val="both"/>
        <w:rPr>
          <w:rFonts w:ascii="Book Antiqua" w:hAnsi="Book Antiqua" w:cs="Arial"/>
        </w:rPr>
      </w:pPr>
      <w:r>
        <w:rPr>
          <w:rFonts w:ascii="Book Antiqua" w:hAnsi="Book Antiqua" w:cs="Arial"/>
        </w:rPr>
        <w:t xml:space="preserve">        </w:t>
      </w:r>
      <w:r w:rsidR="00155BA9">
        <w:rPr>
          <w:rFonts w:ascii="Book Antiqua" w:hAnsi="Book Antiqua" w:cs="Arial"/>
        </w:rPr>
        <w:t>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8639DC">
        <w:rPr>
          <w:rFonts w:ascii="Book Antiqua" w:hAnsi="Book Antiqua" w:cs="Arial"/>
        </w:rPr>
        <w:t>Lane</w:t>
      </w:r>
    </w:p>
    <w:p w:rsidR="0065582D" w:rsidRDefault="0065582D" w:rsidP="000369F5">
      <w:pPr>
        <w:tabs>
          <w:tab w:val="left" w:pos="2520"/>
        </w:tabs>
        <w:jc w:val="both"/>
        <w:rPr>
          <w:rFonts w:ascii="Book Antiqua" w:hAnsi="Book Antiqua" w:cs="Arial"/>
        </w:rPr>
      </w:pPr>
    </w:p>
    <w:p w:rsidR="0065582D" w:rsidRDefault="0065582D" w:rsidP="000369F5">
      <w:pPr>
        <w:tabs>
          <w:tab w:val="left" w:pos="2520"/>
        </w:tabs>
        <w:jc w:val="both"/>
        <w:rPr>
          <w:rFonts w:ascii="Book Antiqua" w:hAnsi="Book Antiqua" w:cs="Arial"/>
        </w:rPr>
      </w:pPr>
    </w:p>
    <w:p w:rsidR="0065582D" w:rsidRDefault="0065582D" w:rsidP="000369F5">
      <w:pPr>
        <w:tabs>
          <w:tab w:val="left" w:pos="2520"/>
        </w:tabs>
        <w:jc w:val="both"/>
        <w:rPr>
          <w:rFonts w:ascii="Book Antiqua" w:hAnsi="Book Antiqua" w:cs="Arial"/>
        </w:rPr>
      </w:pPr>
    </w:p>
    <w:p w:rsidR="0065582D" w:rsidRPr="008508AD" w:rsidRDefault="0065582D" w:rsidP="0065582D">
      <w:pPr>
        <w:jc w:val="both"/>
        <w:rPr>
          <w:rFonts w:ascii="Book Antiqua" w:hAnsi="Book Antiqua" w:cs="Arial"/>
        </w:rPr>
      </w:pPr>
      <w:r w:rsidRPr="008508AD">
        <w:rPr>
          <w:rFonts w:ascii="Book Antiqua" w:hAnsi="Book Antiqua" w:cs="Arial"/>
          <w:b/>
          <w:u w:val="single"/>
        </w:rPr>
        <w:t>Direction Regarding Anonymity – Rule 14 of the Tribunal Procedure (Upper Tribunal) Rules 2008</w:t>
      </w:r>
    </w:p>
    <w:p w:rsidR="0065582D" w:rsidRPr="008508AD" w:rsidRDefault="0065582D" w:rsidP="0065582D">
      <w:pPr>
        <w:jc w:val="both"/>
        <w:rPr>
          <w:rFonts w:ascii="Book Antiqua" w:hAnsi="Book Antiqua" w:cs="Arial"/>
        </w:rPr>
      </w:pPr>
    </w:p>
    <w:p w:rsidR="005B7789" w:rsidRPr="00F5664C" w:rsidRDefault="0065582D" w:rsidP="007716C3">
      <w:pPr>
        <w:jc w:val="both"/>
        <w:rPr>
          <w:rFonts w:ascii="Book Antiqua" w:hAnsi="Book Antiqua" w:cs="Arial"/>
        </w:rPr>
      </w:pPr>
      <w:r w:rsidRPr="008508AD">
        <w:rPr>
          <w:rFonts w:ascii="Book Antiqua" w:hAnsi="Book Antiqua" w:cs="Arial"/>
        </w:rPr>
        <w:t xml:space="preserve">Unless and </w:t>
      </w:r>
      <w:r w:rsidRPr="008508AD">
        <w:rPr>
          <w:rFonts w:ascii="Book Antiqua" w:hAnsi="Book Antiqua"/>
        </w:rPr>
        <w:t xml:space="preserve">until a Tribunal or court directs otherwise, the </w:t>
      </w:r>
      <w:r>
        <w:rPr>
          <w:rFonts w:ascii="Book Antiqua" w:hAnsi="Book Antiqua"/>
        </w:rPr>
        <w:t>a</w:t>
      </w:r>
      <w:r w:rsidRPr="008508AD">
        <w:rPr>
          <w:rFonts w:ascii="Book Antiqua" w:hAnsi="Book Antiqua"/>
        </w:rPr>
        <w:t>ppellant</w:t>
      </w:r>
      <w:r w:rsidR="0073517A">
        <w:rPr>
          <w:rFonts w:ascii="Book Antiqua" w:hAnsi="Book Antiqua"/>
        </w:rPr>
        <w:t xml:space="preserve">s are </w:t>
      </w:r>
      <w:r w:rsidRPr="008508AD">
        <w:rPr>
          <w:rFonts w:ascii="Book Antiqua" w:hAnsi="Book Antiqua"/>
        </w:rPr>
        <w:t xml:space="preserve">granted anonymity.  No report of these proceedings shall directly or indirectly identify </w:t>
      </w:r>
      <w:r w:rsidR="0073517A">
        <w:rPr>
          <w:rFonts w:ascii="Book Antiqua" w:hAnsi="Book Antiqua"/>
        </w:rPr>
        <w:t>them</w:t>
      </w:r>
      <w:r w:rsidRPr="008508AD">
        <w:rPr>
          <w:rFonts w:ascii="Book Antiqua" w:hAnsi="Book Antiqua"/>
        </w:rPr>
        <w:t xml:space="preserve"> or any member of </w:t>
      </w:r>
      <w:r w:rsidR="0073517A">
        <w:rPr>
          <w:rFonts w:ascii="Book Antiqua" w:hAnsi="Book Antiqua"/>
        </w:rPr>
        <w:t>their</w:t>
      </w:r>
      <w:r>
        <w:rPr>
          <w:rFonts w:ascii="Book Antiqua" w:hAnsi="Book Antiqua"/>
        </w:rPr>
        <w:t xml:space="preserve"> </w:t>
      </w:r>
      <w:r w:rsidRPr="008508AD">
        <w:rPr>
          <w:rFonts w:ascii="Book Antiqua" w:hAnsi="Book Antiqua"/>
        </w:rPr>
        <w:t xml:space="preserve">family.  This direction applies both to the </w:t>
      </w:r>
      <w:r>
        <w:rPr>
          <w:rFonts w:ascii="Book Antiqua" w:hAnsi="Book Antiqua"/>
        </w:rPr>
        <w:t>a</w:t>
      </w:r>
      <w:r w:rsidRPr="008508AD">
        <w:rPr>
          <w:rFonts w:ascii="Book Antiqua" w:hAnsi="Book Antiqua"/>
        </w:rPr>
        <w:t>ppellant</w:t>
      </w:r>
      <w:r w:rsidR="0073517A">
        <w:rPr>
          <w:rFonts w:ascii="Book Antiqua" w:hAnsi="Book Antiqua"/>
        </w:rPr>
        <w:t>s</w:t>
      </w:r>
      <w:r w:rsidRPr="008508AD">
        <w:rPr>
          <w:rFonts w:ascii="Book Antiqua" w:hAnsi="Book Antiqua"/>
        </w:rPr>
        <w:t xml:space="preserve"> and to the </w:t>
      </w:r>
      <w:r>
        <w:rPr>
          <w:rFonts w:ascii="Book Antiqua" w:hAnsi="Book Antiqua"/>
        </w:rPr>
        <w:t>r</w:t>
      </w:r>
      <w:r w:rsidRPr="008508AD">
        <w:rPr>
          <w:rFonts w:ascii="Book Antiqua" w:hAnsi="Book Antiqua"/>
        </w:rPr>
        <w:t>espondent.  Failure to comply with this direction could lead to contempt of court proceedings.</w:t>
      </w:r>
      <w:r w:rsidR="007716C3" w:rsidRPr="00F5664C">
        <w:rPr>
          <w:rFonts w:ascii="Book Antiqua" w:hAnsi="Book Antiqua" w:cs="Arial"/>
        </w:rPr>
        <w:t xml:space="preserve"> </w:t>
      </w:r>
    </w:p>
    <w:p w:rsidR="005B7789" w:rsidRPr="00F5664C" w:rsidRDefault="005B7789" w:rsidP="000369F5">
      <w:pPr>
        <w:tabs>
          <w:tab w:val="left" w:pos="2520"/>
        </w:tabs>
        <w:jc w:val="both"/>
        <w:rPr>
          <w:rFonts w:ascii="Book Antiqua" w:hAnsi="Book Antiqua" w:cs="Arial"/>
        </w:rPr>
      </w:pPr>
    </w:p>
    <w:sectPr w:rsidR="005B7789" w:rsidRPr="00F5664C" w:rsidSect="00426549">
      <w:headerReference w:type="default" r:id="rId8"/>
      <w:footerReference w:type="default" r:id="rId9"/>
      <w:headerReference w:type="first" r:id="rId10"/>
      <w:footerReference w:type="first" r:id="rId11"/>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14DA" w:rsidRDefault="003214DA">
      <w:r>
        <w:separator/>
      </w:r>
    </w:p>
  </w:endnote>
  <w:endnote w:type="continuationSeparator" w:id="0">
    <w:p w:rsidR="003214DA" w:rsidRDefault="00321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E0A" w:rsidRPr="00426549" w:rsidRDefault="004A0E0A" w:rsidP="00593795">
    <w:pPr>
      <w:pStyle w:val="Footer"/>
      <w:jc w:val="center"/>
      <w:rPr>
        <w:rFonts w:ascii="Book Antiqua" w:hAnsi="Book Antiqua" w:cs="Arial"/>
      </w:rPr>
    </w:pPr>
    <w:r w:rsidRPr="00426549">
      <w:rPr>
        <w:rStyle w:val="PageNumber"/>
        <w:rFonts w:ascii="Book Antiqua" w:hAnsi="Book Antiqua" w:cs="Arial"/>
      </w:rPr>
      <w:fldChar w:fldCharType="begin"/>
    </w:r>
    <w:r w:rsidRPr="00426549">
      <w:rPr>
        <w:rStyle w:val="PageNumber"/>
        <w:rFonts w:ascii="Book Antiqua" w:hAnsi="Book Antiqua" w:cs="Arial"/>
      </w:rPr>
      <w:instrText xml:space="preserve"> PAGE </w:instrText>
    </w:r>
    <w:r w:rsidRPr="00426549">
      <w:rPr>
        <w:rStyle w:val="PageNumber"/>
        <w:rFonts w:ascii="Book Antiqua" w:hAnsi="Book Antiqua" w:cs="Arial"/>
      </w:rPr>
      <w:fldChar w:fldCharType="separate"/>
    </w:r>
    <w:r w:rsidR="00844E62">
      <w:rPr>
        <w:rStyle w:val="PageNumber"/>
        <w:rFonts w:ascii="Book Antiqua" w:hAnsi="Book Antiqua" w:cs="Arial"/>
        <w:noProof/>
      </w:rPr>
      <w:t>3</w:t>
    </w:r>
    <w:r w:rsidRPr="00426549">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E0A" w:rsidRPr="00F5664C" w:rsidRDefault="004A0E0A" w:rsidP="00842418">
    <w:pPr>
      <w:jc w:val="center"/>
      <w:rPr>
        <w:rFonts w:ascii="Book Antiqua" w:hAnsi="Book Antiqua" w:cs="Arial"/>
        <w:b/>
      </w:rPr>
    </w:pPr>
    <w:r w:rsidRPr="00F5664C">
      <w:rPr>
        <w:rFonts w:ascii="Book Antiqua" w:hAnsi="Book Antiqua" w:cs="Arial"/>
        <w:b/>
        <w:spacing w:val="-6"/>
      </w:rPr>
      <w:t>©</w:t>
    </w:r>
    <w:r w:rsidR="007716C3">
      <w:rPr>
        <w:rFonts w:ascii="Book Antiqua" w:hAnsi="Book Antiqua" w:cs="Arial"/>
        <w:b/>
      </w:rPr>
      <w:t xml:space="preserve"> CROWN COPYRIGHT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14DA" w:rsidRDefault="003214DA">
      <w:r>
        <w:separator/>
      </w:r>
    </w:p>
  </w:footnote>
  <w:footnote w:type="continuationSeparator" w:id="0">
    <w:p w:rsidR="003214DA" w:rsidRDefault="003214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E0A" w:rsidRDefault="00426549" w:rsidP="000369F5">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Appeal Number: PA/08565/2019</w:t>
    </w:r>
  </w:p>
  <w:p w:rsidR="00426549" w:rsidRPr="00F5664C" w:rsidRDefault="00426549"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E0A" w:rsidRPr="00F5664C" w:rsidRDefault="004A0E0A">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279004C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58C4B5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40043F4"/>
    <w:multiLevelType w:val="multilevel"/>
    <w:tmpl w:val="91F267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1E680742-712A-4D55-A54E-45DC7A37631A}"/>
    <w:docVar w:name="dgnword-eventsink" w:val="484784712"/>
  </w:docVars>
  <w:rsids>
    <w:rsidRoot w:val="005D5C72"/>
    <w:rsid w:val="00000621"/>
    <w:rsid w:val="00001A2D"/>
    <w:rsid w:val="000036C2"/>
    <w:rsid w:val="000143E4"/>
    <w:rsid w:val="000168E1"/>
    <w:rsid w:val="00016EAC"/>
    <w:rsid w:val="00027641"/>
    <w:rsid w:val="00033D3D"/>
    <w:rsid w:val="000369F5"/>
    <w:rsid w:val="00052A91"/>
    <w:rsid w:val="00060ED5"/>
    <w:rsid w:val="00064BDC"/>
    <w:rsid w:val="00071602"/>
    <w:rsid w:val="00071A7E"/>
    <w:rsid w:val="000746C0"/>
    <w:rsid w:val="00074D1D"/>
    <w:rsid w:val="00080D83"/>
    <w:rsid w:val="00092580"/>
    <w:rsid w:val="000B415D"/>
    <w:rsid w:val="000D5D94"/>
    <w:rsid w:val="000E0923"/>
    <w:rsid w:val="000E20FF"/>
    <w:rsid w:val="000F13E7"/>
    <w:rsid w:val="000F76DE"/>
    <w:rsid w:val="00102CE7"/>
    <w:rsid w:val="001165A7"/>
    <w:rsid w:val="001337D8"/>
    <w:rsid w:val="00143512"/>
    <w:rsid w:val="00144DA1"/>
    <w:rsid w:val="00151BB7"/>
    <w:rsid w:val="00155BA9"/>
    <w:rsid w:val="0016457F"/>
    <w:rsid w:val="00167D3A"/>
    <w:rsid w:val="001723AE"/>
    <w:rsid w:val="001773AD"/>
    <w:rsid w:val="001A1E2C"/>
    <w:rsid w:val="001B72F4"/>
    <w:rsid w:val="001F2716"/>
    <w:rsid w:val="0020133A"/>
    <w:rsid w:val="0020585A"/>
    <w:rsid w:val="00207029"/>
    <w:rsid w:val="00207617"/>
    <w:rsid w:val="00264A24"/>
    <w:rsid w:val="00264A2F"/>
    <w:rsid w:val="00275F0C"/>
    <w:rsid w:val="00283659"/>
    <w:rsid w:val="0029201D"/>
    <w:rsid w:val="002C4E73"/>
    <w:rsid w:val="002D68BF"/>
    <w:rsid w:val="003214DA"/>
    <w:rsid w:val="00336CBF"/>
    <w:rsid w:val="003546C8"/>
    <w:rsid w:val="00381177"/>
    <w:rsid w:val="003A6E6C"/>
    <w:rsid w:val="003A7CF2"/>
    <w:rsid w:val="003B0789"/>
    <w:rsid w:val="003C117E"/>
    <w:rsid w:val="003C5CE5"/>
    <w:rsid w:val="003C6548"/>
    <w:rsid w:val="003E267B"/>
    <w:rsid w:val="003E7CD1"/>
    <w:rsid w:val="00402B9E"/>
    <w:rsid w:val="00423932"/>
    <w:rsid w:val="004249CB"/>
    <w:rsid w:val="00426549"/>
    <w:rsid w:val="0044127D"/>
    <w:rsid w:val="004448DB"/>
    <w:rsid w:val="00446C9A"/>
    <w:rsid w:val="00462D76"/>
    <w:rsid w:val="00474F9A"/>
    <w:rsid w:val="00477193"/>
    <w:rsid w:val="004A0E0A"/>
    <w:rsid w:val="004A1848"/>
    <w:rsid w:val="004A1F1B"/>
    <w:rsid w:val="004C63FB"/>
    <w:rsid w:val="004D045D"/>
    <w:rsid w:val="004D1884"/>
    <w:rsid w:val="004E3BD5"/>
    <w:rsid w:val="00507FEC"/>
    <w:rsid w:val="00510F0E"/>
    <w:rsid w:val="00511891"/>
    <w:rsid w:val="0051790E"/>
    <w:rsid w:val="00521F6E"/>
    <w:rsid w:val="005479E1"/>
    <w:rsid w:val="005570FD"/>
    <w:rsid w:val="005575EA"/>
    <w:rsid w:val="005744A4"/>
    <w:rsid w:val="0057790C"/>
    <w:rsid w:val="0058661C"/>
    <w:rsid w:val="00593795"/>
    <w:rsid w:val="00594638"/>
    <w:rsid w:val="005A4861"/>
    <w:rsid w:val="005A75FF"/>
    <w:rsid w:val="005B7789"/>
    <w:rsid w:val="005D5C72"/>
    <w:rsid w:val="005F20B6"/>
    <w:rsid w:val="00631E16"/>
    <w:rsid w:val="0065582D"/>
    <w:rsid w:val="0065791C"/>
    <w:rsid w:val="006778A4"/>
    <w:rsid w:val="00685525"/>
    <w:rsid w:val="00690B8A"/>
    <w:rsid w:val="00693AEE"/>
    <w:rsid w:val="006C1798"/>
    <w:rsid w:val="006D1DFA"/>
    <w:rsid w:val="006D506B"/>
    <w:rsid w:val="006E3C90"/>
    <w:rsid w:val="006E57E2"/>
    <w:rsid w:val="00704B61"/>
    <w:rsid w:val="007250A7"/>
    <w:rsid w:val="0073517A"/>
    <w:rsid w:val="00741598"/>
    <w:rsid w:val="00742A8D"/>
    <w:rsid w:val="007552A9"/>
    <w:rsid w:val="00761858"/>
    <w:rsid w:val="00767D59"/>
    <w:rsid w:val="007716C3"/>
    <w:rsid w:val="00776E97"/>
    <w:rsid w:val="00780FD7"/>
    <w:rsid w:val="00784A95"/>
    <w:rsid w:val="007912AD"/>
    <w:rsid w:val="00795EF8"/>
    <w:rsid w:val="007A1F28"/>
    <w:rsid w:val="007A393E"/>
    <w:rsid w:val="007A6132"/>
    <w:rsid w:val="007B0824"/>
    <w:rsid w:val="007E01DA"/>
    <w:rsid w:val="007E0B06"/>
    <w:rsid w:val="008116D9"/>
    <w:rsid w:val="008303B8"/>
    <w:rsid w:val="00833DCE"/>
    <w:rsid w:val="00842418"/>
    <w:rsid w:val="00844E62"/>
    <w:rsid w:val="008508AD"/>
    <w:rsid w:val="008639DC"/>
    <w:rsid w:val="00871D34"/>
    <w:rsid w:val="00872944"/>
    <w:rsid w:val="00897D75"/>
    <w:rsid w:val="008B270C"/>
    <w:rsid w:val="008C3D3D"/>
    <w:rsid w:val="008D4131"/>
    <w:rsid w:val="008E29BA"/>
    <w:rsid w:val="008F1932"/>
    <w:rsid w:val="008F1B29"/>
    <w:rsid w:val="008F294D"/>
    <w:rsid w:val="00907CC8"/>
    <w:rsid w:val="00921062"/>
    <w:rsid w:val="0092225E"/>
    <w:rsid w:val="009257F2"/>
    <w:rsid w:val="0093083E"/>
    <w:rsid w:val="00940FE3"/>
    <w:rsid w:val="00966ECF"/>
    <w:rsid w:val="009727A3"/>
    <w:rsid w:val="00987774"/>
    <w:rsid w:val="009A0FDC"/>
    <w:rsid w:val="009A11E8"/>
    <w:rsid w:val="009C1E9D"/>
    <w:rsid w:val="009E4E62"/>
    <w:rsid w:val="009F5220"/>
    <w:rsid w:val="009F5E58"/>
    <w:rsid w:val="009F7C4D"/>
    <w:rsid w:val="00A15234"/>
    <w:rsid w:val="00A15560"/>
    <w:rsid w:val="00A16AE1"/>
    <w:rsid w:val="00A201AB"/>
    <w:rsid w:val="00A31C8B"/>
    <w:rsid w:val="00A406BF"/>
    <w:rsid w:val="00A628DD"/>
    <w:rsid w:val="00A845DC"/>
    <w:rsid w:val="00A84AA8"/>
    <w:rsid w:val="00A97AEE"/>
    <w:rsid w:val="00AC5CF6"/>
    <w:rsid w:val="00B00CC0"/>
    <w:rsid w:val="00B01774"/>
    <w:rsid w:val="00B106DA"/>
    <w:rsid w:val="00B144FA"/>
    <w:rsid w:val="00B16F58"/>
    <w:rsid w:val="00B2528F"/>
    <w:rsid w:val="00B30648"/>
    <w:rsid w:val="00B3524D"/>
    <w:rsid w:val="00B40F69"/>
    <w:rsid w:val="00B46616"/>
    <w:rsid w:val="00B54950"/>
    <w:rsid w:val="00B56714"/>
    <w:rsid w:val="00B610E3"/>
    <w:rsid w:val="00B61205"/>
    <w:rsid w:val="00B617C4"/>
    <w:rsid w:val="00B626FA"/>
    <w:rsid w:val="00B7040A"/>
    <w:rsid w:val="00B96FA0"/>
    <w:rsid w:val="00BA1D45"/>
    <w:rsid w:val="00BD2E2A"/>
    <w:rsid w:val="00BD4196"/>
    <w:rsid w:val="00BD7742"/>
    <w:rsid w:val="00BE6801"/>
    <w:rsid w:val="00BF22CA"/>
    <w:rsid w:val="00C229B7"/>
    <w:rsid w:val="00C26032"/>
    <w:rsid w:val="00C265B0"/>
    <w:rsid w:val="00C321B5"/>
    <w:rsid w:val="00C345E1"/>
    <w:rsid w:val="00C87CE9"/>
    <w:rsid w:val="00C977BA"/>
    <w:rsid w:val="00CB6E35"/>
    <w:rsid w:val="00CD0A38"/>
    <w:rsid w:val="00CE1A46"/>
    <w:rsid w:val="00CF253F"/>
    <w:rsid w:val="00CF56B4"/>
    <w:rsid w:val="00CF6DEE"/>
    <w:rsid w:val="00D10FFB"/>
    <w:rsid w:val="00D20F09"/>
    <w:rsid w:val="00D22636"/>
    <w:rsid w:val="00D36666"/>
    <w:rsid w:val="00D40FD9"/>
    <w:rsid w:val="00D47E30"/>
    <w:rsid w:val="00D53769"/>
    <w:rsid w:val="00D70775"/>
    <w:rsid w:val="00D7086C"/>
    <w:rsid w:val="00D85C13"/>
    <w:rsid w:val="00D91BE3"/>
    <w:rsid w:val="00D94AFC"/>
    <w:rsid w:val="00DB70AE"/>
    <w:rsid w:val="00DB7231"/>
    <w:rsid w:val="00DD5071"/>
    <w:rsid w:val="00DD5C39"/>
    <w:rsid w:val="00DE26AF"/>
    <w:rsid w:val="00DE7DB7"/>
    <w:rsid w:val="00E00A0A"/>
    <w:rsid w:val="00E07624"/>
    <w:rsid w:val="00E07F57"/>
    <w:rsid w:val="00E50BCE"/>
    <w:rsid w:val="00E61292"/>
    <w:rsid w:val="00E76309"/>
    <w:rsid w:val="00E77C4D"/>
    <w:rsid w:val="00E8166A"/>
    <w:rsid w:val="00E81D01"/>
    <w:rsid w:val="00EA1211"/>
    <w:rsid w:val="00EB1147"/>
    <w:rsid w:val="00EB2298"/>
    <w:rsid w:val="00EE45D8"/>
    <w:rsid w:val="00EE5A52"/>
    <w:rsid w:val="00F004CD"/>
    <w:rsid w:val="00F04096"/>
    <w:rsid w:val="00F04195"/>
    <w:rsid w:val="00F13155"/>
    <w:rsid w:val="00F22EDA"/>
    <w:rsid w:val="00F3224D"/>
    <w:rsid w:val="00F33E0E"/>
    <w:rsid w:val="00F5664C"/>
    <w:rsid w:val="00F60D99"/>
    <w:rsid w:val="00FA18D3"/>
    <w:rsid w:val="00FB3B0A"/>
    <w:rsid w:val="00FB7E80"/>
    <w:rsid w:val="00FC202F"/>
    <w:rsid w:val="00FC3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5F21187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1194</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2020-08-07T14:45:00Z</dcterms:created>
  <dcterms:modified xsi:type="dcterms:W3CDTF">2020-08-07T14:45:00Z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