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DB5EBA" w:rsidRDefault="004A183E" w:rsidP="0046338F">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E6DDE" w:rsidRDefault="00D94AFC" w:rsidP="0046338F">
      <w:pPr>
        <w:rPr>
          <w:rFonts w:ascii="Book Antiqua" w:hAnsi="Book Antiqua" w:cs="Arial"/>
          <w:color w:val="000000"/>
        </w:rPr>
      </w:pPr>
    </w:p>
    <w:p w:rsidR="0050388A" w:rsidRPr="00AE6DDE" w:rsidRDefault="0050388A" w:rsidP="0046338F">
      <w:pPr>
        <w:tabs>
          <w:tab w:val="right" w:pos="9720"/>
        </w:tabs>
        <w:rPr>
          <w:rFonts w:ascii="Book Antiqua" w:hAnsi="Book Antiqua" w:cs="Arial"/>
          <w:b/>
          <w:color w:val="000000"/>
        </w:rPr>
      </w:pPr>
      <w:r w:rsidRPr="00AE6DDE">
        <w:rPr>
          <w:rFonts w:ascii="Book Antiqua" w:hAnsi="Book Antiqua" w:cs="Arial"/>
          <w:b/>
          <w:color w:val="000000"/>
        </w:rPr>
        <w:t xml:space="preserve">Upper </w:t>
      </w:r>
      <w:r w:rsidR="00112331">
        <w:rPr>
          <w:rFonts w:ascii="Book Antiqua" w:hAnsi="Book Antiqua" w:cs="Arial"/>
          <w:b/>
          <w:color w:val="000000"/>
        </w:rPr>
        <w:t>Tribunal</w:t>
      </w:r>
      <w:r w:rsidRPr="00AE6DDE">
        <w:rPr>
          <w:rFonts w:ascii="Book Antiqua" w:hAnsi="Book Antiqua" w:cs="Arial"/>
          <w:b/>
          <w:color w:val="000000"/>
        </w:rPr>
        <w:t xml:space="preserve"> </w:t>
      </w:r>
    </w:p>
    <w:p w:rsidR="007B0824" w:rsidRPr="00AE6DDE" w:rsidRDefault="0050388A" w:rsidP="0046338F">
      <w:pPr>
        <w:tabs>
          <w:tab w:val="right" w:pos="9720"/>
        </w:tabs>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91368E" w:rsidRPr="0091368E">
        <w:rPr>
          <w:rFonts w:ascii="Book Antiqua" w:hAnsi="Book Antiqua" w:cs="Arial"/>
          <w:caps/>
          <w:color w:val="000000"/>
        </w:rPr>
        <w:t>PA/08780/2017</w:t>
      </w:r>
      <w:bookmarkEnd w:id="0"/>
    </w:p>
    <w:p w:rsidR="00C345E1" w:rsidRPr="00AE6DDE" w:rsidRDefault="00C345E1" w:rsidP="0046338F">
      <w:pPr>
        <w:jc w:val="center"/>
        <w:rPr>
          <w:rFonts w:ascii="Book Antiqua" w:hAnsi="Book Antiqua" w:cs="Arial"/>
          <w:color w:val="000000"/>
        </w:rPr>
      </w:pPr>
    </w:p>
    <w:p w:rsidR="00C345E1" w:rsidRPr="00AE6DDE" w:rsidRDefault="00C345E1" w:rsidP="0046338F">
      <w:pPr>
        <w:jc w:val="center"/>
        <w:rPr>
          <w:rFonts w:ascii="Book Antiqua" w:hAnsi="Book Antiqua" w:cs="Arial"/>
          <w:color w:val="000000"/>
        </w:rPr>
      </w:pPr>
    </w:p>
    <w:p w:rsidR="00C345E1" w:rsidRPr="00AE6DDE" w:rsidRDefault="00C345E1" w:rsidP="0046338F">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46338F">
      <w:pPr>
        <w:jc w:val="center"/>
        <w:rPr>
          <w:rFonts w:ascii="Book Antiqua" w:hAnsi="Book Antiqua" w:cs="Arial"/>
          <w:b/>
          <w:u w:val="single"/>
        </w:rPr>
      </w:pPr>
    </w:p>
    <w:p w:rsidR="00C345E1" w:rsidRPr="00AE6DDE" w:rsidRDefault="00C345E1" w:rsidP="0046338F">
      <w:pPr>
        <w:jc w:val="center"/>
        <w:rPr>
          <w:rFonts w:ascii="Book Antiqua" w:hAnsi="Book Antiqua" w:cs="Arial"/>
          <w:b/>
          <w:u w:val="single"/>
        </w:rPr>
      </w:pPr>
    </w:p>
    <w:tbl>
      <w:tblPr>
        <w:tblW w:w="0" w:type="auto"/>
        <w:tblLook w:val="01E0" w:firstRow="1" w:lastRow="1" w:firstColumn="1" w:lastColumn="1" w:noHBand="0" w:noVBand="0"/>
      </w:tblPr>
      <w:tblGrid>
        <w:gridCol w:w="4827"/>
        <w:gridCol w:w="4811"/>
      </w:tblGrid>
      <w:tr w:rsidR="00D22636" w:rsidRPr="003E52CC" w:rsidTr="004A183E">
        <w:tc>
          <w:tcPr>
            <w:tcW w:w="4928" w:type="dxa"/>
            <w:shd w:val="clear" w:color="auto" w:fill="auto"/>
          </w:tcPr>
          <w:p w:rsidR="00D22636" w:rsidRDefault="00D22636" w:rsidP="0046338F">
            <w:pPr>
              <w:jc w:val="both"/>
              <w:rPr>
                <w:rFonts w:ascii="Book Antiqua" w:hAnsi="Book Antiqua" w:cs="Arial"/>
                <w:b/>
              </w:rPr>
            </w:pPr>
            <w:r w:rsidRPr="003E52CC">
              <w:rPr>
                <w:rFonts w:ascii="Book Antiqua" w:hAnsi="Book Antiqua" w:cs="Arial"/>
                <w:b/>
              </w:rPr>
              <w:t xml:space="preserve">Heard at </w:t>
            </w:r>
            <w:r w:rsidR="0091368E">
              <w:rPr>
                <w:rFonts w:ascii="Book Antiqua" w:hAnsi="Book Antiqua" w:cs="Arial"/>
                <w:b/>
              </w:rPr>
              <w:t>Bradford</w:t>
            </w:r>
          </w:p>
          <w:p w:rsidR="004A183E" w:rsidRPr="003E52CC" w:rsidRDefault="004A183E" w:rsidP="0046338F">
            <w:pPr>
              <w:jc w:val="both"/>
              <w:rPr>
                <w:rFonts w:ascii="Book Antiqua" w:hAnsi="Book Antiqua" w:cs="Arial"/>
                <w:b/>
              </w:rPr>
            </w:pPr>
            <w:r>
              <w:rPr>
                <w:rFonts w:ascii="Book Antiqua" w:hAnsi="Book Antiqua" w:cs="Arial"/>
                <w:b/>
              </w:rPr>
              <w:t>On 14</w:t>
            </w:r>
            <w:r w:rsidRPr="004A183E">
              <w:rPr>
                <w:rFonts w:ascii="Book Antiqua" w:hAnsi="Book Antiqua" w:cs="Arial"/>
                <w:b/>
                <w:vertAlign w:val="superscript"/>
              </w:rPr>
              <w:t>th</w:t>
            </w:r>
            <w:r>
              <w:rPr>
                <w:rFonts w:ascii="Book Antiqua" w:hAnsi="Book Antiqua" w:cs="Arial"/>
                <w:b/>
              </w:rPr>
              <w:t xml:space="preserve"> June 2018</w:t>
            </w:r>
          </w:p>
        </w:tc>
        <w:tc>
          <w:tcPr>
            <w:tcW w:w="4900" w:type="dxa"/>
            <w:shd w:val="clear" w:color="auto" w:fill="auto"/>
          </w:tcPr>
          <w:p w:rsidR="00D22636" w:rsidRDefault="00847259" w:rsidP="0046338F">
            <w:pPr>
              <w:jc w:val="both"/>
              <w:rPr>
                <w:rFonts w:ascii="Book Antiqua" w:hAnsi="Book Antiqua" w:cs="Arial"/>
                <w:b/>
                <w:color w:val="000000"/>
              </w:rPr>
            </w:pPr>
            <w:r w:rsidRPr="003E52CC">
              <w:rPr>
                <w:rFonts w:ascii="Book Antiqua" w:hAnsi="Book Antiqua" w:cs="Arial"/>
                <w:b/>
                <w:color w:val="000000"/>
              </w:rPr>
              <w:t>Decision &amp; Reasons</w:t>
            </w:r>
            <w:r w:rsidR="00283659" w:rsidRPr="003E52CC">
              <w:rPr>
                <w:rFonts w:ascii="Book Antiqua" w:hAnsi="Book Antiqua" w:cs="Arial"/>
                <w:b/>
                <w:color w:val="000000"/>
              </w:rPr>
              <w:t xml:space="preserve"> Promulgated</w:t>
            </w:r>
          </w:p>
          <w:p w:rsidR="004A183E" w:rsidRPr="003E52CC" w:rsidRDefault="004A183E" w:rsidP="0046338F">
            <w:pPr>
              <w:jc w:val="both"/>
              <w:rPr>
                <w:rFonts w:ascii="Book Antiqua" w:hAnsi="Book Antiqua" w:cs="Arial"/>
                <w:b/>
                <w:color w:val="000000"/>
              </w:rPr>
            </w:pPr>
            <w:r>
              <w:rPr>
                <w:rFonts w:ascii="Book Antiqua" w:hAnsi="Book Antiqua" w:cs="Arial"/>
                <w:b/>
                <w:color w:val="000000"/>
              </w:rPr>
              <w:t>On 25</w:t>
            </w:r>
            <w:r w:rsidRPr="004A183E">
              <w:rPr>
                <w:rFonts w:ascii="Book Antiqua" w:hAnsi="Book Antiqua" w:cs="Arial"/>
                <w:b/>
                <w:color w:val="000000"/>
                <w:vertAlign w:val="superscript"/>
              </w:rPr>
              <w:t>th</w:t>
            </w:r>
            <w:r>
              <w:rPr>
                <w:rFonts w:ascii="Book Antiqua" w:hAnsi="Book Antiqua" w:cs="Arial"/>
                <w:b/>
                <w:color w:val="000000"/>
              </w:rPr>
              <w:t xml:space="preserve"> June 2018</w:t>
            </w:r>
          </w:p>
        </w:tc>
      </w:tr>
      <w:tr w:rsidR="00D22636" w:rsidRPr="003E52CC" w:rsidTr="004A183E">
        <w:tc>
          <w:tcPr>
            <w:tcW w:w="4928" w:type="dxa"/>
            <w:shd w:val="clear" w:color="auto" w:fill="auto"/>
          </w:tcPr>
          <w:p w:rsidR="00D22636" w:rsidRPr="003E52CC" w:rsidRDefault="004A183E" w:rsidP="0046338F">
            <w:pPr>
              <w:jc w:val="both"/>
              <w:rPr>
                <w:rFonts w:ascii="Book Antiqua" w:hAnsi="Book Antiqua" w:cs="Arial"/>
                <w:b/>
              </w:rPr>
            </w:pPr>
            <w:r>
              <w:rPr>
                <w:rFonts w:ascii="Book Antiqua" w:hAnsi="Book Antiqua" w:cs="Arial"/>
                <w:b/>
              </w:rPr>
              <w:t xml:space="preserve">                                                             </w:t>
            </w:r>
          </w:p>
        </w:tc>
        <w:tc>
          <w:tcPr>
            <w:tcW w:w="4900" w:type="dxa"/>
            <w:shd w:val="clear" w:color="auto" w:fill="auto"/>
          </w:tcPr>
          <w:p w:rsidR="00D22636" w:rsidRPr="003E52CC" w:rsidRDefault="00D22636" w:rsidP="0046338F">
            <w:pPr>
              <w:jc w:val="both"/>
              <w:rPr>
                <w:rFonts w:ascii="Book Antiqua" w:hAnsi="Book Antiqua" w:cs="Arial"/>
                <w:b/>
              </w:rPr>
            </w:pPr>
          </w:p>
        </w:tc>
      </w:tr>
      <w:tr w:rsidR="00D22636" w:rsidRPr="003E52CC" w:rsidTr="004A183E">
        <w:tc>
          <w:tcPr>
            <w:tcW w:w="4928" w:type="dxa"/>
            <w:shd w:val="clear" w:color="auto" w:fill="auto"/>
          </w:tcPr>
          <w:p w:rsidR="00D22636" w:rsidRPr="003E52CC" w:rsidRDefault="00D22636" w:rsidP="0046338F">
            <w:pPr>
              <w:jc w:val="both"/>
              <w:rPr>
                <w:rFonts w:ascii="Book Antiqua" w:hAnsi="Book Antiqua" w:cs="Arial"/>
                <w:b/>
              </w:rPr>
            </w:pPr>
          </w:p>
        </w:tc>
        <w:tc>
          <w:tcPr>
            <w:tcW w:w="4900" w:type="dxa"/>
            <w:shd w:val="clear" w:color="auto" w:fill="auto"/>
          </w:tcPr>
          <w:p w:rsidR="00D22636" w:rsidRPr="003E52CC" w:rsidRDefault="00D22636" w:rsidP="0046338F">
            <w:pPr>
              <w:jc w:val="both"/>
              <w:rPr>
                <w:rFonts w:ascii="Book Antiqua" w:hAnsi="Book Antiqua" w:cs="Arial"/>
                <w:b/>
              </w:rPr>
            </w:pPr>
          </w:p>
        </w:tc>
      </w:tr>
    </w:tbl>
    <w:p w:rsidR="00A15234" w:rsidRPr="00AE6DDE" w:rsidRDefault="00A15234" w:rsidP="0046338F">
      <w:pPr>
        <w:jc w:val="center"/>
        <w:rPr>
          <w:rFonts w:ascii="Book Antiqua" w:hAnsi="Book Antiqua" w:cs="Arial"/>
        </w:rPr>
      </w:pPr>
    </w:p>
    <w:p w:rsidR="00A15234" w:rsidRPr="00AE6DDE" w:rsidRDefault="00A15234" w:rsidP="0046338F">
      <w:pPr>
        <w:jc w:val="center"/>
        <w:rPr>
          <w:rFonts w:ascii="Book Antiqua" w:hAnsi="Book Antiqua" w:cs="Arial"/>
        </w:rPr>
      </w:pPr>
    </w:p>
    <w:p w:rsidR="00A15234" w:rsidRPr="00AE6DDE" w:rsidRDefault="00207617" w:rsidP="0046338F">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46338F">
      <w:pPr>
        <w:jc w:val="center"/>
        <w:rPr>
          <w:rFonts w:ascii="Book Antiqua" w:hAnsi="Book Antiqua" w:cs="Arial"/>
          <w:b/>
        </w:rPr>
      </w:pPr>
    </w:p>
    <w:p w:rsidR="00D20757" w:rsidRDefault="00D20757" w:rsidP="0046338F">
      <w:pPr>
        <w:rPr>
          <w:rFonts w:ascii="Book Antiqua" w:hAnsi="Book Antiqua" w:cs="Arial"/>
          <w:b/>
          <w:color w:val="000000"/>
        </w:rPr>
      </w:pPr>
    </w:p>
    <w:p w:rsidR="001B186A" w:rsidRPr="00AE6DDE" w:rsidRDefault="00197947" w:rsidP="0046338F">
      <w:pPr>
        <w:jc w:val="center"/>
        <w:rPr>
          <w:rFonts w:ascii="Book Antiqua" w:hAnsi="Book Antiqua" w:cs="Arial"/>
          <w:b/>
          <w:color w:val="000000"/>
        </w:rPr>
      </w:pPr>
      <w:r>
        <w:rPr>
          <w:rFonts w:ascii="Book Antiqua" w:hAnsi="Book Antiqua" w:cs="Arial"/>
          <w:b/>
          <w:color w:val="000000"/>
        </w:rPr>
        <w:t xml:space="preserve">UPPER </w:t>
      </w:r>
      <w:r w:rsidR="00112331">
        <w:rPr>
          <w:rFonts w:ascii="Book Antiqua" w:hAnsi="Book Antiqua" w:cs="Arial"/>
          <w:b/>
          <w:color w:val="000000"/>
        </w:rPr>
        <w:t>TRIBUNAL</w:t>
      </w:r>
      <w:r>
        <w:rPr>
          <w:rFonts w:ascii="Book Antiqua" w:hAnsi="Book Antiqua" w:cs="Arial"/>
          <w:b/>
          <w:color w:val="000000"/>
        </w:rPr>
        <w:t xml:space="preserve"> JUDGE REEDS</w:t>
      </w:r>
    </w:p>
    <w:p w:rsidR="001B186A" w:rsidRPr="00AE6DDE" w:rsidRDefault="001B186A" w:rsidP="0046338F">
      <w:pPr>
        <w:jc w:val="center"/>
        <w:rPr>
          <w:rFonts w:ascii="Book Antiqua" w:hAnsi="Book Antiqua" w:cs="Arial"/>
          <w:b/>
          <w:color w:val="000000"/>
        </w:rPr>
      </w:pPr>
    </w:p>
    <w:p w:rsidR="00A845DC" w:rsidRPr="00AE6DDE" w:rsidRDefault="00A845DC" w:rsidP="0046338F">
      <w:pPr>
        <w:jc w:val="center"/>
        <w:rPr>
          <w:rFonts w:ascii="Book Antiqua" w:hAnsi="Book Antiqua" w:cs="Arial"/>
          <w:b/>
        </w:rPr>
      </w:pPr>
    </w:p>
    <w:p w:rsidR="00A845DC" w:rsidRPr="00AE6DDE" w:rsidRDefault="00A845DC" w:rsidP="0046338F">
      <w:pPr>
        <w:jc w:val="center"/>
        <w:rPr>
          <w:rFonts w:ascii="Book Antiqua" w:hAnsi="Book Antiqua" w:cs="Arial"/>
          <w:b/>
        </w:rPr>
      </w:pPr>
      <w:r w:rsidRPr="00AE6DDE">
        <w:rPr>
          <w:rFonts w:ascii="Book Antiqua" w:hAnsi="Book Antiqua" w:cs="Arial"/>
          <w:b/>
        </w:rPr>
        <w:t>Between</w:t>
      </w:r>
    </w:p>
    <w:p w:rsidR="00A845DC" w:rsidRPr="00AE6DDE" w:rsidRDefault="00A845DC" w:rsidP="0046338F">
      <w:pPr>
        <w:jc w:val="center"/>
        <w:rPr>
          <w:rFonts w:ascii="Book Antiqua" w:hAnsi="Book Antiqua" w:cs="Arial"/>
          <w:b/>
        </w:rPr>
      </w:pPr>
    </w:p>
    <w:p w:rsidR="00A845DC" w:rsidRDefault="00DB5EBA" w:rsidP="0046338F">
      <w:pPr>
        <w:jc w:val="center"/>
        <w:rPr>
          <w:rFonts w:ascii="Book Antiqua" w:hAnsi="Book Antiqua" w:cs="Arial"/>
          <w:b/>
          <w:caps/>
        </w:rPr>
      </w:pPr>
      <w:r>
        <w:rPr>
          <w:rFonts w:ascii="Book Antiqua" w:hAnsi="Book Antiqua" w:cs="Arial"/>
          <w:b/>
          <w:caps/>
        </w:rPr>
        <w:t>A</w:t>
      </w:r>
      <w:r w:rsidR="008F56F0">
        <w:rPr>
          <w:rFonts w:ascii="Book Antiqua" w:hAnsi="Book Antiqua" w:cs="Arial"/>
          <w:b/>
          <w:caps/>
        </w:rPr>
        <w:t>A</w:t>
      </w:r>
    </w:p>
    <w:p w:rsidR="00847259" w:rsidRPr="00AE6DDE" w:rsidRDefault="00847259" w:rsidP="0046338F">
      <w:pPr>
        <w:jc w:val="center"/>
        <w:rPr>
          <w:rFonts w:ascii="Book Antiqua" w:hAnsi="Book Antiqua" w:cs="Arial"/>
          <w:b/>
          <w:caps/>
        </w:rPr>
      </w:pPr>
      <w:r>
        <w:rPr>
          <w:rFonts w:ascii="Book Antiqua" w:hAnsi="Book Antiqua" w:cs="Arial"/>
          <w:b/>
          <w:caps/>
        </w:rPr>
        <w:t>(anonymity direct</w:t>
      </w:r>
      <w:r w:rsidR="008F56F0">
        <w:rPr>
          <w:rFonts w:ascii="Book Antiqua" w:hAnsi="Book Antiqua" w:cs="Arial"/>
          <w:b/>
          <w:caps/>
        </w:rPr>
        <w:t>ion made</w:t>
      </w:r>
      <w:r>
        <w:rPr>
          <w:rFonts w:ascii="Book Antiqua" w:hAnsi="Book Antiqua" w:cs="Arial"/>
          <w:b/>
          <w:caps/>
        </w:rPr>
        <w:t>)</w:t>
      </w:r>
    </w:p>
    <w:p w:rsidR="00704B61" w:rsidRPr="00AE6DDE" w:rsidRDefault="00704B61" w:rsidP="0046338F">
      <w:pPr>
        <w:jc w:val="center"/>
        <w:rPr>
          <w:rFonts w:ascii="Book Antiqua" w:hAnsi="Book Antiqua" w:cs="Arial"/>
          <w:b/>
        </w:rPr>
      </w:pPr>
    </w:p>
    <w:p w:rsidR="00704B61" w:rsidRPr="00AE6DDE" w:rsidRDefault="00112331" w:rsidP="0046338F">
      <w:pPr>
        <w:jc w:val="right"/>
        <w:rPr>
          <w:rFonts w:ascii="Book Antiqua" w:hAnsi="Book Antiqua" w:cs="Arial"/>
          <w:u w:val="single"/>
        </w:rPr>
      </w:pPr>
      <w:r>
        <w:rPr>
          <w:rFonts w:ascii="Book Antiqua" w:hAnsi="Book Antiqua" w:cs="Arial"/>
          <w:u w:val="single"/>
        </w:rPr>
        <w:t>Appellant</w:t>
      </w:r>
    </w:p>
    <w:p w:rsidR="00704B61" w:rsidRPr="00AE6DDE" w:rsidRDefault="00DD5071" w:rsidP="0046338F">
      <w:pPr>
        <w:jc w:val="center"/>
        <w:rPr>
          <w:rFonts w:ascii="Book Antiqua" w:hAnsi="Book Antiqua" w:cs="Arial"/>
          <w:b/>
        </w:rPr>
      </w:pPr>
      <w:r w:rsidRPr="00AE6DDE">
        <w:rPr>
          <w:rFonts w:ascii="Book Antiqua" w:hAnsi="Book Antiqua" w:cs="Arial"/>
          <w:b/>
        </w:rPr>
        <w:t>and</w:t>
      </w:r>
    </w:p>
    <w:p w:rsidR="00DD5071" w:rsidRPr="00AE6DDE" w:rsidRDefault="00DD5071" w:rsidP="0046338F">
      <w:pPr>
        <w:jc w:val="center"/>
        <w:rPr>
          <w:rFonts w:ascii="Book Antiqua" w:hAnsi="Book Antiqua" w:cs="Arial"/>
          <w:b/>
        </w:rPr>
      </w:pPr>
    </w:p>
    <w:p w:rsidR="00DD5071" w:rsidRPr="00AE6DDE" w:rsidRDefault="00DD5071" w:rsidP="0046338F">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DD5071" w:rsidRPr="00AE6DDE" w:rsidRDefault="00DD5071" w:rsidP="0046338F">
      <w:pPr>
        <w:jc w:val="center"/>
        <w:rPr>
          <w:rFonts w:ascii="Book Antiqua" w:hAnsi="Book Antiqua" w:cs="Arial"/>
          <w:b/>
        </w:rPr>
      </w:pPr>
    </w:p>
    <w:p w:rsidR="00DD5071" w:rsidRPr="00AE6DDE" w:rsidRDefault="00112331" w:rsidP="0046338F">
      <w:pPr>
        <w:jc w:val="right"/>
        <w:rPr>
          <w:rFonts w:ascii="Book Antiqua" w:hAnsi="Book Antiqua" w:cs="Arial"/>
          <w:u w:val="single"/>
        </w:rPr>
      </w:pPr>
      <w:r>
        <w:rPr>
          <w:rFonts w:ascii="Book Antiqua" w:hAnsi="Book Antiqua" w:cs="Arial"/>
          <w:u w:val="single"/>
        </w:rPr>
        <w:t>Respondent</w:t>
      </w:r>
    </w:p>
    <w:p w:rsidR="00DD5071" w:rsidRPr="00AE6DDE" w:rsidRDefault="00DD5071" w:rsidP="0046338F">
      <w:pPr>
        <w:rPr>
          <w:rFonts w:ascii="Book Antiqua" w:hAnsi="Book Antiqua" w:cs="Arial"/>
          <w:u w:val="single"/>
        </w:rPr>
      </w:pPr>
    </w:p>
    <w:p w:rsidR="00DD5071" w:rsidRPr="00AE6DDE" w:rsidRDefault="00DD5071" w:rsidP="0046338F">
      <w:pPr>
        <w:rPr>
          <w:rFonts w:ascii="Book Antiqua" w:hAnsi="Book Antiqua" w:cs="Arial"/>
          <w:u w:val="single"/>
        </w:rPr>
      </w:pPr>
    </w:p>
    <w:p w:rsidR="00DD5071" w:rsidRPr="00AE6DDE" w:rsidRDefault="00DE7DB7" w:rsidP="0046338F">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46338F">
      <w:pPr>
        <w:rPr>
          <w:rFonts w:ascii="Book Antiqua" w:hAnsi="Book Antiqua" w:cs="Arial"/>
        </w:rPr>
      </w:pPr>
    </w:p>
    <w:p w:rsidR="00DE7DB7" w:rsidRPr="00BA5249" w:rsidRDefault="00DE7DB7" w:rsidP="0046338F">
      <w:pPr>
        <w:tabs>
          <w:tab w:val="left" w:pos="2520"/>
        </w:tabs>
        <w:rPr>
          <w:rFonts w:ascii="Book Antiqua" w:hAnsi="Book Antiqua" w:cs="Arial"/>
        </w:rPr>
      </w:pPr>
      <w:r w:rsidRPr="00BA5249">
        <w:rPr>
          <w:rFonts w:ascii="Book Antiqua" w:hAnsi="Book Antiqua" w:cs="Arial"/>
        </w:rPr>
        <w:t xml:space="preserve">For the </w:t>
      </w:r>
      <w:r w:rsidR="00112331">
        <w:rPr>
          <w:rFonts w:ascii="Book Antiqua" w:hAnsi="Book Antiqua" w:cs="Arial"/>
        </w:rPr>
        <w:t>Appellant</w:t>
      </w:r>
      <w:r w:rsidRPr="00BA5249">
        <w:rPr>
          <w:rFonts w:ascii="Book Antiqua" w:hAnsi="Book Antiqua" w:cs="Arial"/>
        </w:rPr>
        <w:t>:</w:t>
      </w:r>
      <w:r w:rsidRPr="00BA5249">
        <w:rPr>
          <w:rFonts w:ascii="Book Antiqua" w:hAnsi="Book Antiqua" w:cs="Arial"/>
        </w:rPr>
        <w:tab/>
      </w:r>
      <w:r w:rsidR="00DB5EBA" w:rsidRPr="00BA5249">
        <w:rPr>
          <w:rFonts w:ascii="Book Antiqua" w:hAnsi="Book Antiqua" w:cs="Arial"/>
        </w:rPr>
        <w:t xml:space="preserve">Mr Cole, </w:t>
      </w:r>
      <w:r w:rsidR="00C33667" w:rsidRPr="00BA5249">
        <w:rPr>
          <w:rFonts w:ascii="Book Antiqua" w:hAnsi="Book Antiqua" w:cs="Arial"/>
        </w:rPr>
        <w:t xml:space="preserve">instructed on behalf of the </w:t>
      </w:r>
      <w:r w:rsidR="00112331">
        <w:rPr>
          <w:rFonts w:ascii="Book Antiqua" w:hAnsi="Book Antiqua" w:cs="Arial"/>
        </w:rPr>
        <w:t>Appellant</w:t>
      </w:r>
    </w:p>
    <w:p w:rsidR="00DE7DB7" w:rsidRPr="00BA5249" w:rsidRDefault="00DE7DB7" w:rsidP="0046338F">
      <w:pPr>
        <w:tabs>
          <w:tab w:val="left" w:pos="2520"/>
        </w:tabs>
        <w:rPr>
          <w:rFonts w:ascii="Book Antiqua" w:hAnsi="Book Antiqua" w:cs="Arial"/>
        </w:rPr>
      </w:pPr>
      <w:r w:rsidRPr="00BA5249">
        <w:rPr>
          <w:rFonts w:ascii="Book Antiqua" w:hAnsi="Book Antiqua" w:cs="Arial"/>
        </w:rPr>
        <w:t xml:space="preserve">For the </w:t>
      </w:r>
      <w:r w:rsidR="00112331">
        <w:rPr>
          <w:rFonts w:ascii="Book Antiqua" w:hAnsi="Book Antiqua" w:cs="Arial"/>
        </w:rPr>
        <w:t>Respondent</w:t>
      </w:r>
      <w:r w:rsidRPr="00BA5249">
        <w:rPr>
          <w:rFonts w:ascii="Book Antiqua" w:hAnsi="Book Antiqua" w:cs="Arial"/>
        </w:rPr>
        <w:t>:</w:t>
      </w:r>
      <w:r w:rsidRPr="00BA5249">
        <w:rPr>
          <w:rFonts w:ascii="Book Antiqua" w:hAnsi="Book Antiqua" w:cs="Arial"/>
        </w:rPr>
        <w:tab/>
      </w:r>
      <w:r w:rsidR="00DB5EBA" w:rsidRPr="00BA5249">
        <w:rPr>
          <w:rFonts w:ascii="Book Antiqua" w:hAnsi="Book Antiqua" w:cs="Arial"/>
        </w:rPr>
        <w:t xml:space="preserve">Mr </w:t>
      </w:r>
      <w:proofErr w:type="spellStart"/>
      <w:r w:rsidR="00DB5EBA" w:rsidRPr="00BA5249">
        <w:rPr>
          <w:rFonts w:ascii="Book Antiqua" w:hAnsi="Book Antiqua" w:cs="Arial"/>
        </w:rPr>
        <w:t>Diwnycz</w:t>
      </w:r>
      <w:proofErr w:type="spellEnd"/>
      <w:r w:rsidR="00C33667" w:rsidRPr="00BA5249">
        <w:rPr>
          <w:rFonts w:ascii="Book Antiqua" w:hAnsi="Book Antiqua" w:cs="Arial"/>
        </w:rPr>
        <w:t>, Senior Presenting Officer</w:t>
      </w:r>
    </w:p>
    <w:p w:rsidR="00DE7DB7" w:rsidRPr="00BA5249" w:rsidRDefault="00DE7DB7" w:rsidP="0046338F">
      <w:pPr>
        <w:jc w:val="center"/>
        <w:rPr>
          <w:rFonts w:ascii="Book Antiqua" w:hAnsi="Book Antiqua" w:cs="Arial"/>
        </w:rPr>
      </w:pPr>
    </w:p>
    <w:p w:rsidR="00DE7DB7" w:rsidRPr="00BA5249" w:rsidRDefault="00DE7DB7" w:rsidP="0046338F">
      <w:pPr>
        <w:jc w:val="center"/>
        <w:rPr>
          <w:rFonts w:ascii="Book Antiqua" w:hAnsi="Book Antiqua" w:cs="Arial"/>
        </w:rPr>
      </w:pPr>
    </w:p>
    <w:p w:rsidR="00402B9E" w:rsidRPr="00BA5249" w:rsidRDefault="00847259" w:rsidP="0046338F">
      <w:pPr>
        <w:jc w:val="center"/>
        <w:rPr>
          <w:rFonts w:ascii="Book Antiqua" w:hAnsi="Book Antiqua" w:cs="Arial"/>
        </w:rPr>
      </w:pPr>
      <w:r w:rsidRPr="00BA5249">
        <w:rPr>
          <w:rFonts w:ascii="Book Antiqua" w:hAnsi="Book Antiqua" w:cs="Arial"/>
          <w:b/>
          <w:u w:val="single"/>
        </w:rPr>
        <w:t>DECISION</w:t>
      </w:r>
      <w:r w:rsidR="00402B9E" w:rsidRPr="00BA5249">
        <w:rPr>
          <w:rFonts w:ascii="Book Antiqua" w:hAnsi="Book Antiqua" w:cs="Arial"/>
          <w:b/>
          <w:u w:val="single"/>
        </w:rPr>
        <w:t xml:space="preserve"> AND REASONS</w:t>
      </w:r>
    </w:p>
    <w:p w:rsidR="00402B9E" w:rsidRPr="00BA5249" w:rsidRDefault="00402B9E" w:rsidP="00BA5249">
      <w:pPr>
        <w:spacing w:line="360" w:lineRule="auto"/>
        <w:jc w:val="both"/>
        <w:rPr>
          <w:rFonts w:ascii="Book Antiqua" w:hAnsi="Book Antiqua" w:cs="Arial"/>
        </w:rPr>
      </w:pPr>
    </w:p>
    <w:p w:rsidR="00DB5EBA" w:rsidRPr="00BA5249" w:rsidRDefault="000E7724" w:rsidP="00BA5249">
      <w:pPr>
        <w:numPr>
          <w:ilvl w:val="0"/>
          <w:numId w:val="1"/>
        </w:numPr>
        <w:spacing w:before="240" w:line="360" w:lineRule="auto"/>
        <w:jc w:val="both"/>
        <w:rPr>
          <w:rFonts w:ascii="Book Antiqua" w:hAnsi="Book Antiqua" w:cs="Arial"/>
        </w:rPr>
      </w:pPr>
      <w:r w:rsidRPr="00BA5249">
        <w:rPr>
          <w:rFonts w:ascii="Book Antiqua" w:hAnsi="Book Antiqua" w:cs="Arial"/>
        </w:rPr>
        <w:lastRenderedPageBreak/>
        <w:t xml:space="preserve">The </w:t>
      </w:r>
      <w:r w:rsidR="00112331">
        <w:rPr>
          <w:rFonts w:ascii="Book Antiqua" w:hAnsi="Book Antiqua" w:cs="Arial"/>
        </w:rPr>
        <w:t>Appellant</w:t>
      </w:r>
      <w:r w:rsidRPr="00BA5249">
        <w:rPr>
          <w:rFonts w:ascii="Book Antiqua" w:hAnsi="Book Antiqua" w:cs="Arial"/>
        </w:rPr>
        <w:t xml:space="preserve"> is a national of Iraq.</w:t>
      </w:r>
    </w:p>
    <w:p w:rsidR="00E917CD" w:rsidRPr="00BA5249" w:rsidRDefault="00DB5EBA" w:rsidP="00BA5249">
      <w:pPr>
        <w:numPr>
          <w:ilvl w:val="0"/>
          <w:numId w:val="1"/>
        </w:numPr>
        <w:spacing w:before="240" w:line="360" w:lineRule="auto"/>
        <w:jc w:val="both"/>
        <w:rPr>
          <w:rFonts w:ascii="Book Antiqua" w:hAnsi="Book Antiqua" w:cs="Arial"/>
        </w:rPr>
      </w:pPr>
      <w:r w:rsidRPr="00BA5249">
        <w:rPr>
          <w:rFonts w:ascii="Book Antiqua" w:hAnsi="Book Antiqua" w:cs="Arial"/>
        </w:rPr>
        <w:t>I</w:t>
      </w:r>
      <w:r w:rsidR="00E917CD" w:rsidRPr="00BA5249">
        <w:rPr>
          <w:rFonts w:ascii="Book Antiqua" w:hAnsi="Book Antiqua" w:cs="Arial"/>
        </w:rPr>
        <w:t xml:space="preserve"> make a direction regarding anonymity under Rule 14 of the </w:t>
      </w:r>
      <w:r w:rsidR="00112331">
        <w:rPr>
          <w:rFonts w:ascii="Book Antiqua" w:hAnsi="Book Antiqua" w:cs="Arial"/>
        </w:rPr>
        <w:t>Tribunal</w:t>
      </w:r>
      <w:r w:rsidR="00E917CD" w:rsidRPr="00BA5249">
        <w:rPr>
          <w:rFonts w:ascii="Book Antiqua" w:hAnsi="Book Antiqua" w:cs="Arial"/>
        </w:rPr>
        <w:t xml:space="preserve"> Procedure (Upper </w:t>
      </w:r>
      <w:r w:rsidR="00112331">
        <w:rPr>
          <w:rFonts w:ascii="Book Antiqua" w:hAnsi="Book Antiqua" w:cs="Arial"/>
        </w:rPr>
        <w:t>Tribunal</w:t>
      </w:r>
      <w:r w:rsidR="00E917CD" w:rsidRPr="00BA5249">
        <w:rPr>
          <w:rFonts w:ascii="Book Antiqua" w:hAnsi="Book Antiqua" w:cs="Arial"/>
        </w:rPr>
        <w:t xml:space="preserve"> Rules) Rules 2008.  Unless and until a </w:t>
      </w:r>
      <w:r w:rsidR="00112331">
        <w:rPr>
          <w:rFonts w:ascii="Book Antiqua" w:hAnsi="Book Antiqua" w:cs="Arial"/>
        </w:rPr>
        <w:t>Tribunal</w:t>
      </w:r>
      <w:r w:rsidR="00E917CD" w:rsidRPr="00BA5249">
        <w:rPr>
          <w:rFonts w:ascii="Book Antiqua" w:hAnsi="Book Antiqua" w:cs="Arial"/>
        </w:rPr>
        <w:t xml:space="preserve"> or court directs otherwise the </w:t>
      </w:r>
      <w:r w:rsidR="00112331">
        <w:rPr>
          <w:rFonts w:ascii="Book Antiqua" w:hAnsi="Book Antiqua" w:cs="Arial"/>
        </w:rPr>
        <w:t>Appellant</w:t>
      </w:r>
      <w:r w:rsidR="00E917CD" w:rsidRPr="00BA5249">
        <w:rPr>
          <w:rFonts w:ascii="Book Antiqua" w:hAnsi="Book Antiqua" w:cs="Arial"/>
        </w:rPr>
        <w:t xml:space="preserve"> is granted anonymity.  No report of these proceedings shall directly or indirectly identify him. This direction applies both to the </w:t>
      </w:r>
      <w:r w:rsidR="00112331">
        <w:rPr>
          <w:rFonts w:ascii="Book Antiqua" w:hAnsi="Book Antiqua" w:cs="Arial"/>
        </w:rPr>
        <w:t>Appellant</w:t>
      </w:r>
      <w:r w:rsidR="00E917CD" w:rsidRPr="00BA5249">
        <w:rPr>
          <w:rFonts w:ascii="Book Antiqua" w:hAnsi="Book Antiqua" w:cs="Arial"/>
        </w:rPr>
        <w:t xml:space="preserve"> and to the </w:t>
      </w:r>
      <w:r w:rsidR="00112331">
        <w:rPr>
          <w:rFonts w:ascii="Book Antiqua" w:hAnsi="Book Antiqua" w:cs="Arial"/>
        </w:rPr>
        <w:t>Respondent</w:t>
      </w:r>
      <w:r w:rsidR="00E917CD" w:rsidRPr="00BA5249">
        <w:rPr>
          <w:rFonts w:ascii="Book Antiqua" w:hAnsi="Book Antiqua" w:cs="Arial"/>
        </w:rPr>
        <w:t>.  Failure to comply with this direction could lead to contempt of court proceedings.</w:t>
      </w:r>
      <w:r w:rsidR="00E917CD" w:rsidRPr="00BA5249">
        <w:rPr>
          <w:rFonts w:ascii="Book Antiqua" w:hAnsi="Book Antiqua" w:cs="Arial"/>
          <w:b/>
        </w:rPr>
        <w:t xml:space="preserve"> </w:t>
      </w:r>
    </w:p>
    <w:p w:rsidR="000E7724" w:rsidRPr="00BA5249" w:rsidRDefault="000E7724"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The </w:t>
      </w:r>
      <w:r w:rsidR="00112331">
        <w:rPr>
          <w:rFonts w:ascii="Book Antiqua" w:hAnsi="Book Antiqua" w:cs="Arial"/>
        </w:rPr>
        <w:t>Appellant</w:t>
      </w:r>
      <w:r w:rsidRPr="00BA5249">
        <w:rPr>
          <w:rFonts w:ascii="Book Antiqua" w:hAnsi="Book Antiqua" w:cs="Arial"/>
        </w:rPr>
        <w:t xml:space="preserve"> with permission, appeals against the decision of the First-tier </w:t>
      </w:r>
      <w:r w:rsidR="00112331">
        <w:rPr>
          <w:rFonts w:ascii="Book Antiqua" w:hAnsi="Book Antiqua" w:cs="Arial"/>
        </w:rPr>
        <w:t>Tribunal</w:t>
      </w:r>
      <w:r w:rsidRPr="00BA5249">
        <w:rPr>
          <w:rFonts w:ascii="Book Antiqua" w:hAnsi="Book Antiqua" w:cs="Arial"/>
        </w:rPr>
        <w:t xml:space="preserve">, who, in a determination promulgated on the </w:t>
      </w:r>
      <w:r w:rsidR="00DB5EBA" w:rsidRPr="00BA5249">
        <w:rPr>
          <w:rFonts w:ascii="Book Antiqua" w:hAnsi="Book Antiqua" w:cs="Arial"/>
        </w:rPr>
        <w:t>2</w:t>
      </w:r>
      <w:r w:rsidR="00DB5EBA" w:rsidRPr="00BA5249">
        <w:rPr>
          <w:rFonts w:ascii="Book Antiqua" w:hAnsi="Book Antiqua" w:cs="Arial"/>
          <w:vertAlign w:val="superscript"/>
        </w:rPr>
        <w:t>nd</w:t>
      </w:r>
      <w:r w:rsidR="00DB5EBA" w:rsidRPr="00BA5249">
        <w:rPr>
          <w:rFonts w:ascii="Book Antiqua" w:hAnsi="Book Antiqua" w:cs="Arial"/>
        </w:rPr>
        <w:t xml:space="preserve"> November</w:t>
      </w:r>
      <w:r w:rsidRPr="00BA5249">
        <w:rPr>
          <w:rFonts w:ascii="Book Antiqua" w:hAnsi="Book Antiqua" w:cs="Arial"/>
        </w:rPr>
        <w:t xml:space="preserve"> 2017, dismissed his claim for protection. </w:t>
      </w:r>
    </w:p>
    <w:p w:rsidR="004F5F06" w:rsidRPr="00BA5249" w:rsidRDefault="004F5F06"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The background to the </w:t>
      </w:r>
      <w:r w:rsidR="00112331">
        <w:rPr>
          <w:rFonts w:ascii="Book Antiqua" w:hAnsi="Book Antiqua" w:cs="Arial"/>
        </w:rPr>
        <w:t>Appellant’s</w:t>
      </w:r>
      <w:r w:rsidRPr="00BA5249">
        <w:rPr>
          <w:rFonts w:ascii="Book Antiqua" w:hAnsi="Book Antiqua" w:cs="Arial"/>
        </w:rPr>
        <w:t xml:space="preserve"> claim is set out in the determination at paragraphs 1 – 4 and in the decision letter of the Secretary of State issued on 25 August 2017. The </w:t>
      </w:r>
      <w:r w:rsidR="00112331">
        <w:rPr>
          <w:rFonts w:ascii="Book Antiqua" w:hAnsi="Book Antiqua" w:cs="Arial"/>
        </w:rPr>
        <w:t>Appellant</w:t>
      </w:r>
      <w:r w:rsidRPr="00BA5249">
        <w:rPr>
          <w:rFonts w:ascii="Book Antiqua" w:hAnsi="Book Antiqua" w:cs="Arial"/>
        </w:rPr>
        <w:t xml:space="preserve"> claimed that he was beaten and arrested by a militia in his home area ap</w:t>
      </w:r>
      <w:r w:rsidR="00112331">
        <w:rPr>
          <w:rFonts w:ascii="Book Antiqua" w:hAnsi="Book Antiqua" w:cs="Arial"/>
        </w:rPr>
        <w:t>proximately one year before ISI</w:t>
      </w:r>
      <w:r w:rsidRPr="00BA5249">
        <w:rPr>
          <w:rFonts w:ascii="Book Antiqua" w:hAnsi="Book Antiqua" w:cs="Arial"/>
        </w:rPr>
        <w:t xml:space="preserve">S came to his village. The </w:t>
      </w:r>
      <w:r w:rsidR="00112331">
        <w:rPr>
          <w:rFonts w:ascii="Book Antiqua" w:hAnsi="Book Antiqua" w:cs="Arial"/>
        </w:rPr>
        <w:t>Appellant</w:t>
      </w:r>
      <w:r w:rsidRPr="00BA5249">
        <w:rPr>
          <w:rFonts w:ascii="Book Antiqua" w:hAnsi="Book Antiqua" w:cs="Arial"/>
        </w:rPr>
        <w:t xml:space="preserve"> also feared that he would be persecuted as a Sunni Muslim. It was the </w:t>
      </w:r>
      <w:r w:rsidR="00112331">
        <w:rPr>
          <w:rFonts w:ascii="Book Antiqua" w:hAnsi="Book Antiqua" w:cs="Arial"/>
        </w:rPr>
        <w:t>Appellant’s case that his parents were killed by ISI</w:t>
      </w:r>
      <w:r w:rsidRPr="00BA5249">
        <w:rPr>
          <w:rFonts w:ascii="Book Antiqua" w:hAnsi="Book Antiqua" w:cs="Arial"/>
        </w:rPr>
        <w:t xml:space="preserve">S when they attacked his home area. The </w:t>
      </w:r>
      <w:r w:rsidR="00112331">
        <w:rPr>
          <w:rFonts w:ascii="Book Antiqua" w:hAnsi="Book Antiqua" w:cs="Arial"/>
        </w:rPr>
        <w:t>Appellant</w:t>
      </w:r>
      <w:r w:rsidRPr="00BA5249">
        <w:rPr>
          <w:rFonts w:ascii="Book Antiqua" w:hAnsi="Book Antiqua" w:cs="Arial"/>
        </w:rPr>
        <w:t xml:space="preserve"> left Iraq and having travelled through a number of countries he entered the United Kingdom. He claimed asylum on 5 October 2015.</w:t>
      </w:r>
    </w:p>
    <w:p w:rsidR="00811038" w:rsidRPr="00BA5249" w:rsidRDefault="004F5F06"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In a decision letter dated 25 August 2017 the </w:t>
      </w:r>
      <w:r w:rsidR="00112331">
        <w:rPr>
          <w:rFonts w:ascii="Book Antiqua" w:hAnsi="Book Antiqua" w:cs="Arial"/>
        </w:rPr>
        <w:t>Respondent</w:t>
      </w:r>
      <w:r w:rsidRPr="00BA5249">
        <w:rPr>
          <w:rFonts w:ascii="Book Antiqua" w:hAnsi="Book Antiqua" w:cs="Arial"/>
        </w:rPr>
        <w:t xml:space="preserve"> refused his claim for asylum. It was accepted that he was a national of Iraq but his claim to have been arrested and beaten by the militia was rejected nor was it accepted that his </w:t>
      </w:r>
      <w:r w:rsidR="00112331">
        <w:rPr>
          <w:rFonts w:ascii="Book Antiqua" w:hAnsi="Book Antiqua" w:cs="Arial"/>
        </w:rPr>
        <w:t>home was destroyed or his parents killed by ISI</w:t>
      </w:r>
      <w:r w:rsidRPr="00BA5249">
        <w:rPr>
          <w:rFonts w:ascii="Book Antiqua" w:hAnsi="Book Antiqua" w:cs="Arial"/>
        </w:rPr>
        <w:t>S. The Secretary of State considered that in the alternative he could internally relocate to a different part of Iraq and consideration was given to whether he was able to relocate to the Kurdish region of Ir</w:t>
      </w:r>
      <w:r w:rsidR="00112331">
        <w:rPr>
          <w:rFonts w:ascii="Book Antiqua" w:hAnsi="Book Antiqua" w:cs="Arial"/>
        </w:rPr>
        <w:t>aq (“IKR”</w:t>
      </w:r>
      <w:r w:rsidRPr="00BA5249">
        <w:rPr>
          <w:rFonts w:ascii="Book Antiqua" w:hAnsi="Book Antiqua" w:cs="Arial"/>
        </w:rPr>
        <w:t xml:space="preserve">) applying the country guidance case of </w:t>
      </w:r>
      <w:r w:rsidRPr="00112331">
        <w:rPr>
          <w:rFonts w:ascii="Book Antiqua" w:hAnsi="Book Antiqua" w:cs="Arial"/>
          <w:i/>
        </w:rPr>
        <w:t>AA (Article 15 (c) (Rev 2) [</w:t>
      </w:r>
      <w:r w:rsidRPr="00BA5249">
        <w:rPr>
          <w:rFonts w:ascii="Book Antiqua" w:hAnsi="Book Antiqua" w:cs="Arial"/>
        </w:rPr>
        <w:t xml:space="preserve">2015] UKUT 544 and the Court of Appeal’s decision </w:t>
      </w:r>
      <w:r w:rsidR="00112331" w:rsidRPr="00BA5249">
        <w:rPr>
          <w:rFonts w:ascii="Book Antiqua" w:hAnsi="Book Antiqua" w:cs="Arial"/>
        </w:rPr>
        <w:t xml:space="preserve">in </w:t>
      </w:r>
      <w:r w:rsidR="00112331" w:rsidRPr="00112331">
        <w:rPr>
          <w:rFonts w:ascii="Book Antiqua" w:hAnsi="Book Antiqua" w:cs="Arial"/>
          <w:i/>
        </w:rPr>
        <w:t>AA</w:t>
      </w:r>
      <w:r w:rsidRPr="00112331">
        <w:rPr>
          <w:rFonts w:ascii="Book Antiqua" w:hAnsi="Book Antiqua" w:cs="Arial"/>
          <w:i/>
        </w:rPr>
        <w:t xml:space="preserve"> (Iraq</w:t>
      </w:r>
      <w:r w:rsidR="00112331" w:rsidRPr="00112331">
        <w:rPr>
          <w:rFonts w:ascii="Book Antiqua" w:hAnsi="Book Antiqua" w:cs="Arial"/>
          <w:i/>
        </w:rPr>
        <w:t xml:space="preserve">) </w:t>
      </w:r>
      <w:r w:rsidR="00112331" w:rsidRPr="00BA5249">
        <w:rPr>
          <w:rFonts w:ascii="Book Antiqua" w:hAnsi="Book Antiqua" w:cs="Arial"/>
        </w:rPr>
        <w:t>[</w:t>
      </w:r>
      <w:r w:rsidRPr="00BA5249">
        <w:rPr>
          <w:rFonts w:ascii="Book Antiqua" w:hAnsi="Book Antiqua" w:cs="Arial"/>
        </w:rPr>
        <w:t>2017]</w:t>
      </w:r>
      <w:r w:rsidR="00112331">
        <w:rPr>
          <w:rFonts w:ascii="Book Antiqua" w:hAnsi="Book Antiqua" w:cs="Arial"/>
        </w:rPr>
        <w:t xml:space="preserve"> EWCA </w:t>
      </w:r>
      <w:proofErr w:type="spellStart"/>
      <w:r w:rsidR="00112331">
        <w:rPr>
          <w:rFonts w:ascii="Book Antiqua" w:hAnsi="Book Antiqua" w:cs="Arial"/>
        </w:rPr>
        <w:t>Civ</w:t>
      </w:r>
      <w:proofErr w:type="spellEnd"/>
      <w:r w:rsidR="00112331">
        <w:rPr>
          <w:rFonts w:ascii="Book Antiqua" w:hAnsi="Book Antiqua" w:cs="Arial"/>
        </w:rPr>
        <w:t xml:space="preserve"> 944.</w:t>
      </w:r>
    </w:p>
    <w:p w:rsidR="00811038" w:rsidRPr="00BA5249" w:rsidRDefault="00811038" w:rsidP="00BA5249">
      <w:pPr>
        <w:numPr>
          <w:ilvl w:val="0"/>
          <w:numId w:val="2"/>
        </w:numPr>
        <w:spacing w:before="240" w:line="360" w:lineRule="auto"/>
        <w:jc w:val="both"/>
        <w:rPr>
          <w:rFonts w:ascii="Book Antiqua" w:hAnsi="Book Antiqua" w:cs="Arial"/>
        </w:rPr>
      </w:pPr>
      <w:r w:rsidRPr="00BA5249">
        <w:rPr>
          <w:rFonts w:ascii="Book Antiqua" w:hAnsi="Book Antiqua" w:cs="Arial"/>
        </w:rPr>
        <w:t>The appeal against</w:t>
      </w:r>
      <w:r w:rsidR="00112331">
        <w:rPr>
          <w:rFonts w:ascii="Book Antiqua" w:hAnsi="Book Antiqua" w:cs="Arial"/>
        </w:rPr>
        <w:t xml:space="preserve"> that decision came before the F</w:t>
      </w:r>
      <w:r w:rsidRPr="00BA5249">
        <w:rPr>
          <w:rFonts w:ascii="Book Antiqua" w:hAnsi="Book Antiqua" w:cs="Arial"/>
        </w:rPr>
        <w:t xml:space="preserve">irst-tier </w:t>
      </w:r>
      <w:r w:rsidR="00112331">
        <w:rPr>
          <w:rFonts w:ascii="Book Antiqua" w:hAnsi="Book Antiqua" w:cs="Arial"/>
        </w:rPr>
        <w:t>Tribunal</w:t>
      </w:r>
      <w:r w:rsidRPr="00BA5249">
        <w:rPr>
          <w:rFonts w:ascii="Book Antiqua" w:hAnsi="Book Antiqua" w:cs="Arial"/>
        </w:rPr>
        <w:t xml:space="preserve"> on 9 October 2017 and in the decision promulgated on 2 November 2017 his appeal was dismissed. </w:t>
      </w:r>
      <w:r w:rsidRPr="00BA5249">
        <w:rPr>
          <w:rFonts w:ascii="Book Antiqua" w:hAnsi="Book Antiqua" w:cs="Arial"/>
        </w:rPr>
        <w:lastRenderedPageBreak/>
        <w:t xml:space="preserve">Permission to appeal that decision was sought and on 9 December 2017 First-tier </w:t>
      </w:r>
      <w:r w:rsidR="00112331">
        <w:rPr>
          <w:rFonts w:ascii="Book Antiqua" w:hAnsi="Book Antiqua" w:cs="Arial"/>
        </w:rPr>
        <w:t>Tribunal</w:t>
      </w:r>
      <w:r w:rsidRPr="00BA5249">
        <w:rPr>
          <w:rFonts w:ascii="Book Antiqua" w:hAnsi="Book Antiqua" w:cs="Arial"/>
        </w:rPr>
        <w:t xml:space="preserve"> Judge </w:t>
      </w:r>
      <w:proofErr w:type="spellStart"/>
      <w:r w:rsidRPr="00BA5249">
        <w:rPr>
          <w:rFonts w:ascii="Book Antiqua" w:hAnsi="Book Antiqua" w:cs="Arial"/>
        </w:rPr>
        <w:t>Alis</w:t>
      </w:r>
      <w:proofErr w:type="spellEnd"/>
      <w:r w:rsidRPr="00BA5249">
        <w:rPr>
          <w:rFonts w:ascii="Book Antiqua" w:hAnsi="Book Antiqua" w:cs="Arial"/>
        </w:rPr>
        <w:t xml:space="preserve"> granted permission.</w:t>
      </w:r>
    </w:p>
    <w:p w:rsidR="004F5F06" w:rsidRPr="00BA5249" w:rsidRDefault="00811038"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At the hearing before the Upper </w:t>
      </w:r>
      <w:r w:rsidR="00112331">
        <w:rPr>
          <w:rFonts w:ascii="Book Antiqua" w:hAnsi="Book Antiqua" w:cs="Arial"/>
        </w:rPr>
        <w:t>Tribunal</w:t>
      </w:r>
      <w:r w:rsidRPr="00BA5249">
        <w:rPr>
          <w:rFonts w:ascii="Book Antiqua" w:hAnsi="Book Antiqua" w:cs="Arial"/>
        </w:rPr>
        <w:t xml:space="preserve"> Mr Cole in behalf of the </w:t>
      </w:r>
      <w:r w:rsidR="00112331">
        <w:rPr>
          <w:rFonts w:ascii="Book Antiqua" w:hAnsi="Book Antiqua" w:cs="Arial"/>
        </w:rPr>
        <w:t>Appellant</w:t>
      </w:r>
      <w:r w:rsidRPr="00BA5249">
        <w:rPr>
          <w:rFonts w:ascii="Book Antiqua" w:hAnsi="Book Antiqua" w:cs="Arial"/>
        </w:rPr>
        <w:t xml:space="preserve"> relied on two principal submissions</w:t>
      </w:r>
      <w:r w:rsidR="00112331">
        <w:rPr>
          <w:rFonts w:ascii="Book Antiqua" w:hAnsi="Book Antiqua" w:cs="Arial"/>
        </w:rPr>
        <w:t xml:space="preserve"> </w:t>
      </w:r>
      <w:r w:rsidR="00316346">
        <w:rPr>
          <w:rFonts w:ascii="Book Antiqua" w:hAnsi="Book Antiqua" w:cs="Arial"/>
        </w:rPr>
        <w:t>only;</w:t>
      </w:r>
      <w:r w:rsidRPr="00BA5249">
        <w:rPr>
          <w:rFonts w:ascii="Book Antiqua" w:hAnsi="Book Antiqua" w:cs="Arial"/>
        </w:rPr>
        <w:t xml:space="preserve"> firstly, whether the judge erred in law by departing from the country guidance case in </w:t>
      </w:r>
      <w:r w:rsidRPr="00112331">
        <w:rPr>
          <w:rFonts w:ascii="Book Antiqua" w:hAnsi="Book Antiqua" w:cs="Arial"/>
          <w:i/>
        </w:rPr>
        <w:t>AA(Iraq)</w:t>
      </w:r>
      <w:r w:rsidRPr="00BA5249">
        <w:rPr>
          <w:rFonts w:ascii="Book Antiqua" w:hAnsi="Book Antiqua" w:cs="Arial"/>
        </w:rPr>
        <w:t xml:space="preserve"> and reaching the conclusion that the </w:t>
      </w:r>
      <w:r w:rsidR="00112331">
        <w:rPr>
          <w:rFonts w:ascii="Book Antiqua" w:hAnsi="Book Antiqua" w:cs="Arial"/>
        </w:rPr>
        <w:t>Appellant’s</w:t>
      </w:r>
      <w:r w:rsidRPr="00BA5249">
        <w:rPr>
          <w:rFonts w:ascii="Book Antiqua" w:hAnsi="Book Antiqua" w:cs="Arial"/>
        </w:rPr>
        <w:t xml:space="preserve"> home area was no longer a contested area. Secondly, if entitled to depart from AA, was the reasoning as to safety of return to his home area open to th</w:t>
      </w:r>
      <w:r w:rsidR="00112331">
        <w:rPr>
          <w:rFonts w:ascii="Book Antiqua" w:hAnsi="Book Antiqua" w:cs="Arial"/>
        </w:rPr>
        <w:t>e judge to make on the evidence?</w:t>
      </w:r>
      <w:r w:rsidRPr="00BA5249">
        <w:rPr>
          <w:rFonts w:ascii="Book Antiqua" w:hAnsi="Book Antiqua" w:cs="Arial"/>
        </w:rPr>
        <w:t xml:space="preserve"> </w:t>
      </w:r>
    </w:p>
    <w:p w:rsidR="006B35C9" w:rsidRPr="00BA5249" w:rsidRDefault="00811038"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There was some agreement between the parties and it was conceded on behalf of the </w:t>
      </w:r>
      <w:r w:rsidR="00112331">
        <w:rPr>
          <w:rFonts w:ascii="Book Antiqua" w:hAnsi="Book Antiqua" w:cs="Arial"/>
        </w:rPr>
        <w:t>Respondent</w:t>
      </w:r>
      <w:r w:rsidRPr="00BA5249">
        <w:rPr>
          <w:rFonts w:ascii="Book Antiqua" w:hAnsi="Book Antiqua" w:cs="Arial"/>
        </w:rPr>
        <w:t xml:space="preserve"> that the second ground was made out and that the decision involve</w:t>
      </w:r>
      <w:r w:rsidR="00112331">
        <w:rPr>
          <w:rFonts w:ascii="Book Antiqua" w:hAnsi="Book Antiqua" w:cs="Arial"/>
        </w:rPr>
        <w:t>d</w:t>
      </w:r>
      <w:r w:rsidRPr="00BA5249">
        <w:rPr>
          <w:rFonts w:ascii="Book Antiqua" w:hAnsi="Book Antiqua" w:cs="Arial"/>
        </w:rPr>
        <w:t xml:space="preserve"> the making of an error on a point of law in this respect. </w:t>
      </w:r>
      <w:proofErr w:type="gramStart"/>
      <w:r w:rsidRPr="00BA5249">
        <w:rPr>
          <w:rFonts w:ascii="Book Antiqua" w:hAnsi="Book Antiqua" w:cs="Arial"/>
        </w:rPr>
        <w:t>However</w:t>
      </w:r>
      <w:proofErr w:type="gramEnd"/>
      <w:r w:rsidRPr="00BA5249">
        <w:rPr>
          <w:rFonts w:ascii="Book Antiqua" w:hAnsi="Book Antiqua" w:cs="Arial"/>
        </w:rPr>
        <w:t xml:space="preserve"> Mr </w:t>
      </w:r>
      <w:proofErr w:type="spellStart"/>
      <w:r w:rsidRPr="00BA5249">
        <w:rPr>
          <w:rFonts w:ascii="Book Antiqua" w:hAnsi="Book Antiqua" w:cs="Arial"/>
        </w:rPr>
        <w:t>Diwnycz</w:t>
      </w:r>
      <w:proofErr w:type="spellEnd"/>
      <w:r w:rsidRPr="00BA5249">
        <w:rPr>
          <w:rFonts w:ascii="Book Antiqua" w:hAnsi="Book Antiqua" w:cs="Arial"/>
        </w:rPr>
        <w:t xml:space="preserve"> submitted that the judge made no error when reaching a conclusion that he was entitled to depart from the country guidance. In this respect he submitted that there was a reduction of violence</w:t>
      </w:r>
      <w:bookmarkStart w:id="2" w:name="KVWin_undoend"/>
      <w:bookmarkEnd w:id="2"/>
      <w:r w:rsidRPr="00BA5249">
        <w:rPr>
          <w:rFonts w:ascii="Book Antiqua" w:hAnsi="Book Antiqua" w:cs="Arial"/>
        </w:rPr>
        <w:t xml:space="preserve"> </w:t>
      </w:r>
      <w:r w:rsidR="006B35C9" w:rsidRPr="00BA5249">
        <w:rPr>
          <w:rFonts w:ascii="Book Antiqua" w:hAnsi="Book Antiqua" w:cs="Arial"/>
        </w:rPr>
        <w:t xml:space="preserve">shown in the country materials relied upon by the </w:t>
      </w:r>
      <w:r w:rsidR="00112331">
        <w:rPr>
          <w:rFonts w:ascii="Book Antiqua" w:hAnsi="Book Antiqua" w:cs="Arial"/>
        </w:rPr>
        <w:t>Respondent</w:t>
      </w:r>
      <w:r w:rsidR="006B35C9" w:rsidRPr="00BA5249">
        <w:rPr>
          <w:rFonts w:ascii="Book Antiqua" w:hAnsi="Book Antiqua" w:cs="Arial"/>
        </w:rPr>
        <w:t xml:space="preserve"> and that the judge properly referred to that in his findings of fact. </w:t>
      </w:r>
    </w:p>
    <w:p w:rsidR="00811038" w:rsidRPr="00BA5249" w:rsidRDefault="006B35C9"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I shall therefore deal with the first ground relied upon by Mr Cole. </w:t>
      </w:r>
    </w:p>
    <w:p w:rsidR="006B35C9" w:rsidRPr="00BA5249" w:rsidRDefault="00112331" w:rsidP="00BA5249">
      <w:pPr>
        <w:numPr>
          <w:ilvl w:val="0"/>
          <w:numId w:val="2"/>
        </w:numPr>
        <w:spacing w:before="240" w:line="360" w:lineRule="auto"/>
        <w:jc w:val="both"/>
        <w:rPr>
          <w:rFonts w:ascii="Book Antiqua" w:hAnsi="Book Antiqua" w:cs="Arial"/>
        </w:rPr>
      </w:pPr>
      <w:r>
        <w:rPr>
          <w:rFonts w:ascii="Book Antiqua" w:hAnsi="Book Antiqua" w:cs="Arial"/>
        </w:rPr>
        <w:t>The FTT J</w:t>
      </w:r>
      <w:r w:rsidR="006B35C9" w:rsidRPr="00BA5249">
        <w:rPr>
          <w:rFonts w:ascii="Book Antiqua" w:hAnsi="Book Antiqua" w:cs="Arial"/>
        </w:rPr>
        <w:t xml:space="preserve">udge began his consideration at paragraph 27 by making the observation that under the guidance of </w:t>
      </w:r>
      <w:r w:rsidR="006B35C9" w:rsidRPr="00112331">
        <w:rPr>
          <w:rFonts w:ascii="Book Antiqua" w:hAnsi="Book Antiqua" w:cs="Arial"/>
          <w:i/>
        </w:rPr>
        <w:t>AA (Iraq)</w:t>
      </w:r>
      <w:r>
        <w:rPr>
          <w:rFonts w:ascii="Book Antiqua" w:hAnsi="Book Antiqua" w:cs="Arial"/>
          <w:i/>
        </w:rPr>
        <w:t>,</w:t>
      </w:r>
      <w:r w:rsidR="006B35C9" w:rsidRPr="00BA5249">
        <w:rPr>
          <w:rFonts w:ascii="Book Antiqua" w:hAnsi="Book Antiqua" w:cs="Arial"/>
        </w:rPr>
        <w:t xml:space="preserve"> as amended by the decision of the Court of Appeal</w:t>
      </w:r>
      <w:r>
        <w:rPr>
          <w:rFonts w:ascii="Book Antiqua" w:hAnsi="Book Antiqua" w:cs="Arial"/>
        </w:rPr>
        <w:t>,</w:t>
      </w:r>
      <w:r w:rsidR="006B35C9" w:rsidRPr="00BA5249">
        <w:rPr>
          <w:rFonts w:ascii="Book Antiqua" w:hAnsi="Book Antiqua" w:cs="Arial"/>
        </w:rPr>
        <w:t xml:space="preserve"> the </w:t>
      </w:r>
      <w:r>
        <w:rPr>
          <w:rFonts w:ascii="Book Antiqua" w:hAnsi="Book Antiqua" w:cs="Arial"/>
        </w:rPr>
        <w:t>Appellant</w:t>
      </w:r>
      <w:r w:rsidR="006B35C9" w:rsidRPr="00BA5249">
        <w:rPr>
          <w:rFonts w:ascii="Book Antiqua" w:hAnsi="Book Antiqua" w:cs="Arial"/>
        </w:rPr>
        <w:t xml:space="preserve"> would be at risk in his home area. </w:t>
      </w:r>
      <w:proofErr w:type="gramStart"/>
      <w:r w:rsidR="006B35C9" w:rsidRPr="00BA5249">
        <w:rPr>
          <w:rFonts w:ascii="Book Antiqua" w:hAnsi="Book Antiqua" w:cs="Arial"/>
        </w:rPr>
        <w:t>However</w:t>
      </w:r>
      <w:proofErr w:type="gramEnd"/>
      <w:r w:rsidR="006B35C9" w:rsidRPr="00BA5249">
        <w:rPr>
          <w:rFonts w:ascii="Book Antiqua" w:hAnsi="Book Antiqua" w:cs="Arial"/>
        </w:rPr>
        <w:t xml:space="preserve"> he further</w:t>
      </w:r>
      <w:r>
        <w:rPr>
          <w:rFonts w:ascii="Book Antiqua" w:hAnsi="Book Antiqua" w:cs="Arial"/>
        </w:rPr>
        <w:t xml:space="preserve"> observed that the U</w:t>
      </w:r>
      <w:r w:rsidR="006B35C9" w:rsidRPr="00BA5249">
        <w:rPr>
          <w:rFonts w:ascii="Book Antiqua" w:hAnsi="Book Antiqua" w:cs="Arial"/>
        </w:rPr>
        <w:t xml:space="preserve">pper </w:t>
      </w:r>
      <w:r>
        <w:rPr>
          <w:rFonts w:ascii="Book Antiqua" w:hAnsi="Book Antiqua" w:cs="Arial"/>
        </w:rPr>
        <w:t>Tribunal had heard that appeal in</w:t>
      </w:r>
      <w:r w:rsidR="006B35C9" w:rsidRPr="00BA5249">
        <w:rPr>
          <w:rFonts w:ascii="Book Antiqua" w:hAnsi="Book Antiqua" w:cs="Arial"/>
        </w:rPr>
        <w:t xml:space="preserve"> May 2015 had promulgated it later that year in October but that since that time the CIG of August 2016 had been relied upon as setting out the </w:t>
      </w:r>
      <w:r>
        <w:rPr>
          <w:rFonts w:ascii="Book Antiqua" w:hAnsi="Book Antiqua" w:cs="Arial"/>
        </w:rPr>
        <w:t>Respondent</w:t>
      </w:r>
      <w:r w:rsidR="006B35C9" w:rsidRPr="00BA5249">
        <w:rPr>
          <w:rFonts w:ascii="Book Antiqua" w:hAnsi="Book Antiqua" w:cs="Arial"/>
        </w:rPr>
        <w:t xml:space="preserve"> policy that the contested areas had changed. </w:t>
      </w:r>
    </w:p>
    <w:p w:rsidR="00D563D8" w:rsidRPr="00BA5249" w:rsidRDefault="00D563D8" w:rsidP="00BA5249">
      <w:pPr>
        <w:numPr>
          <w:ilvl w:val="0"/>
          <w:numId w:val="2"/>
        </w:numPr>
        <w:spacing w:before="240" w:line="360" w:lineRule="auto"/>
        <w:jc w:val="both"/>
        <w:rPr>
          <w:rFonts w:ascii="Book Antiqua" w:hAnsi="Book Antiqua"/>
        </w:rPr>
      </w:pPr>
      <w:r w:rsidRPr="00BA5249">
        <w:rPr>
          <w:rFonts w:ascii="Book Antiqua" w:hAnsi="Book Antiqua" w:cs="Arial"/>
        </w:rPr>
        <w:t xml:space="preserve"> </w:t>
      </w:r>
      <w:r w:rsidR="006B35C9" w:rsidRPr="00BA5249">
        <w:rPr>
          <w:rFonts w:ascii="Book Antiqua" w:hAnsi="Book Antiqua" w:cs="Arial"/>
        </w:rPr>
        <w:t>At paragraph 28 he set out the policy summary as follows:</w:t>
      </w:r>
    </w:p>
    <w:p w:rsidR="0046338F" w:rsidRPr="0046338F" w:rsidRDefault="00D3047D" w:rsidP="0046338F">
      <w:pPr>
        <w:numPr>
          <w:ilvl w:val="0"/>
          <w:numId w:val="2"/>
        </w:numPr>
        <w:spacing w:before="240" w:line="360" w:lineRule="auto"/>
        <w:rPr>
          <w:rFonts w:ascii="Book Antiqua" w:hAnsi="Book Antiqua" w:cs="Arial"/>
        </w:rPr>
      </w:pPr>
      <w:r w:rsidRPr="00BA5249">
        <w:rPr>
          <w:rFonts w:ascii="Book Antiqua" w:hAnsi="Book Antiqua"/>
        </w:rPr>
        <w:t>Country Information and Guidance - Iraq: Return/Internal Relocation (August 2016):</w:t>
      </w:r>
    </w:p>
    <w:p w:rsidR="006B35C9" w:rsidRPr="00BA5249" w:rsidRDefault="00D3047D" w:rsidP="0046338F">
      <w:pPr>
        <w:spacing w:before="240" w:line="360" w:lineRule="auto"/>
        <w:ind w:left="1134"/>
        <w:rPr>
          <w:rFonts w:ascii="Book Antiqua" w:hAnsi="Book Antiqua" w:cs="Arial"/>
        </w:rPr>
      </w:pPr>
      <w:r w:rsidRPr="00BA5249">
        <w:rPr>
          <w:rFonts w:ascii="Book Antiqua" w:hAnsi="Book Antiqua"/>
        </w:rPr>
        <w:t>3. Policy Summary</w:t>
      </w:r>
      <w:r w:rsidRPr="00BA5249">
        <w:rPr>
          <w:rFonts w:ascii="Book Antiqua" w:hAnsi="Book Antiqua"/>
        </w:rPr>
        <w:br/>
        <w:t xml:space="preserve">3.1.1 The 'contested' governorates of Iraq are Anbar, </w:t>
      </w:r>
      <w:proofErr w:type="spellStart"/>
      <w:r w:rsidRPr="00BA5249">
        <w:rPr>
          <w:rFonts w:ascii="Book Antiqua" w:hAnsi="Book Antiqua"/>
        </w:rPr>
        <w:t>Diyala</w:t>
      </w:r>
      <w:proofErr w:type="spellEnd"/>
      <w:r w:rsidRPr="00BA5249">
        <w:rPr>
          <w:rFonts w:ascii="Book Antiqua" w:hAnsi="Book Antiqua"/>
        </w:rPr>
        <w:t xml:space="preserve">, Kirkuk (aka </w:t>
      </w:r>
      <w:proofErr w:type="spellStart"/>
      <w:r w:rsidRPr="00BA5249">
        <w:rPr>
          <w:rFonts w:ascii="Book Antiqua" w:hAnsi="Book Antiqua"/>
        </w:rPr>
        <w:t>Tameen</w:t>
      </w:r>
      <w:proofErr w:type="spellEnd"/>
      <w:r w:rsidRPr="00BA5249">
        <w:rPr>
          <w:rFonts w:ascii="Book Antiqua" w:hAnsi="Book Antiqua"/>
        </w:rPr>
        <w:t xml:space="preserve">), </w:t>
      </w:r>
      <w:proofErr w:type="spellStart"/>
      <w:r w:rsidRPr="00BA5249">
        <w:rPr>
          <w:rFonts w:ascii="Book Antiqua" w:hAnsi="Book Antiqua"/>
        </w:rPr>
        <w:t>Ninewah</w:t>
      </w:r>
      <w:proofErr w:type="spellEnd"/>
      <w:r w:rsidRPr="00BA5249">
        <w:rPr>
          <w:rFonts w:ascii="Book Antiqua" w:hAnsi="Book Antiqua"/>
        </w:rPr>
        <w:t xml:space="preserve"> and Salah al-Din. </w:t>
      </w:r>
      <w:r w:rsidRPr="00BA5249">
        <w:rPr>
          <w:rFonts w:ascii="Book Antiqua" w:hAnsi="Book Antiqua"/>
        </w:rPr>
        <w:br/>
      </w:r>
      <w:r w:rsidRPr="00BA5249">
        <w:rPr>
          <w:rFonts w:ascii="Book Antiqua" w:hAnsi="Book Antiqua"/>
        </w:rPr>
        <w:lastRenderedPageBreak/>
        <w:t xml:space="preserve">3.1.2 In the CG case of AA, which considered evidence up to April 2015, the courts found that, in the 'contested' governorates, indiscriminate violence was at such a level that subsequent grounds existed for believing that a person, solely by being present there for any length of time, faced a real risk of harm which threatened their life or person (thereby engaging Article 15(c) of the Qualification Direction and entitling a person to a grant of Humanitarian Protection). </w:t>
      </w:r>
      <w:r w:rsidRPr="00BA5249">
        <w:rPr>
          <w:rFonts w:ascii="Book Antiqua" w:hAnsi="Book Antiqua"/>
        </w:rPr>
        <w:br/>
        <w:t xml:space="preserve">3.1.3 However, the situation has changed since then, </w:t>
      </w:r>
      <w:proofErr w:type="spellStart"/>
      <w:r w:rsidRPr="00BA5249">
        <w:rPr>
          <w:rFonts w:ascii="Book Antiqua" w:hAnsi="Book Antiqua"/>
        </w:rPr>
        <w:t>Diyala</w:t>
      </w:r>
      <w:proofErr w:type="spellEnd"/>
      <w:r w:rsidRPr="00BA5249">
        <w:rPr>
          <w:rFonts w:ascii="Book Antiqua" w:hAnsi="Book Antiqua"/>
        </w:rPr>
        <w:t xml:space="preserve">, Kirkuk (with the exception of </w:t>
      </w:r>
      <w:proofErr w:type="spellStart"/>
      <w:r w:rsidRPr="00BA5249">
        <w:rPr>
          <w:rFonts w:ascii="Book Antiqua" w:hAnsi="Book Antiqua"/>
        </w:rPr>
        <w:t>Hawija</w:t>
      </w:r>
      <w:proofErr w:type="spellEnd"/>
      <w:r w:rsidRPr="00BA5249">
        <w:rPr>
          <w:rFonts w:ascii="Book Antiqua" w:hAnsi="Book Antiqua"/>
        </w:rPr>
        <w:t xml:space="preserve"> and the surrounding area) and Salah Al-Din no longer meet the threshold of Article 15(c). </w:t>
      </w:r>
      <w:r w:rsidRPr="00BA5249">
        <w:rPr>
          <w:rFonts w:ascii="Book Antiqua" w:hAnsi="Book Antiqua"/>
        </w:rPr>
        <w:br/>
        <w:t>3.1.4 However, decision makers should consider whether there are particular factors relevant to the persons individual circumstances which might neverthele</w:t>
      </w:r>
      <w:r w:rsidR="006B35C9" w:rsidRPr="00BA5249">
        <w:rPr>
          <w:rFonts w:ascii="Book Antiqua" w:hAnsi="Book Antiqua"/>
        </w:rPr>
        <w:t>ss place them at enhanced risk.”</w:t>
      </w:r>
    </w:p>
    <w:p w:rsidR="006B35C9" w:rsidRPr="00BA5249" w:rsidRDefault="006B35C9" w:rsidP="00BA5249">
      <w:pPr>
        <w:numPr>
          <w:ilvl w:val="0"/>
          <w:numId w:val="2"/>
        </w:numPr>
        <w:spacing w:before="240" w:line="360" w:lineRule="auto"/>
        <w:jc w:val="both"/>
        <w:rPr>
          <w:rFonts w:ascii="Book Antiqua" w:hAnsi="Book Antiqua" w:cs="Arial"/>
        </w:rPr>
      </w:pPr>
      <w:r w:rsidRPr="00BA5249">
        <w:rPr>
          <w:rFonts w:ascii="Book Antiqua" w:hAnsi="Book Antiqua"/>
        </w:rPr>
        <w:t xml:space="preserve">At paragraph 29 he further observed that the </w:t>
      </w:r>
      <w:r w:rsidR="00112331">
        <w:rPr>
          <w:rFonts w:ascii="Book Antiqua" w:hAnsi="Book Antiqua"/>
        </w:rPr>
        <w:t>Respondent’s</w:t>
      </w:r>
      <w:r w:rsidRPr="00BA5249">
        <w:rPr>
          <w:rFonts w:ascii="Book Antiqua" w:hAnsi="Book Antiqua"/>
        </w:rPr>
        <w:t xml:space="preserve"> position remained the same in its March 2017 CIG thus the </w:t>
      </w:r>
      <w:r w:rsidR="00112331">
        <w:rPr>
          <w:rFonts w:ascii="Book Antiqua" w:hAnsi="Book Antiqua"/>
        </w:rPr>
        <w:t>Respondent’s</w:t>
      </w:r>
      <w:r w:rsidRPr="00BA5249">
        <w:rPr>
          <w:rFonts w:ascii="Book Antiqua" w:hAnsi="Book Antiqua"/>
        </w:rPr>
        <w:t xml:space="preserve"> position is </w:t>
      </w:r>
      <w:r w:rsidR="00112331">
        <w:rPr>
          <w:rFonts w:ascii="Book Antiqua" w:hAnsi="Book Antiqua"/>
        </w:rPr>
        <w:t>“</w:t>
      </w:r>
      <w:r w:rsidRPr="00BA5249">
        <w:rPr>
          <w:rFonts w:ascii="Book Antiqua" w:hAnsi="Book Antiqua"/>
        </w:rPr>
        <w:t xml:space="preserve">that the </w:t>
      </w:r>
      <w:r w:rsidR="00112331">
        <w:rPr>
          <w:rFonts w:ascii="Book Antiqua" w:hAnsi="Book Antiqua"/>
        </w:rPr>
        <w:t>Appellant’s</w:t>
      </w:r>
      <w:r w:rsidRPr="00BA5249">
        <w:rPr>
          <w:rFonts w:ascii="Book Antiqua" w:hAnsi="Book Antiqua"/>
        </w:rPr>
        <w:t xml:space="preserve"> home governorate n</w:t>
      </w:r>
      <w:r w:rsidR="00112331">
        <w:rPr>
          <w:rFonts w:ascii="Book Antiqua" w:hAnsi="Book Antiqua"/>
        </w:rPr>
        <w:t xml:space="preserve">o longer </w:t>
      </w:r>
      <w:proofErr w:type="gramStart"/>
      <w:r w:rsidR="00112331">
        <w:rPr>
          <w:rFonts w:ascii="Book Antiqua" w:hAnsi="Book Antiqua"/>
        </w:rPr>
        <w:t>meet</w:t>
      </w:r>
      <w:proofErr w:type="gramEnd"/>
      <w:r w:rsidR="00112331">
        <w:rPr>
          <w:rFonts w:ascii="Book Antiqua" w:hAnsi="Book Antiqua"/>
        </w:rPr>
        <w:t xml:space="preserve"> the threshold of A</w:t>
      </w:r>
      <w:r w:rsidRPr="00BA5249">
        <w:rPr>
          <w:rFonts w:ascii="Book Antiqua" w:hAnsi="Book Antiqua"/>
        </w:rPr>
        <w:t>rticle 15 (C)</w:t>
      </w:r>
      <w:r w:rsidR="00112331">
        <w:rPr>
          <w:rFonts w:ascii="Book Antiqua" w:hAnsi="Book Antiqua"/>
        </w:rPr>
        <w:t>”</w:t>
      </w:r>
      <w:r w:rsidRPr="00BA5249">
        <w:rPr>
          <w:rFonts w:ascii="Book Antiqua" w:hAnsi="Book Antiqua"/>
        </w:rPr>
        <w:t>.</w:t>
      </w:r>
    </w:p>
    <w:p w:rsidR="006B35C9" w:rsidRPr="00BA5249" w:rsidRDefault="006B35C9" w:rsidP="00BA5249">
      <w:pPr>
        <w:numPr>
          <w:ilvl w:val="0"/>
          <w:numId w:val="2"/>
        </w:numPr>
        <w:spacing w:before="240" w:line="360" w:lineRule="auto"/>
        <w:jc w:val="both"/>
        <w:rPr>
          <w:rFonts w:ascii="Book Antiqua" w:hAnsi="Book Antiqua" w:cs="Arial"/>
        </w:rPr>
      </w:pPr>
      <w:r w:rsidRPr="00BA5249">
        <w:rPr>
          <w:rFonts w:ascii="Book Antiqua" w:hAnsi="Book Antiqua"/>
        </w:rPr>
        <w:t>The judge then set out and properly applied the legal jurisprudence dealing with the departure from country guidance decisions and t</w:t>
      </w:r>
      <w:r w:rsidR="00112331">
        <w:rPr>
          <w:rFonts w:ascii="Book Antiqua" w:hAnsi="Book Antiqua"/>
        </w:rPr>
        <w:t>hat [30] made reference to the U</w:t>
      </w:r>
      <w:r w:rsidRPr="00BA5249">
        <w:rPr>
          <w:rFonts w:ascii="Book Antiqua" w:hAnsi="Book Antiqua"/>
        </w:rPr>
        <w:t xml:space="preserve">pper </w:t>
      </w:r>
      <w:r w:rsidR="00112331">
        <w:rPr>
          <w:rFonts w:ascii="Book Antiqua" w:hAnsi="Book Antiqua"/>
        </w:rPr>
        <w:t>Tribunal</w:t>
      </w:r>
      <w:r w:rsidRPr="00BA5249">
        <w:rPr>
          <w:rFonts w:ascii="Book Antiqua" w:hAnsi="Book Antiqua"/>
        </w:rPr>
        <w:t xml:space="preserve"> decision of </w:t>
      </w:r>
      <w:r w:rsidRPr="00112331">
        <w:rPr>
          <w:rFonts w:ascii="Book Antiqua" w:hAnsi="Book Antiqua"/>
          <w:i/>
        </w:rPr>
        <w:t>DSG and others (Afghan Sikhs: departure from CG)</w:t>
      </w:r>
      <w:r w:rsidRPr="00BA5249">
        <w:rPr>
          <w:rFonts w:ascii="Book Antiqua" w:hAnsi="Book Antiqua"/>
        </w:rPr>
        <w:t xml:space="preserve"> </w:t>
      </w:r>
      <w:proofErr w:type="gramStart"/>
      <w:r w:rsidRPr="00112331">
        <w:rPr>
          <w:rFonts w:ascii="Book Antiqua" w:hAnsi="Book Antiqua"/>
          <w:i/>
        </w:rPr>
        <w:t>Afghanistan</w:t>
      </w:r>
      <w:r w:rsidRPr="00BA5249">
        <w:rPr>
          <w:rFonts w:ascii="Book Antiqua" w:hAnsi="Book Antiqua"/>
        </w:rPr>
        <w:t>[</w:t>
      </w:r>
      <w:proofErr w:type="gramEnd"/>
      <w:r w:rsidRPr="00BA5249">
        <w:rPr>
          <w:rFonts w:ascii="Book Antiqua" w:hAnsi="Book Antiqua"/>
        </w:rPr>
        <w:t>2013]</w:t>
      </w:r>
      <w:r w:rsidR="00112331">
        <w:rPr>
          <w:rFonts w:ascii="Book Antiqua" w:hAnsi="Book Antiqua"/>
        </w:rPr>
        <w:t>UKUT</w:t>
      </w:r>
      <w:r w:rsidRPr="00BA5249">
        <w:rPr>
          <w:rFonts w:ascii="Book Antiqua" w:hAnsi="Book Antiqua"/>
        </w:rPr>
        <w:t xml:space="preserve">00148 </w:t>
      </w:r>
      <w:r w:rsidRPr="00BA5249">
        <w:rPr>
          <w:rFonts w:ascii="Book Antiqua" w:hAnsi="Book Antiqua" w:cs="Arial"/>
        </w:rPr>
        <w:t>which in turn made reference to the practice direction. There can be no dispute that the judge properly had regard to the correct legal test that he should apply as at [31] he set out that he needed to consider whether “there are very strong grounds supported by cogent evidence for departing from the country guidance case.”</w:t>
      </w:r>
    </w:p>
    <w:p w:rsidR="006B35C9" w:rsidRPr="00BA5249" w:rsidRDefault="006B35C9"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Mr Cole properly conceded that the </w:t>
      </w:r>
      <w:r w:rsidR="00112331" w:rsidRPr="00BA5249">
        <w:rPr>
          <w:rFonts w:ascii="Book Antiqua" w:hAnsi="Book Antiqua" w:cs="Arial"/>
        </w:rPr>
        <w:t>judge’s</w:t>
      </w:r>
      <w:r w:rsidRPr="00BA5249">
        <w:rPr>
          <w:rFonts w:ascii="Book Antiqua" w:hAnsi="Book Antiqua" w:cs="Arial"/>
        </w:rPr>
        <w:t xml:space="preserve"> self-direction on the law was not in error. The question was whether there was in fact was cogent evidence of such strength to reach the threshold to displace the country guidance decision that the home governorate of the </w:t>
      </w:r>
      <w:r w:rsidR="00112331">
        <w:rPr>
          <w:rFonts w:ascii="Book Antiqua" w:hAnsi="Book Antiqua" w:cs="Arial"/>
        </w:rPr>
        <w:t>Appellant</w:t>
      </w:r>
      <w:r w:rsidRPr="00BA5249">
        <w:rPr>
          <w:rFonts w:ascii="Book Antiqua" w:hAnsi="Book Antiqua" w:cs="Arial"/>
        </w:rPr>
        <w:t xml:space="preserve"> was a contested area.</w:t>
      </w:r>
    </w:p>
    <w:p w:rsidR="006B35C9" w:rsidRPr="00BA5249" w:rsidRDefault="006B35C9" w:rsidP="00BA5249">
      <w:pPr>
        <w:numPr>
          <w:ilvl w:val="0"/>
          <w:numId w:val="2"/>
        </w:numPr>
        <w:spacing w:before="240" w:line="360" w:lineRule="auto"/>
        <w:jc w:val="both"/>
        <w:rPr>
          <w:rFonts w:ascii="Book Antiqua" w:hAnsi="Book Antiqua" w:cs="Arial"/>
        </w:rPr>
      </w:pPr>
      <w:r w:rsidRPr="00BA5249">
        <w:rPr>
          <w:rFonts w:ascii="Book Antiqua" w:hAnsi="Book Antiqua" w:cs="Arial"/>
        </w:rPr>
        <w:lastRenderedPageBreak/>
        <w:t xml:space="preserve"> In this context the judge made reference to the </w:t>
      </w:r>
      <w:r w:rsidR="00112331">
        <w:rPr>
          <w:rFonts w:ascii="Book Antiqua" w:hAnsi="Book Antiqua" w:cs="Arial"/>
        </w:rPr>
        <w:t>Respondent</w:t>
      </w:r>
      <w:r w:rsidRPr="00BA5249">
        <w:rPr>
          <w:rFonts w:ascii="Book Antiqua" w:hAnsi="Book Antiqua" w:cs="Arial"/>
        </w:rPr>
        <w:t>s CIG. Had this been the only reference to the material it would have been an error as</w:t>
      </w:r>
      <w:r w:rsidRPr="00BA5249">
        <w:rPr>
          <w:rFonts w:ascii="Book Antiqua" w:hAnsi="Book Antiqua"/>
        </w:rPr>
        <w:t xml:space="preserve"> CIG policy is an emanation of the Home Office who is only one party in the appeal. </w:t>
      </w:r>
      <w:proofErr w:type="gramStart"/>
      <w:r w:rsidRPr="00BA5249">
        <w:rPr>
          <w:rFonts w:ascii="Book Antiqua" w:hAnsi="Book Antiqua"/>
        </w:rPr>
        <w:t>However</w:t>
      </w:r>
      <w:proofErr w:type="gramEnd"/>
      <w:r w:rsidR="00112331">
        <w:rPr>
          <w:rFonts w:ascii="Book Antiqua" w:hAnsi="Book Antiqua"/>
        </w:rPr>
        <w:t xml:space="preserve"> the judge did make reference at</w:t>
      </w:r>
      <w:r w:rsidRPr="00BA5249">
        <w:rPr>
          <w:rFonts w:ascii="Book Antiqua" w:hAnsi="Book Antiqua"/>
        </w:rPr>
        <w:t xml:space="preserve"> [31] to the evidence relied upon by the parties. </w:t>
      </w:r>
      <w:proofErr w:type="gramStart"/>
      <w:r w:rsidRPr="00BA5249">
        <w:rPr>
          <w:rFonts w:ascii="Book Antiqua" w:hAnsi="Book Antiqua"/>
        </w:rPr>
        <w:t>However</w:t>
      </w:r>
      <w:proofErr w:type="gramEnd"/>
      <w:r w:rsidRPr="00BA5249">
        <w:rPr>
          <w:rFonts w:ascii="Book Antiqua" w:hAnsi="Book Antiqua"/>
        </w:rPr>
        <w:t xml:space="preserve"> the evidence was of a limited nature. I can find no reference in the decision letter that it had been set out as an issue that the </w:t>
      </w:r>
      <w:r w:rsidR="00112331">
        <w:rPr>
          <w:rFonts w:ascii="Book Antiqua" w:hAnsi="Book Antiqua"/>
        </w:rPr>
        <w:t>Respondent</w:t>
      </w:r>
      <w:r w:rsidRPr="00BA5249">
        <w:rPr>
          <w:rFonts w:ascii="Book Antiqua" w:hAnsi="Book Antiqua"/>
        </w:rPr>
        <w:t xml:space="preserve"> considered that the home governorate of the </w:t>
      </w:r>
      <w:r w:rsidR="00112331">
        <w:rPr>
          <w:rFonts w:ascii="Book Antiqua" w:hAnsi="Book Antiqua"/>
        </w:rPr>
        <w:t>Appellant</w:t>
      </w:r>
      <w:r w:rsidRPr="00BA5249">
        <w:rPr>
          <w:rFonts w:ascii="Book Antiqua" w:hAnsi="Book Antiqua"/>
        </w:rPr>
        <w:t xml:space="preserve"> was no longer a contested area and it is not clear to me at what stage this had been communicated to the </w:t>
      </w:r>
      <w:r w:rsidR="00112331">
        <w:rPr>
          <w:rFonts w:ascii="Book Antiqua" w:hAnsi="Book Antiqua"/>
        </w:rPr>
        <w:t>Appellant’s</w:t>
      </w:r>
      <w:r w:rsidRPr="00BA5249">
        <w:rPr>
          <w:rFonts w:ascii="Book Antiqua" w:hAnsi="Book Antiqua"/>
        </w:rPr>
        <w:t xml:space="preserve"> legal advisers an</w:t>
      </w:r>
      <w:r w:rsidR="00112331">
        <w:rPr>
          <w:rFonts w:ascii="Book Antiqua" w:hAnsi="Book Antiqua"/>
        </w:rPr>
        <w:t>d whether this had played a part</w:t>
      </w:r>
      <w:r w:rsidRPr="00BA5249">
        <w:rPr>
          <w:rFonts w:ascii="Book Antiqua" w:hAnsi="Book Antiqua"/>
        </w:rPr>
        <w:t xml:space="preserve"> in the nature of the evidence advanced on behalf of the </w:t>
      </w:r>
      <w:r w:rsidR="00112331">
        <w:rPr>
          <w:rFonts w:ascii="Book Antiqua" w:hAnsi="Book Antiqua"/>
        </w:rPr>
        <w:t>Appellant</w:t>
      </w:r>
      <w:r w:rsidRPr="00BA5249">
        <w:rPr>
          <w:rFonts w:ascii="Book Antiqua" w:hAnsi="Book Antiqua"/>
        </w:rPr>
        <w:t xml:space="preserve">. Nonetheless I have considered the judges assessment in the light of the material </w:t>
      </w:r>
      <w:r w:rsidR="00112331">
        <w:rPr>
          <w:rFonts w:ascii="Book Antiqua" w:hAnsi="Book Antiqua"/>
        </w:rPr>
        <w:t xml:space="preserve">that was </w:t>
      </w:r>
      <w:r w:rsidRPr="00BA5249">
        <w:rPr>
          <w:rFonts w:ascii="Book Antiqua" w:hAnsi="Book Antiqua"/>
        </w:rPr>
        <w:t>provided.</w:t>
      </w:r>
    </w:p>
    <w:p w:rsidR="006B35C9" w:rsidRPr="00BA5249" w:rsidRDefault="006B35C9" w:rsidP="00BA5249">
      <w:pPr>
        <w:numPr>
          <w:ilvl w:val="0"/>
          <w:numId w:val="2"/>
        </w:numPr>
        <w:spacing w:before="240" w:line="360" w:lineRule="auto"/>
        <w:jc w:val="both"/>
        <w:rPr>
          <w:rFonts w:ascii="Book Antiqua" w:hAnsi="Book Antiqua" w:cs="Arial"/>
        </w:rPr>
      </w:pPr>
      <w:r w:rsidRPr="00BA5249">
        <w:rPr>
          <w:rFonts w:ascii="Book Antiqua" w:hAnsi="Book Antiqua"/>
        </w:rPr>
        <w:t xml:space="preserve">The central reason given by the judge was that at the time of </w:t>
      </w:r>
      <w:r w:rsidRPr="00112331">
        <w:rPr>
          <w:rFonts w:ascii="Book Antiqua" w:hAnsi="Book Antiqua"/>
          <w:i/>
        </w:rPr>
        <w:t>AA (Iraq)</w:t>
      </w:r>
      <w:r w:rsidRPr="00BA5249">
        <w:rPr>
          <w:rFonts w:ascii="Book Antiqua" w:hAnsi="Book Antiqua"/>
        </w:rPr>
        <w:t xml:space="preserve"> the </w:t>
      </w:r>
      <w:r w:rsidR="00112331">
        <w:rPr>
          <w:rFonts w:ascii="Book Antiqua" w:hAnsi="Book Antiqua"/>
        </w:rPr>
        <w:t>Tribunal</w:t>
      </w:r>
      <w:r w:rsidRPr="00BA5249">
        <w:rPr>
          <w:rFonts w:ascii="Book Antiqua" w:hAnsi="Book Antiqua"/>
        </w:rPr>
        <w:t xml:space="preserve"> was only considering evidence up to the date of May 2015 and at that time ISI S had occupied large areas of northern Iraq. He stated </w:t>
      </w:r>
      <w:r w:rsidR="00112331">
        <w:rPr>
          <w:rFonts w:ascii="Book Antiqua" w:hAnsi="Book Antiqua"/>
        </w:rPr>
        <w:t xml:space="preserve">at </w:t>
      </w:r>
      <w:r w:rsidRPr="00BA5249">
        <w:rPr>
          <w:rFonts w:ascii="Book Antiqua" w:hAnsi="Book Antiqua"/>
        </w:rPr>
        <w:t xml:space="preserve">[32] that the situation was now different and that the </w:t>
      </w:r>
      <w:r w:rsidR="00112331">
        <w:rPr>
          <w:rFonts w:ascii="Book Antiqua" w:hAnsi="Book Antiqua"/>
        </w:rPr>
        <w:t>ISW map from December 2016 showed</w:t>
      </w:r>
      <w:r w:rsidRPr="00BA5249">
        <w:rPr>
          <w:rFonts w:ascii="Book Antiqua" w:hAnsi="Book Antiqua"/>
        </w:rPr>
        <w:t xml:space="preserve"> that Daesh</w:t>
      </w:r>
      <w:r w:rsidR="00112331">
        <w:rPr>
          <w:rFonts w:ascii="Book Antiqua" w:hAnsi="Book Antiqua"/>
        </w:rPr>
        <w:t xml:space="preserve"> territory wa</w:t>
      </w:r>
      <w:r w:rsidRPr="00BA5249">
        <w:rPr>
          <w:rFonts w:ascii="Book Antiqua" w:hAnsi="Book Antiqua"/>
        </w:rPr>
        <w:t>s now far more restricted. The judge made reference to the Iraq government</w:t>
      </w:r>
      <w:r w:rsidR="00112331">
        <w:rPr>
          <w:rFonts w:ascii="Book Antiqua" w:hAnsi="Book Antiqua"/>
        </w:rPr>
        <w:t xml:space="preserve"> forces having recaptured </w:t>
      </w:r>
      <w:proofErr w:type="gramStart"/>
      <w:r w:rsidR="00112331">
        <w:rPr>
          <w:rFonts w:ascii="Book Antiqua" w:hAnsi="Book Antiqua"/>
        </w:rPr>
        <w:t xml:space="preserve">Mosul </w:t>
      </w:r>
      <w:r w:rsidRPr="00BA5249">
        <w:rPr>
          <w:rFonts w:ascii="Book Antiqua" w:hAnsi="Book Antiqua"/>
        </w:rPr>
        <w:t xml:space="preserve"> and</w:t>
      </w:r>
      <w:proofErr w:type="gramEnd"/>
      <w:r w:rsidRPr="00BA5249">
        <w:rPr>
          <w:rFonts w:ascii="Book Antiqua" w:hAnsi="Book Antiqua"/>
        </w:rPr>
        <w:t xml:space="preserve"> therefore to follow the country guidance in AA was to “ignore the reality on the ground that Isis have been removed from large parts of Iraq.”  He further found that [37] that the evidence contained in the </w:t>
      </w:r>
      <w:r w:rsidR="00112331">
        <w:rPr>
          <w:rFonts w:ascii="Book Antiqua" w:hAnsi="Book Antiqua"/>
        </w:rPr>
        <w:t>Appellant’s</w:t>
      </w:r>
      <w:r w:rsidRPr="00BA5249">
        <w:rPr>
          <w:rFonts w:ascii="Book Antiqua" w:hAnsi="Book Antiqua"/>
        </w:rPr>
        <w:t xml:space="preserve"> bundle did not contradic</w:t>
      </w:r>
      <w:r w:rsidR="00112331">
        <w:rPr>
          <w:rFonts w:ascii="Book Antiqua" w:hAnsi="Book Antiqua"/>
        </w:rPr>
        <w:t>t the evidence in the March 2017</w:t>
      </w:r>
      <w:r w:rsidRPr="00BA5249">
        <w:rPr>
          <w:rFonts w:ascii="Book Antiqua" w:hAnsi="Book Antiqua"/>
        </w:rPr>
        <w:t xml:space="preserve"> CIG and made reference to </w:t>
      </w:r>
      <w:r w:rsidR="00112331">
        <w:rPr>
          <w:rFonts w:ascii="Book Antiqua" w:hAnsi="Book Antiqua"/>
        </w:rPr>
        <w:t>[</w:t>
      </w:r>
      <w:r w:rsidRPr="00BA5249">
        <w:rPr>
          <w:rFonts w:ascii="Book Antiqua" w:hAnsi="Book Antiqua"/>
        </w:rPr>
        <w:t>AB 131</w:t>
      </w:r>
      <w:r w:rsidR="00112331">
        <w:rPr>
          <w:rFonts w:ascii="Book Antiqua" w:hAnsi="Book Antiqua"/>
        </w:rPr>
        <w:t>]</w:t>
      </w:r>
      <w:r w:rsidRPr="00BA5249">
        <w:rPr>
          <w:rFonts w:ascii="Book Antiqua" w:hAnsi="Book Antiqua"/>
        </w:rPr>
        <w:t xml:space="preserve"> where it was stated that the </w:t>
      </w:r>
      <w:r w:rsidR="00112331">
        <w:rPr>
          <w:rFonts w:ascii="Book Antiqua" w:hAnsi="Book Antiqua"/>
        </w:rPr>
        <w:t>Appellant’s</w:t>
      </w:r>
      <w:r w:rsidRPr="00BA5249">
        <w:rPr>
          <w:rFonts w:ascii="Book Antiqua" w:hAnsi="Book Antiqua"/>
        </w:rPr>
        <w:t xml:space="preserve"> home village had been taken by Isis in July 2014 and had been held until November that year. </w:t>
      </w:r>
      <w:proofErr w:type="gramStart"/>
      <w:r w:rsidRPr="00BA5249">
        <w:rPr>
          <w:rFonts w:ascii="Book Antiqua" w:hAnsi="Book Antiqua"/>
        </w:rPr>
        <w:t>However</w:t>
      </w:r>
      <w:proofErr w:type="gramEnd"/>
      <w:r w:rsidRPr="00BA5249">
        <w:rPr>
          <w:rFonts w:ascii="Book Antiqua" w:hAnsi="Book Antiqua"/>
        </w:rPr>
        <w:t xml:space="preserve"> since then it’s been held by a combination of Kurdish forces, the Iraqi army and Shia militia. </w:t>
      </w:r>
      <w:proofErr w:type="gramStart"/>
      <w:r w:rsidRPr="00BA5249">
        <w:rPr>
          <w:rFonts w:ascii="Book Antiqua" w:hAnsi="Book Antiqua"/>
        </w:rPr>
        <w:t>Thus</w:t>
      </w:r>
      <w:proofErr w:type="gramEnd"/>
      <w:r w:rsidRPr="00BA5249">
        <w:rPr>
          <w:rFonts w:ascii="Book Antiqua" w:hAnsi="Book Antiqua"/>
        </w:rPr>
        <w:t xml:space="preserve"> the judge found as the </w:t>
      </w:r>
      <w:r w:rsidR="00112331">
        <w:rPr>
          <w:rFonts w:ascii="Book Antiqua" w:hAnsi="Book Antiqua"/>
        </w:rPr>
        <w:t>Appellant’s</w:t>
      </w:r>
      <w:r w:rsidRPr="00BA5249">
        <w:rPr>
          <w:rFonts w:ascii="Book Antiqua" w:hAnsi="Book Antiqua"/>
        </w:rPr>
        <w:t xml:space="preserve"> home area had not been held by Isis for almost 3 years, he did not consider that the country evidence showed that the he would be at </w:t>
      </w:r>
      <w:r w:rsidR="00112331">
        <w:rPr>
          <w:rFonts w:ascii="Book Antiqua" w:hAnsi="Book Antiqua"/>
        </w:rPr>
        <w:t>risk of serious harm from ISIS</w:t>
      </w:r>
      <w:r w:rsidRPr="00BA5249">
        <w:rPr>
          <w:rFonts w:ascii="Book Antiqua" w:hAnsi="Book Antiqua"/>
        </w:rPr>
        <w:t xml:space="preserve"> in his home area.</w:t>
      </w:r>
    </w:p>
    <w:p w:rsidR="006B35C9" w:rsidRPr="00BA5249" w:rsidRDefault="006B35C9" w:rsidP="00BA5249">
      <w:pPr>
        <w:numPr>
          <w:ilvl w:val="0"/>
          <w:numId w:val="2"/>
        </w:numPr>
        <w:spacing w:before="240" w:line="360" w:lineRule="auto"/>
        <w:jc w:val="both"/>
        <w:rPr>
          <w:rFonts w:ascii="Book Antiqua" w:hAnsi="Book Antiqua" w:cs="Arial"/>
        </w:rPr>
      </w:pPr>
      <w:r w:rsidRPr="00BA5249">
        <w:rPr>
          <w:rFonts w:ascii="Book Antiqua" w:hAnsi="Book Antiqua"/>
        </w:rPr>
        <w:t xml:space="preserve">I accept the submission made on behalf of the </w:t>
      </w:r>
      <w:r w:rsidR="00112331">
        <w:rPr>
          <w:rFonts w:ascii="Book Antiqua" w:hAnsi="Book Antiqua"/>
        </w:rPr>
        <w:t>Appellant</w:t>
      </w:r>
      <w:r w:rsidRPr="00BA5249">
        <w:rPr>
          <w:rFonts w:ascii="Book Antiqua" w:hAnsi="Book Antiqua"/>
        </w:rPr>
        <w:t xml:space="preserve"> that it was insufficient to depart from the country guidance decision on the basis </w:t>
      </w:r>
      <w:r w:rsidR="00112331" w:rsidRPr="00BA5249">
        <w:rPr>
          <w:rFonts w:ascii="Book Antiqua" w:hAnsi="Book Antiqua"/>
        </w:rPr>
        <w:t>of who</w:t>
      </w:r>
      <w:r w:rsidRPr="00BA5249">
        <w:rPr>
          <w:rFonts w:ascii="Book Antiqua" w:hAnsi="Book Antiqua"/>
        </w:rPr>
        <w:t xml:space="preserve"> was in control of the area. The issue of who is control of an area is not by itself sufficient to make an area a </w:t>
      </w:r>
      <w:r w:rsidRPr="00BA5249">
        <w:rPr>
          <w:rFonts w:ascii="Book Antiqua" w:hAnsi="Book Antiqua"/>
        </w:rPr>
        <w:lastRenderedPageBreak/>
        <w:t>“contested area” and there are other issues that are relevant before reaching an overall decision that the area is no longer a “contested area”.</w:t>
      </w:r>
    </w:p>
    <w:p w:rsidR="006B35C9" w:rsidRPr="00BA5249" w:rsidRDefault="006B35C9"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In </w:t>
      </w:r>
      <w:r w:rsidRPr="00112331">
        <w:rPr>
          <w:rFonts w:ascii="Book Antiqua" w:hAnsi="Book Antiqua" w:cs="Arial"/>
          <w:i/>
        </w:rPr>
        <w:t>AA (Iraq)</w:t>
      </w:r>
      <w:r w:rsidRPr="00BA5249">
        <w:rPr>
          <w:rFonts w:ascii="Book Antiqua" w:hAnsi="Book Antiqua" w:cs="Arial"/>
        </w:rPr>
        <w:t xml:space="preserve"> the </w:t>
      </w:r>
      <w:r w:rsidR="00112331">
        <w:rPr>
          <w:rFonts w:ascii="Book Antiqua" w:hAnsi="Book Antiqua" w:cs="Arial"/>
        </w:rPr>
        <w:t>Tribunal</w:t>
      </w:r>
      <w:r w:rsidRPr="00BA5249">
        <w:rPr>
          <w:rFonts w:ascii="Book Antiqua" w:hAnsi="Book Antiqua" w:cs="Arial"/>
        </w:rPr>
        <w:t xml:space="preserve"> stated as follows:</w:t>
      </w:r>
    </w:p>
    <w:p w:rsidR="006B35C9" w:rsidRPr="00BA5249" w:rsidRDefault="006B35C9" w:rsidP="00BA5249">
      <w:pPr>
        <w:pStyle w:val="Level1"/>
        <w:numPr>
          <w:ilvl w:val="0"/>
          <w:numId w:val="0"/>
        </w:numPr>
        <w:spacing w:line="360" w:lineRule="auto"/>
        <w:ind w:left="567"/>
        <w:jc w:val="both"/>
        <w:rPr>
          <w:rFonts w:ascii="Book Antiqua" w:hAnsi="Book Antiqua"/>
        </w:rPr>
      </w:pPr>
      <w:r w:rsidRPr="00BA5249">
        <w:rPr>
          <w:rFonts w:ascii="Book Antiqua" w:hAnsi="Book Antiqua"/>
        </w:rPr>
        <w:t>“89.</w:t>
      </w:r>
      <w:r w:rsidR="00316346">
        <w:rPr>
          <w:rFonts w:ascii="Book Antiqua" w:hAnsi="Book Antiqua"/>
        </w:rPr>
        <w:t xml:space="preserve"> </w:t>
      </w:r>
      <w:r w:rsidRPr="00BA5249">
        <w:rPr>
          <w:rFonts w:ascii="Book Antiqua" w:hAnsi="Book Antiqua"/>
        </w:rPr>
        <w:t xml:space="preserve">Both parties accepted that we should take an inclusive approach to our consideration of Article 15(c). This was the approach adopted by the </w:t>
      </w:r>
      <w:r w:rsidR="00112331">
        <w:rPr>
          <w:rFonts w:ascii="Book Antiqua" w:hAnsi="Book Antiqua"/>
        </w:rPr>
        <w:t>Tribunal</w:t>
      </w:r>
      <w:r w:rsidRPr="00BA5249">
        <w:rPr>
          <w:rFonts w:ascii="Book Antiqua" w:hAnsi="Book Antiqua"/>
        </w:rPr>
        <w:t xml:space="preserve"> in both </w:t>
      </w:r>
      <w:r w:rsidRPr="00BA5249">
        <w:rPr>
          <w:rFonts w:ascii="Book Antiqua" w:hAnsi="Book Antiqua"/>
          <w:u w:val="single"/>
        </w:rPr>
        <w:t>HM1</w:t>
      </w:r>
      <w:r w:rsidRPr="00BA5249">
        <w:rPr>
          <w:rFonts w:ascii="Book Antiqua" w:hAnsi="Book Antiqua"/>
        </w:rPr>
        <w:t xml:space="preserve"> and </w:t>
      </w:r>
      <w:r w:rsidRPr="00BA5249">
        <w:rPr>
          <w:rFonts w:ascii="Book Antiqua" w:hAnsi="Book Antiqua"/>
          <w:u w:val="single"/>
        </w:rPr>
        <w:t>HM2</w:t>
      </w:r>
      <w:r w:rsidRPr="00BA5249">
        <w:rPr>
          <w:rFonts w:ascii="Book Antiqua" w:hAnsi="Book Antiqua"/>
        </w:rPr>
        <w:t xml:space="preserve"> as well as in numerous other country guidance decisions of this </w:t>
      </w:r>
      <w:r w:rsidR="00112331">
        <w:rPr>
          <w:rFonts w:ascii="Book Antiqua" w:hAnsi="Book Antiqua"/>
        </w:rPr>
        <w:t>Tribunal</w:t>
      </w:r>
      <w:r w:rsidRPr="00BA5249">
        <w:rPr>
          <w:rFonts w:ascii="Book Antiqua" w:hAnsi="Book Antiqua"/>
        </w:rPr>
        <w:t xml:space="preserve">. We remind ourselves that such an approach requires an analysis of the violence that is both qualitative and quantitative and is not to be restricted to a purely quantitative analysis of the number of civilian deaths and injuries in Iraq, or in any particular governorate within Iraq. The list of factors relevant to such an analysis is non-exhaustive but includes within them the conduct, and relevant strength, of the parties to the conflict (see, for example, </w:t>
      </w:r>
      <w:r w:rsidRPr="00BA5249">
        <w:rPr>
          <w:rFonts w:ascii="Book Antiqua" w:hAnsi="Book Antiqua"/>
          <w:u w:val="single"/>
        </w:rPr>
        <w:t>AK (Article 15(c)) Afghanistan</w:t>
      </w:r>
      <w:r w:rsidRPr="00BA5249">
        <w:rPr>
          <w:rFonts w:ascii="Book Antiqua" w:hAnsi="Book Antiqua"/>
        </w:rPr>
        <w:t xml:space="preserve"> CG [2012] UKUT 00163 at [163]), the number of civilian deaths and injuries; including psychological injuries caused by the conflict, the level of displacement and the geographical scope of the conflict.”</w:t>
      </w:r>
    </w:p>
    <w:p w:rsidR="006B35C9" w:rsidRPr="00BA5249" w:rsidRDefault="00A609C8" w:rsidP="00BA5249">
      <w:pPr>
        <w:numPr>
          <w:ilvl w:val="0"/>
          <w:numId w:val="2"/>
        </w:numPr>
        <w:spacing w:before="240" w:line="360" w:lineRule="auto"/>
        <w:jc w:val="both"/>
        <w:rPr>
          <w:rFonts w:ascii="Book Antiqua" w:hAnsi="Book Antiqua" w:cs="Arial"/>
        </w:rPr>
      </w:pPr>
      <w:proofErr w:type="gramStart"/>
      <w:r w:rsidRPr="00BA5249">
        <w:rPr>
          <w:rFonts w:ascii="Book Antiqua" w:hAnsi="Book Antiqua"/>
        </w:rPr>
        <w:t>Thus</w:t>
      </w:r>
      <w:proofErr w:type="gramEnd"/>
      <w:r w:rsidRPr="00BA5249">
        <w:rPr>
          <w:rFonts w:ascii="Book Antiqua" w:hAnsi="Book Antiqua"/>
        </w:rPr>
        <w:t xml:space="preserve"> there were a number of issues that would be of relevance before reaching the overall conclusion to depart from the country guidance. It is right, as Mr </w:t>
      </w:r>
      <w:proofErr w:type="spellStart"/>
      <w:r w:rsidRPr="00BA5249">
        <w:rPr>
          <w:rFonts w:ascii="Book Antiqua" w:hAnsi="Book Antiqua"/>
        </w:rPr>
        <w:t>Diwnycz</w:t>
      </w:r>
      <w:proofErr w:type="spellEnd"/>
      <w:r w:rsidRPr="00BA5249">
        <w:rPr>
          <w:rFonts w:ascii="Book Antiqua" w:hAnsi="Book Antiqua"/>
        </w:rPr>
        <w:t xml:space="preserve"> submitted that the judge did consider one of those issues namely that the level of violence had declined by reference to the various tables from Joel Wings Musings on Iraq. Those tables had previously been referred to by Dr George (when giving expert evidence) who considered them to be a reliable source of information (see paragraph 53 of</w:t>
      </w:r>
      <w:r w:rsidR="00112331">
        <w:rPr>
          <w:rFonts w:ascii="Book Antiqua" w:hAnsi="Book Antiqua"/>
        </w:rPr>
        <w:t xml:space="preserve"> </w:t>
      </w:r>
      <w:r w:rsidR="00112331" w:rsidRPr="00112331">
        <w:rPr>
          <w:rFonts w:ascii="Book Antiqua" w:hAnsi="Book Antiqua"/>
          <w:i/>
        </w:rPr>
        <w:t xml:space="preserve">BA (Returns to Baghdad) Iraq CG </w:t>
      </w:r>
      <w:r w:rsidR="00112331">
        <w:rPr>
          <w:rFonts w:ascii="Book Antiqua" w:hAnsi="Book Antiqua"/>
        </w:rPr>
        <w:t>[2017] UKUT 00018</w:t>
      </w:r>
      <w:r w:rsidRPr="00BA5249">
        <w:rPr>
          <w:rFonts w:ascii="Book Antiqua" w:hAnsi="Book Antiqua"/>
        </w:rPr>
        <w:t xml:space="preserve">. Two issues arise from those tables. As to violence in the province, the tables show a </w:t>
      </w:r>
      <w:r w:rsidR="00112331">
        <w:rPr>
          <w:rFonts w:ascii="Book Antiqua" w:hAnsi="Book Antiqua"/>
        </w:rPr>
        <w:t xml:space="preserve">small </w:t>
      </w:r>
      <w:r w:rsidRPr="00BA5249">
        <w:rPr>
          <w:rFonts w:ascii="Book Antiqua" w:hAnsi="Book Antiqua"/>
        </w:rPr>
        <w:t xml:space="preserve">reduction as at March 2017 compared with May 2015 from 47 to 34 security incidents. However as set out at paragraph 89 of AA (Iraq) it was necessary to make an analysis of the violence that was both qualitative and quantitative. </w:t>
      </w:r>
      <w:proofErr w:type="gramStart"/>
      <w:r w:rsidRPr="00BA5249">
        <w:rPr>
          <w:rFonts w:ascii="Book Antiqua" w:hAnsi="Book Antiqua"/>
        </w:rPr>
        <w:t>Furthermore</w:t>
      </w:r>
      <w:proofErr w:type="gramEnd"/>
      <w:r w:rsidRPr="00BA5249">
        <w:rPr>
          <w:rFonts w:ascii="Book Antiqua" w:hAnsi="Book Antiqua"/>
        </w:rPr>
        <w:t xml:space="preserve"> by reference to the table that Mr Cole had produced (which showed comparative figures for 2018) in some respects the security incidents had either increased or were little different to that in 2017. Whilst those 2018 figures would not have been available to the judge, it does demonstrate that </w:t>
      </w:r>
      <w:r w:rsidRPr="00BA5249">
        <w:rPr>
          <w:rFonts w:ascii="Book Antiqua" w:hAnsi="Book Antiqua"/>
        </w:rPr>
        <w:lastRenderedPageBreak/>
        <w:t>there had been no durable changes which would be required in this respect if seeking to depart from the country guidance.</w:t>
      </w:r>
    </w:p>
    <w:p w:rsidR="00A609C8" w:rsidRPr="00BA5249" w:rsidRDefault="00A609C8" w:rsidP="00BA5249">
      <w:pPr>
        <w:numPr>
          <w:ilvl w:val="0"/>
          <w:numId w:val="2"/>
        </w:numPr>
        <w:spacing w:before="240" w:line="360" w:lineRule="auto"/>
        <w:jc w:val="both"/>
        <w:rPr>
          <w:rFonts w:ascii="Book Antiqua" w:hAnsi="Book Antiqua" w:cs="Arial"/>
        </w:rPr>
      </w:pPr>
      <w:r w:rsidRPr="00BA5249">
        <w:rPr>
          <w:rFonts w:ascii="Book Antiqua" w:hAnsi="Book Antiqua"/>
        </w:rPr>
        <w:t>Mr Cole also made reference to the material in his bundle that was relevant to the geographical area of the conflict.</w:t>
      </w:r>
      <w:r w:rsidR="00FF472F" w:rsidRPr="00BA5249">
        <w:rPr>
          <w:rFonts w:ascii="Book Antiqua" w:hAnsi="Book Antiqua"/>
        </w:rPr>
        <w:t xml:space="preserve"> At pages 110 – 111 of the </w:t>
      </w:r>
      <w:r w:rsidR="00112331">
        <w:rPr>
          <w:rFonts w:ascii="Book Antiqua" w:hAnsi="Book Antiqua"/>
        </w:rPr>
        <w:t>Appellant’s</w:t>
      </w:r>
      <w:r w:rsidR="00FF472F" w:rsidRPr="00BA5249">
        <w:rPr>
          <w:rFonts w:ascii="Book Antiqua" w:hAnsi="Book Antiqua"/>
        </w:rPr>
        <w:t xml:space="preserve"> bundle, there was reference to the position of </w:t>
      </w:r>
      <w:proofErr w:type="spellStart"/>
      <w:r w:rsidR="00FF472F" w:rsidRPr="00BA5249">
        <w:rPr>
          <w:rFonts w:ascii="Book Antiqua" w:hAnsi="Book Antiqua"/>
        </w:rPr>
        <w:t>Diyala</w:t>
      </w:r>
      <w:proofErr w:type="spellEnd"/>
      <w:r w:rsidR="00FF472F" w:rsidRPr="00BA5249">
        <w:rPr>
          <w:rFonts w:ascii="Book Antiqua" w:hAnsi="Book Antiqua"/>
        </w:rPr>
        <w:t xml:space="preserve"> and that it was attractive to military groups because of its geography and terrain and at page 107 refers to Isis being driven out of Mosul and the setting up of new bases in the </w:t>
      </w:r>
      <w:proofErr w:type="spellStart"/>
      <w:r w:rsidR="00FF472F" w:rsidRPr="00BA5249">
        <w:rPr>
          <w:rFonts w:ascii="Book Antiqua" w:hAnsi="Book Antiqua"/>
        </w:rPr>
        <w:t>Hamrin</w:t>
      </w:r>
      <w:proofErr w:type="spellEnd"/>
      <w:r w:rsidR="00FF472F" w:rsidRPr="00BA5249">
        <w:rPr>
          <w:rFonts w:ascii="Book Antiqua" w:hAnsi="Book Antiqua"/>
        </w:rPr>
        <w:t xml:space="preserve"> Mountain area which, as I understand it, extends to the province of </w:t>
      </w:r>
      <w:proofErr w:type="spellStart"/>
      <w:r w:rsidR="00FF472F" w:rsidRPr="00BA5249">
        <w:rPr>
          <w:rFonts w:ascii="Book Antiqua" w:hAnsi="Book Antiqua"/>
        </w:rPr>
        <w:t>Diyala</w:t>
      </w:r>
      <w:proofErr w:type="spellEnd"/>
      <w:r w:rsidR="00FF472F" w:rsidRPr="00BA5249">
        <w:rPr>
          <w:rFonts w:ascii="Book Antiqua" w:hAnsi="Book Antiqua"/>
        </w:rPr>
        <w:t xml:space="preserve">. There has also been reference to </w:t>
      </w:r>
      <w:proofErr w:type="spellStart"/>
      <w:r w:rsidR="00FF472F" w:rsidRPr="00BA5249">
        <w:rPr>
          <w:rFonts w:ascii="Book Antiqua" w:hAnsi="Book Antiqua"/>
        </w:rPr>
        <w:t>Diyala</w:t>
      </w:r>
      <w:proofErr w:type="spellEnd"/>
      <w:r w:rsidR="00FF472F" w:rsidRPr="00BA5249">
        <w:rPr>
          <w:rFonts w:ascii="Book Antiqua" w:hAnsi="Book Antiqua"/>
        </w:rPr>
        <w:t xml:space="preserve"> being used to launch attacks on Baghdad. Some of the material in this respect was of a limited nature but it was necessary to make an analysis of all of the relevant issues.</w:t>
      </w:r>
    </w:p>
    <w:p w:rsidR="006B35C9" w:rsidRPr="00BA5249" w:rsidRDefault="00A609C8"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For those reasons, </w:t>
      </w:r>
      <w:r w:rsidR="00FF472F" w:rsidRPr="00BA5249">
        <w:rPr>
          <w:rFonts w:ascii="Book Antiqua" w:hAnsi="Book Antiqua" w:cs="Arial"/>
        </w:rPr>
        <w:t>I am satisfied th</w:t>
      </w:r>
      <w:r w:rsidRPr="00BA5249">
        <w:rPr>
          <w:rFonts w:ascii="Book Antiqua" w:hAnsi="Book Antiqua" w:cs="Arial"/>
        </w:rPr>
        <w:t xml:space="preserve">at ground one is made out. However, that is not to say that a judge dealing with the case of one of the </w:t>
      </w:r>
      <w:r w:rsidR="00FF472F" w:rsidRPr="00BA5249">
        <w:rPr>
          <w:rFonts w:ascii="Book Antiqua" w:hAnsi="Book Antiqua" w:cs="Arial"/>
        </w:rPr>
        <w:t>“</w:t>
      </w:r>
      <w:r w:rsidRPr="00BA5249">
        <w:rPr>
          <w:rFonts w:ascii="Book Antiqua" w:hAnsi="Book Antiqua" w:cs="Arial"/>
        </w:rPr>
        <w:t>contested areas</w:t>
      </w:r>
      <w:r w:rsidR="00FF472F" w:rsidRPr="00BA5249">
        <w:rPr>
          <w:rFonts w:ascii="Book Antiqua" w:hAnsi="Book Antiqua" w:cs="Arial"/>
        </w:rPr>
        <w:t>”</w:t>
      </w:r>
      <w:r w:rsidRPr="00BA5249">
        <w:rPr>
          <w:rFonts w:ascii="Book Antiqua" w:hAnsi="Book Antiqua" w:cs="Arial"/>
        </w:rPr>
        <w:t xml:space="preserve"> would not be so entitled to reach such a conclusion but it will depend on a full analysis of all the issues and in the light of the material that is presented.</w:t>
      </w:r>
    </w:p>
    <w:p w:rsidR="003C7E4A" w:rsidRPr="00BA5249" w:rsidRDefault="00FF472F"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I now deal with the second issue and are set out above Mr </w:t>
      </w:r>
      <w:proofErr w:type="spellStart"/>
      <w:r w:rsidRPr="00BA5249">
        <w:rPr>
          <w:rFonts w:ascii="Book Antiqua" w:hAnsi="Book Antiqua" w:cs="Arial"/>
        </w:rPr>
        <w:t>Diwnycz</w:t>
      </w:r>
      <w:proofErr w:type="spellEnd"/>
      <w:r w:rsidRPr="00BA5249">
        <w:rPr>
          <w:rFonts w:ascii="Book Antiqua" w:hAnsi="Book Antiqua" w:cs="Arial"/>
        </w:rPr>
        <w:t xml:space="preserve"> properly accepts that there is an error in the assessment of return. I shall set out why I agree with that position.</w:t>
      </w:r>
    </w:p>
    <w:p w:rsidR="0046338F" w:rsidRPr="0046338F" w:rsidRDefault="00415157" w:rsidP="00BA5249">
      <w:pPr>
        <w:numPr>
          <w:ilvl w:val="0"/>
          <w:numId w:val="2"/>
        </w:numPr>
        <w:spacing w:before="240" w:line="360" w:lineRule="auto"/>
        <w:jc w:val="both"/>
        <w:rPr>
          <w:rFonts w:ascii="Book Antiqua" w:hAnsi="Book Antiqua" w:cs="Arial"/>
        </w:rPr>
      </w:pPr>
      <w:r w:rsidRPr="00BA5249">
        <w:rPr>
          <w:rFonts w:ascii="Book Antiqua" w:hAnsi="Book Antiqua"/>
        </w:rPr>
        <w:t xml:space="preserve">The Court of Appeal has provided the following guidance </w:t>
      </w:r>
      <w:r w:rsidR="00112331" w:rsidRPr="00BA5249">
        <w:rPr>
          <w:rFonts w:ascii="Book Antiqua" w:hAnsi="Book Antiqua"/>
        </w:rPr>
        <w:t>in the</w:t>
      </w:r>
      <w:r w:rsidRPr="00BA5249">
        <w:rPr>
          <w:rFonts w:ascii="Book Antiqua" w:hAnsi="Book Antiqua"/>
        </w:rPr>
        <w:t xml:space="preserve"> decision of AA (Iraq) CG [2017] EWCA </w:t>
      </w:r>
      <w:proofErr w:type="spellStart"/>
      <w:r w:rsidRPr="00BA5249">
        <w:rPr>
          <w:rFonts w:ascii="Book Antiqua" w:hAnsi="Book Antiqua"/>
        </w:rPr>
        <w:t>Civ</w:t>
      </w:r>
      <w:proofErr w:type="spellEnd"/>
      <w:r w:rsidRPr="00BA5249">
        <w:rPr>
          <w:rFonts w:ascii="Book Antiqua" w:hAnsi="Book Antiqua"/>
        </w:rPr>
        <w:t xml:space="preserve"> 944.</w:t>
      </w:r>
    </w:p>
    <w:p w:rsidR="0046338F" w:rsidRDefault="00415157" w:rsidP="0046338F">
      <w:pPr>
        <w:spacing w:before="240" w:line="360" w:lineRule="auto"/>
        <w:ind w:left="1134"/>
        <w:rPr>
          <w:rFonts w:ascii="Book Antiqua" w:hAnsi="Book Antiqua"/>
        </w:rPr>
      </w:pPr>
      <w:r w:rsidRPr="00BA5249">
        <w:rPr>
          <w:rFonts w:ascii="Book Antiqua" w:hAnsi="Book Antiqua"/>
        </w:rPr>
        <w:t xml:space="preserve">A. INDISCRIMINATE VIOLENCE IN IRAQ: ARTICLE 15(C) OF THE QUALIFICATION </w:t>
      </w:r>
      <w:r w:rsidR="00FF472F" w:rsidRPr="00BA5249">
        <w:rPr>
          <w:rFonts w:ascii="Book Antiqua" w:hAnsi="Book Antiqua"/>
        </w:rPr>
        <w:t>DIRECTIVE</w:t>
      </w:r>
    </w:p>
    <w:p w:rsidR="0046338F" w:rsidRDefault="00415157" w:rsidP="0046338F">
      <w:pPr>
        <w:spacing w:before="240" w:line="360" w:lineRule="auto"/>
        <w:ind w:left="1134"/>
        <w:rPr>
          <w:rFonts w:ascii="Book Antiqua" w:hAnsi="Book Antiqua"/>
        </w:rPr>
      </w:pPr>
      <w:r w:rsidRPr="00BA5249">
        <w:rPr>
          <w:rFonts w:ascii="Book Antiqua" w:hAnsi="Book Antiqua"/>
        </w:rPr>
        <w:t xml:space="preserve">There is at present a state of internal armed conflict in certain parts of Iraq, involving government security forces, militias of various kinds, and the Islamist group known as ISIL. The intensity of this armed conflict in the so-called "contested areas", comprising the governorates of Anbar, </w:t>
      </w:r>
      <w:proofErr w:type="spellStart"/>
      <w:r w:rsidRPr="00BA5249">
        <w:rPr>
          <w:rFonts w:ascii="Book Antiqua" w:hAnsi="Book Antiqua"/>
        </w:rPr>
        <w:t>Diyala</w:t>
      </w:r>
      <w:proofErr w:type="spellEnd"/>
      <w:r w:rsidRPr="00BA5249">
        <w:rPr>
          <w:rFonts w:ascii="Book Antiqua" w:hAnsi="Book Antiqua"/>
        </w:rPr>
        <w:t xml:space="preserve">, Kirkuk (aka </w:t>
      </w:r>
      <w:proofErr w:type="spellStart"/>
      <w:r w:rsidRPr="00BA5249">
        <w:rPr>
          <w:rFonts w:ascii="Book Antiqua" w:hAnsi="Book Antiqua"/>
        </w:rPr>
        <w:t>Ta'min</w:t>
      </w:r>
      <w:proofErr w:type="spellEnd"/>
      <w:r w:rsidRPr="00BA5249">
        <w:rPr>
          <w:rFonts w:ascii="Book Antiqua" w:hAnsi="Book Antiqua"/>
        </w:rPr>
        <w:t xml:space="preserve">), </w:t>
      </w:r>
      <w:proofErr w:type="spellStart"/>
      <w:r w:rsidRPr="00BA5249">
        <w:rPr>
          <w:rFonts w:ascii="Book Antiqua" w:hAnsi="Book Antiqua"/>
        </w:rPr>
        <w:t>Ninewah</w:t>
      </w:r>
      <w:proofErr w:type="spellEnd"/>
      <w:r w:rsidRPr="00BA5249">
        <w:rPr>
          <w:rFonts w:ascii="Book Antiqua" w:hAnsi="Book Antiqua"/>
        </w:rPr>
        <w:t xml:space="preserve"> and Salah Al-din, is such that, as a general matter, there are substantial grounds for believing that any civilian returned there, solely on </w:t>
      </w:r>
      <w:r w:rsidRPr="00BA5249">
        <w:rPr>
          <w:rFonts w:ascii="Book Antiqua" w:hAnsi="Book Antiqua"/>
        </w:rPr>
        <w:lastRenderedPageBreak/>
        <w:t xml:space="preserve">account of his or her presence there, faces a real risk of being subjected to indiscriminate violence amounting to serious harm within the scope of Article 15(c) of the Qualification Directive. </w:t>
      </w:r>
    </w:p>
    <w:p w:rsidR="0046338F" w:rsidRDefault="00415157" w:rsidP="0046338F">
      <w:pPr>
        <w:spacing w:before="240" w:line="360" w:lineRule="auto"/>
        <w:ind w:left="567"/>
        <w:rPr>
          <w:rFonts w:ascii="Book Antiqua" w:hAnsi="Book Antiqua"/>
        </w:rPr>
      </w:pPr>
      <w:r w:rsidRPr="00BA5249">
        <w:rPr>
          <w:rFonts w:ascii="Book Antiqua" w:hAnsi="Book Antiqua"/>
        </w:rPr>
        <w:t>In making that finding the Court of Appeal adheres to what was said in AA (Iraq) CG [2015] UKUT 0054 (IAC). The following guidance is also found in AA (Iraq</w:t>
      </w:r>
      <w:r w:rsidR="00112331" w:rsidRPr="00BA5249">
        <w:rPr>
          <w:rFonts w:ascii="Book Antiqua" w:hAnsi="Book Antiqua"/>
        </w:rPr>
        <w:t xml:space="preserve">) </w:t>
      </w:r>
    </w:p>
    <w:p w:rsidR="003C7E4A" w:rsidRPr="00BA5249" w:rsidRDefault="00415157" w:rsidP="0046338F">
      <w:pPr>
        <w:spacing w:before="240" w:line="360" w:lineRule="auto"/>
        <w:ind w:left="1134"/>
        <w:rPr>
          <w:rFonts w:ascii="Book Antiqua" w:hAnsi="Book Antiqua" w:cs="Arial"/>
        </w:rPr>
      </w:pPr>
      <w:r w:rsidRPr="00BA5249">
        <w:rPr>
          <w:rFonts w:ascii="Book Antiqua" w:hAnsi="Book Antiqua"/>
        </w:rPr>
        <w:t>D. INTERNAL RELOCATION WITHIN IRAQ (OTHER THAN THE IKR</w:t>
      </w:r>
      <w:r w:rsidR="00112331" w:rsidRPr="00BA5249">
        <w:rPr>
          <w:rFonts w:ascii="Book Antiqua" w:hAnsi="Book Antiqua"/>
        </w:rPr>
        <w:t xml:space="preserve">) </w:t>
      </w:r>
      <w:r w:rsidRPr="00BA5249">
        <w:rPr>
          <w:rFonts w:ascii="Book Antiqua" w:hAnsi="Book Antiqua"/>
        </w:rPr>
        <w:br/>
        <w:t xml:space="preserve">14. As a general matter, it will not be unreasonable or unduly harsh for a person from a contested area to relocate to Baghdad City or (subject to paragraph 2 above) the Baghdad Belts. </w:t>
      </w:r>
      <w:r w:rsidRPr="00BA5249">
        <w:rPr>
          <w:rFonts w:ascii="Book Antiqua" w:hAnsi="Book Antiqua"/>
        </w:rPr>
        <w:br/>
        <w:t>15. In assessing whether it would be unreasonable/unduly harsh for P to relocate to Baghdad, the following factors are, however, likely to be relevant:</w:t>
      </w:r>
      <w:r w:rsidRPr="00BA5249">
        <w:rPr>
          <w:rFonts w:ascii="Book Antiqua" w:hAnsi="Book Antiqua"/>
        </w:rPr>
        <w:br/>
        <w:t>(a) whether P has a CSID or will be able to obtain one (see Part C above);</w:t>
      </w:r>
      <w:r w:rsidRPr="00BA5249">
        <w:rPr>
          <w:rFonts w:ascii="Book Antiqua" w:hAnsi="Book Antiqua"/>
        </w:rPr>
        <w:br/>
        <w:t>(b) whether P can speak Arabic (those who cannot are less likely to find employment);</w:t>
      </w:r>
      <w:r w:rsidRPr="00BA5249">
        <w:rPr>
          <w:rFonts w:ascii="Book Antiqua" w:hAnsi="Book Antiqua"/>
        </w:rPr>
        <w:br/>
        <w:t>(c) whether P has family members or friends in Baghdad able to accommodate him;</w:t>
      </w:r>
      <w:r w:rsidRPr="00BA5249">
        <w:rPr>
          <w:rFonts w:ascii="Book Antiqua" w:hAnsi="Book Antiqua"/>
        </w:rPr>
        <w:br/>
        <w:t>(d) whether P is a lone female (women face greater difficulties than men in finding employment);</w:t>
      </w:r>
      <w:r w:rsidRPr="00BA5249">
        <w:rPr>
          <w:rFonts w:ascii="Book Antiqua" w:hAnsi="Book Antiqua"/>
        </w:rPr>
        <w:br/>
        <w:t>(e) whether P can find a sponsor to access a hotel room or rent accommodation;</w:t>
      </w:r>
      <w:r w:rsidRPr="00BA5249">
        <w:rPr>
          <w:rFonts w:ascii="Book Antiqua" w:hAnsi="Book Antiqua"/>
        </w:rPr>
        <w:br/>
        <w:t>(f) whether P is from a minority community;</w:t>
      </w:r>
      <w:r w:rsidRPr="00BA5249">
        <w:rPr>
          <w:rFonts w:ascii="Book Antiqua" w:hAnsi="Book Antiqua"/>
        </w:rPr>
        <w:br/>
        <w:t>(g) whether there is support available for P bearing in mind there is some evidence that returned failed asylum seekers are provided with the support generally given to IDPs.</w:t>
      </w:r>
      <w:r w:rsidRPr="00BA5249">
        <w:rPr>
          <w:rFonts w:ascii="Book Antiqua" w:hAnsi="Book Antiqua"/>
        </w:rPr>
        <w:br/>
        <w:t xml:space="preserve">16. There is not a real risk of an ordinary civilian travelling from Baghdad airport to the southern governorates, suffering serious harm </w:t>
      </w:r>
      <w:proofErr w:type="spellStart"/>
      <w:r w:rsidRPr="00BA5249">
        <w:rPr>
          <w:rFonts w:ascii="Book Antiqua" w:hAnsi="Book Antiqua"/>
        </w:rPr>
        <w:t>en</w:t>
      </w:r>
      <w:proofErr w:type="spellEnd"/>
      <w:r w:rsidRPr="00BA5249">
        <w:rPr>
          <w:rFonts w:ascii="Book Antiqua" w:hAnsi="Book Antiqua"/>
        </w:rPr>
        <w:t xml:space="preserve"> route to such governorates so as engage Article 15(c).</w:t>
      </w:r>
    </w:p>
    <w:p w:rsidR="00415157" w:rsidRPr="00BA5249" w:rsidRDefault="00415157" w:rsidP="0046338F">
      <w:pPr>
        <w:spacing w:before="240" w:line="360" w:lineRule="auto"/>
        <w:ind w:left="1134"/>
        <w:rPr>
          <w:rFonts w:ascii="Book Antiqua" w:hAnsi="Book Antiqua" w:cs="Arial"/>
        </w:rPr>
      </w:pPr>
      <w:r w:rsidRPr="00BA5249">
        <w:rPr>
          <w:rFonts w:ascii="Book Antiqua" w:hAnsi="Book Antiqua"/>
        </w:rPr>
        <w:t>E. IRAQI KURDISH REGION</w:t>
      </w:r>
      <w:r w:rsidRPr="00BA5249">
        <w:rPr>
          <w:rFonts w:ascii="Book Antiqua" w:hAnsi="Book Antiqua"/>
        </w:rPr>
        <w:br/>
        <w:t xml:space="preserve">17. The </w:t>
      </w:r>
      <w:r w:rsidR="00112331">
        <w:rPr>
          <w:rFonts w:ascii="Book Antiqua" w:hAnsi="Book Antiqua"/>
        </w:rPr>
        <w:t>Respondent</w:t>
      </w:r>
      <w:r w:rsidRPr="00BA5249">
        <w:rPr>
          <w:rFonts w:ascii="Book Antiqua" w:hAnsi="Book Antiqua"/>
        </w:rPr>
        <w:t xml:space="preserve"> will only return P to the IKR if P originates from the IKR and P's identity has been 'pre-cleared' with the IKR authorities. The authorities </w:t>
      </w:r>
      <w:r w:rsidRPr="00BA5249">
        <w:rPr>
          <w:rFonts w:ascii="Book Antiqua" w:hAnsi="Book Antiqua"/>
        </w:rPr>
        <w:lastRenderedPageBreak/>
        <w:t xml:space="preserve">in the IKR do not require P to have an expired or current passport, or laissez passer. </w:t>
      </w:r>
      <w:r w:rsidRPr="00BA5249">
        <w:rPr>
          <w:rFonts w:ascii="Book Antiqua" w:hAnsi="Book Antiqua"/>
        </w:rPr>
        <w:br/>
        <w:t>18. The IKR is virtually violence free. There is no Article 15(c) risk to an ordinary civilian in the IKR.</w:t>
      </w:r>
      <w:r w:rsidRPr="00BA5249">
        <w:rPr>
          <w:rFonts w:ascii="Book Antiqua" w:hAnsi="Book Antiqua"/>
        </w:rPr>
        <w:br/>
        <w:t>19. A Kurd (K) who does not originate from the IKR can obtain entry for 10 days as a visitor and then renew this entry permission for a further 10 days. If K finds employment, K can remain for longer, although K will need to register with the authorities and provide details of the employer. There is no evidence that the IKR authorities pro-actively remove Kurds from the IKR whose permits have come to an end.</w:t>
      </w:r>
      <w:r w:rsidRPr="00BA5249">
        <w:rPr>
          <w:rFonts w:ascii="Book Antiqua" w:hAnsi="Book Antiqua"/>
        </w:rPr>
        <w:br/>
        <w:t>20. Whether K, if returned to Baghdad, can reasonably be expected to avoid any potential undue harshness in that city by travelling to the IKR, will be fact sensitive; and is likely to involve an assessment of (a) the practicality of travel from Baghdad to the IKR (such as to Irbil by air); (b) the likelihood of K's securing employment in the IKR; and (c) the availability of assistance from family and friends in the IKR.</w:t>
      </w:r>
      <w:r w:rsidRPr="00BA5249">
        <w:rPr>
          <w:rFonts w:ascii="Book Antiqua" w:hAnsi="Book Antiqua"/>
        </w:rPr>
        <w:br/>
        <w:t>21. As a general matter, a non-Kurd who is at real risk in a home area in Iraq is unlikely to be able to relocate to the IKR.</w:t>
      </w:r>
    </w:p>
    <w:p w:rsidR="00415157" w:rsidRPr="00BA5249" w:rsidRDefault="00415157" w:rsidP="00BA5249">
      <w:pPr>
        <w:numPr>
          <w:ilvl w:val="0"/>
          <w:numId w:val="2"/>
        </w:numPr>
        <w:spacing w:before="240" w:line="360" w:lineRule="auto"/>
        <w:jc w:val="both"/>
        <w:rPr>
          <w:rFonts w:ascii="Book Antiqua" w:hAnsi="Book Antiqua" w:cs="Arial"/>
        </w:rPr>
      </w:pPr>
      <w:r w:rsidRPr="00BA5249">
        <w:rPr>
          <w:rFonts w:ascii="Book Antiqua" w:hAnsi="Book Antiqua"/>
        </w:rPr>
        <w:t xml:space="preserve">The judge made an assessment that the </w:t>
      </w:r>
      <w:r w:rsidR="00112331">
        <w:rPr>
          <w:rFonts w:ascii="Book Antiqua" w:hAnsi="Book Antiqua"/>
        </w:rPr>
        <w:t>Appellant</w:t>
      </w:r>
      <w:r w:rsidR="007D1437">
        <w:rPr>
          <w:rFonts w:ascii="Book Antiqua" w:hAnsi="Book Antiqua"/>
        </w:rPr>
        <w:t xml:space="preserve"> could return to his home </w:t>
      </w:r>
      <w:proofErr w:type="spellStart"/>
      <w:r w:rsidR="007D1437">
        <w:rPr>
          <w:rFonts w:ascii="Book Antiqua" w:hAnsi="Book Antiqua"/>
        </w:rPr>
        <w:t>goveno</w:t>
      </w:r>
      <w:r w:rsidR="00112331">
        <w:rPr>
          <w:rFonts w:ascii="Book Antiqua" w:hAnsi="Book Antiqua"/>
        </w:rPr>
        <w:t>rate</w:t>
      </w:r>
      <w:proofErr w:type="spellEnd"/>
      <w:r w:rsidRPr="00BA5249">
        <w:rPr>
          <w:rFonts w:ascii="Book Antiqua" w:hAnsi="Book Antiqua"/>
        </w:rPr>
        <w:t xml:space="preserve"> of </w:t>
      </w:r>
      <w:proofErr w:type="spellStart"/>
      <w:r w:rsidRPr="00BA5249">
        <w:rPr>
          <w:rFonts w:ascii="Book Antiqua" w:hAnsi="Book Antiqua"/>
        </w:rPr>
        <w:t>Diyala</w:t>
      </w:r>
      <w:proofErr w:type="spellEnd"/>
      <w:r w:rsidRPr="00BA5249">
        <w:rPr>
          <w:rFonts w:ascii="Book Antiqua" w:hAnsi="Book Antiqua"/>
        </w:rPr>
        <w:t xml:space="preserve"> </w:t>
      </w:r>
      <w:r w:rsidR="004F5F06" w:rsidRPr="00BA5249">
        <w:rPr>
          <w:rFonts w:ascii="Book Antiqua" w:hAnsi="Book Antiqua"/>
        </w:rPr>
        <w:t>(see</w:t>
      </w:r>
      <w:r w:rsidRPr="00BA5249">
        <w:rPr>
          <w:rFonts w:ascii="Book Antiqua" w:hAnsi="Book Antiqua"/>
        </w:rPr>
        <w:t xml:space="preserve"> paragraph [39]).  He set out what was the position of the </w:t>
      </w:r>
      <w:r w:rsidR="00112331">
        <w:rPr>
          <w:rFonts w:ascii="Book Antiqua" w:hAnsi="Book Antiqua"/>
        </w:rPr>
        <w:t>Respondent</w:t>
      </w:r>
      <w:r w:rsidRPr="00BA5249">
        <w:rPr>
          <w:rFonts w:ascii="Book Antiqua" w:hAnsi="Book Antiqua"/>
        </w:rPr>
        <w:t xml:space="preserve"> at that time </w:t>
      </w:r>
      <w:r w:rsidR="004F5F06" w:rsidRPr="00BA5249">
        <w:rPr>
          <w:rFonts w:ascii="Book Antiqua" w:hAnsi="Book Antiqua"/>
        </w:rPr>
        <w:t>(and</w:t>
      </w:r>
      <w:r w:rsidRPr="00BA5249">
        <w:rPr>
          <w:rFonts w:ascii="Book Antiqua" w:hAnsi="Book Antiqua"/>
        </w:rPr>
        <w:t xml:space="preserve"> now) that the </w:t>
      </w:r>
      <w:r w:rsidR="00112331">
        <w:rPr>
          <w:rFonts w:ascii="Book Antiqua" w:hAnsi="Book Antiqua"/>
        </w:rPr>
        <w:t>Appellant</w:t>
      </w:r>
      <w:r w:rsidRPr="00BA5249">
        <w:rPr>
          <w:rFonts w:ascii="Book Antiqua" w:hAnsi="Book Antiqua"/>
        </w:rPr>
        <w:t xml:space="preserve"> would be removed to Baghdad. What is missing from the Judge's decision is a consideration of what will happen to the </w:t>
      </w:r>
      <w:r w:rsidR="00112331">
        <w:rPr>
          <w:rFonts w:ascii="Book Antiqua" w:hAnsi="Book Antiqua"/>
        </w:rPr>
        <w:t>Appellant</w:t>
      </w:r>
      <w:r w:rsidRPr="00BA5249">
        <w:rPr>
          <w:rFonts w:ascii="Book Antiqua" w:hAnsi="Book Antiqua"/>
        </w:rPr>
        <w:t xml:space="preserve"> if he is returned to Baghdad, the point of return. He makes no </w:t>
      </w:r>
      <w:r w:rsidR="004F5F06" w:rsidRPr="00BA5249">
        <w:rPr>
          <w:rFonts w:ascii="Book Antiqua" w:hAnsi="Book Antiqua"/>
        </w:rPr>
        <w:t>assessment</w:t>
      </w:r>
      <w:r w:rsidRPr="00BA5249">
        <w:rPr>
          <w:rFonts w:ascii="Book Antiqua" w:hAnsi="Book Antiqua"/>
        </w:rPr>
        <w:t xml:space="preserve"> as to what would happen in Baghdad but at [40] makes reference to what is described as his “key </w:t>
      </w:r>
      <w:proofErr w:type="gramStart"/>
      <w:r w:rsidRPr="00BA5249">
        <w:rPr>
          <w:rFonts w:ascii="Book Antiqua" w:hAnsi="Book Antiqua"/>
        </w:rPr>
        <w:t>finding</w:t>
      </w:r>
      <w:r w:rsidR="00316346" w:rsidRPr="00BA5249">
        <w:rPr>
          <w:rFonts w:ascii="Book Antiqua" w:hAnsi="Book Antiqua"/>
        </w:rPr>
        <w:t>“</w:t>
      </w:r>
      <w:r w:rsidR="00316346">
        <w:rPr>
          <w:rFonts w:ascii="Book Antiqua" w:hAnsi="Book Antiqua"/>
        </w:rPr>
        <w:t xml:space="preserve"> </w:t>
      </w:r>
      <w:r w:rsidR="00316346" w:rsidRPr="00BA5249">
        <w:rPr>
          <w:rFonts w:ascii="Book Antiqua" w:hAnsi="Book Antiqua"/>
        </w:rPr>
        <w:t>that</w:t>
      </w:r>
      <w:proofErr w:type="gramEnd"/>
      <w:r w:rsidRPr="00BA5249">
        <w:rPr>
          <w:rFonts w:ascii="Book Antiqua" w:hAnsi="Book Antiqua"/>
        </w:rPr>
        <w:t xml:space="preserve"> he can safely return to his home and it is in this </w:t>
      </w:r>
      <w:r w:rsidR="004F5F06" w:rsidRPr="00BA5249">
        <w:rPr>
          <w:rFonts w:ascii="Book Antiqua" w:hAnsi="Book Antiqua"/>
        </w:rPr>
        <w:t>context</w:t>
      </w:r>
      <w:r w:rsidR="00FF472F" w:rsidRPr="00BA5249">
        <w:rPr>
          <w:rFonts w:ascii="Book Antiqua" w:hAnsi="Book Antiqua"/>
        </w:rPr>
        <w:t xml:space="preserve"> that he</w:t>
      </w:r>
      <w:r w:rsidRPr="00BA5249">
        <w:rPr>
          <w:rFonts w:ascii="Book Antiqua" w:hAnsi="Book Antiqua"/>
        </w:rPr>
        <w:t xml:space="preserve"> </w:t>
      </w:r>
      <w:r w:rsidR="004F5F06" w:rsidRPr="00BA5249">
        <w:rPr>
          <w:rFonts w:ascii="Book Antiqua" w:hAnsi="Book Antiqua"/>
        </w:rPr>
        <w:t>reaches</w:t>
      </w:r>
      <w:r w:rsidRPr="00BA5249">
        <w:rPr>
          <w:rFonts w:ascii="Book Antiqua" w:hAnsi="Book Antiqua"/>
        </w:rPr>
        <w:t xml:space="preserve"> the </w:t>
      </w:r>
      <w:r w:rsidR="00FF472F" w:rsidRPr="00BA5249">
        <w:rPr>
          <w:rFonts w:ascii="Book Antiqua" w:hAnsi="Book Antiqua"/>
        </w:rPr>
        <w:t>conclusion</w:t>
      </w:r>
      <w:r w:rsidRPr="00BA5249">
        <w:rPr>
          <w:rFonts w:ascii="Book Antiqua" w:hAnsi="Book Antiqua"/>
        </w:rPr>
        <w:t xml:space="preserve"> that he would be </w:t>
      </w:r>
      <w:r w:rsidR="004F5F06" w:rsidRPr="00BA5249">
        <w:rPr>
          <w:rFonts w:ascii="Book Antiqua" w:hAnsi="Book Antiqua"/>
        </w:rPr>
        <w:t>able</w:t>
      </w:r>
      <w:r w:rsidRPr="00BA5249">
        <w:rPr>
          <w:rFonts w:ascii="Book Antiqua" w:hAnsi="Book Antiqua"/>
        </w:rPr>
        <w:t xml:space="preserve"> </w:t>
      </w:r>
      <w:r w:rsidR="004F5F06" w:rsidRPr="00BA5249">
        <w:rPr>
          <w:rFonts w:ascii="Book Antiqua" w:hAnsi="Book Antiqua"/>
        </w:rPr>
        <w:t>to obtain a CSID by using</w:t>
      </w:r>
      <w:r w:rsidRPr="00BA5249">
        <w:rPr>
          <w:rFonts w:ascii="Book Antiqua" w:hAnsi="Book Antiqua"/>
        </w:rPr>
        <w:t xml:space="preserve"> identity </w:t>
      </w:r>
      <w:r w:rsidR="004F5F06" w:rsidRPr="00BA5249">
        <w:rPr>
          <w:rFonts w:ascii="Book Antiqua" w:hAnsi="Book Antiqua"/>
        </w:rPr>
        <w:t>documents</w:t>
      </w:r>
      <w:r w:rsidRPr="00BA5249">
        <w:rPr>
          <w:rFonts w:ascii="Book Antiqua" w:hAnsi="Book Antiqua"/>
        </w:rPr>
        <w:t xml:space="preserve"> he has there. As Mr Cole submits</w:t>
      </w:r>
      <w:r w:rsidR="00FF472F" w:rsidRPr="00BA5249">
        <w:rPr>
          <w:rFonts w:ascii="Book Antiqua" w:hAnsi="Book Antiqua"/>
        </w:rPr>
        <w:t>,</w:t>
      </w:r>
      <w:r w:rsidRPr="00BA5249">
        <w:rPr>
          <w:rFonts w:ascii="Book Antiqua" w:hAnsi="Book Antiqua"/>
        </w:rPr>
        <w:t xml:space="preserve"> an assessment of how the </w:t>
      </w:r>
      <w:r w:rsidR="00112331">
        <w:rPr>
          <w:rFonts w:ascii="Book Antiqua" w:hAnsi="Book Antiqua"/>
        </w:rPr>
        <w:t>Appellant</w:t>
      </w:r>
      <w:r w:rsidRPr="00BA5249">
        <w:rPr>
          <w:rFonts w:ascii="Book Antiqua" w:hAnsi="Book Antiqua"/>
        </w:rPr>
        <w:t xml:space="preserve"> would make his way from Baghdad to his </w:t>
      </w:r>
      <w:r w:rsidR="004F5F06" w:rsidRPr="00BA5249">
        <w:rPr>
          <w:rFonts w:ascii="Book Antiqua" w:hAnsi="Book Antiqua"/>
        </w:rPr>
        <w:t>home</w:t>
      </w:r>
      <w:r w:rsidRPr="00BA5249">
        <w:rPr>
          <w:rFonts w:ascii="Book Antiqua" w:hAnsi="Book Antiqua"/>
        </w:rPr>
        <w:t xml:space="preserve"> area is also necessary. In his </w:t>
      </w:r>
      <w:r w:rsidR="004F5F06" w:rsidRPr="00BA5249">
        <w:rPr>
          <w:rFonts w:ascii="Book Antiqua" w:hAnsi="Book Antiqua"/>
        </w:rPr>
        <w:t>submissions</w:t>
      </w:r>
      <w:r w:rsidRPr="00BA5249">
        <w:rPr>
          <w:rFonts w:ascii="Book Antiqua" w:hAnsi="Book Antiqua"/>
        </w:rPr>
        <w:t xml:space="preserve"> he made reference to the positioning of his home area and the possible route which </w:t>
      </w:r>
      <w:r w:rsidR="004F5F06" w:rsidRPr="00BA5249">
        <w:rPr>
          <w:rFonts w:ascii="Book Antiqua" w:hAnsi="Book Antiqua"/>
        </w:rPr>
        <w:t>would</w:t>
      </w:r>
      <w:r w:rsidRPr="00BA5249">
        <w:rPr>
          <w:rFonts w:ascii="Book Antiqua" w:hAnsi="Book Antiqua"/>
        </w:rPr>
        <w:t xml:space="preserve"> </w:t>
      </w:r>
      <w:r w:rsidRPr="00BA5249">
        <w:rPr>
          <w:rFonts w:ascii="Book Antiqua" w:hAnsi="Book Antiqua"/>
        </w:rPr>
        <w:lastRenderedPageBreak/>
        <w:t xml:space="preserve">require </w:t>
      </w:r>
      <w:r w:rsidR="004F5F06" w:rsidRPr="00BA5249">
        <w:rPr>
          <w:rFonts w:ascii="Book Antiqua" w:hAnsi="Book Antiqua"/>
        </w:rPr>
        <w:t>on the face of the map a journey</w:t>
      </w:r>
      <w:r w:rsidRPr="00BA5249">
        <w:rPr>
          <w:rFonts w:ascii="Book Antiqua" w:hAnsi="Book Antiqua"/>
        </w:rPr>
        <w:t xml:space="preserve"> which would mean </w:t>
      </w:r>
      <w:r w:rsidR="004F5F06" w:rsidRPr="00BA5249">
        <w:rPr>
          <w:rFonts w:ascii="Book Antiqua" w:hAnsi="Book Antiqua"/>
        </w:rPr>
        <w:t>traveling</w:t>
      </w:r>
      <w:r w:rsidRPr="00BA5249">
        <w:rPr>
          <w:rFonts w:ascii="Book Antiqua" w:hAnsi="Book Antiqua"/>
        </w:rPr>
        <w:t xml:space="preserve"> through part of a contested are in the Baghdad Belts.</w:t>
      </w:r>
    </w:p>
    <w:p w:rsidR="00415157" w:rsidRPr="00BA5249" w:rsidRDefault="00415157" w:rsidP="00BA5249">
      <w:pPr>
        <w:numPr>
          <w:ilvl w:val="0"/>
          <w:numId w:val="2"/>
        </w:numPr>
        <w:spacing w:before="240" w:line="360" w:lineRule="auto"/>
        <w:jc w:val="both"/>
        <w:rPr>
          <w:rFonts w:ascii="Book Antiqua" w:hAnsi="Book Antiqua" w:cs="Arial"/>
        </w:rPr>
      </w:pPr>
      <w:r w:rsidRPr="00BA5249">
        <w:rPr>
          <w:rFonts w:ascii="Book Antiqua" w:hAnsi="Book Antiqua"/>
        </w:rPr>
        <w:t xml:space="preserve">The judge was required to consider whether or not the </w:t>
      </w:r>
      <w:r w:rsidR="00112331">
        <w:rPr>
          <w:rFonts w:ascii="Book Antiqua" w:hAnsi="Book Antiqua"/>
        </w:rPr>
        <w:t>Appellant</w:t>
      </w:r>
      <w:r w:rsidRPr="00BA5249">
        <w:rPr>
          <w:rFonts w:ascii="Book Antiqua" w:hAnsi="Book Antiqua"/>
        </w:rPr>
        <w:t xml:space="preserve"> has a network of support available to him and whether or not he has or is able to acquire a CSID. The facts and circumstances of the </w:t>
      </w:r>
      <w:r w:rsidR="00112331">
        <w:rPr>
          <w:rFonts w:ascii="Book Antiqua" w:hAnsi="Book Antiqua"/>
        </w:rPr>
        <w:t>Appellant’s</w:t>
      </w:r>
      <w:r w:rsidRPr="00BA5249">
        <w:rPr>
          <w:rFonts w:ascii="Book Antiqua" w:hAnsi="Book Antiqua"/>
        </w:rPr>
        <w:t xml:space="preserve"> case must be set against the seven factors set out at [15] of annex A to the case of AA (Iraq) CG [2017] EWCA </w:t>
      </w:r>
      <w:proofErr w:type="spellStart"/>
      <w:r w:rsidRPr="00BA5249">
        <w:rPr>
          <w:rFonts w:ascii="Book Antiqua" w:hAnsi="Book Antiqua"/>
        </w:rPr>
        <w:t>Civ</w:t>
      </w:r>
      <w:proofErr w:type="spellEnd"/>
      <w:r w:rsidRPr="00BA5249">
        <w:rPr>
          <w:rFonts w:ascii="Book Antiqua" w:hAnsi="Book Antiqua"/>
        </w:rPr>
        <w:t xml:space="preserve"> 944. </w:t>
      </w:r>
    </w:p>
    <w:p w:rsidR="0046338F" w:rsidRPr="0046338F" w:rsidRDefault="003C7E4A" w:rsidP="00BA5249">
      <w:pPr>
        <w:numPr>
          <w:ilvl w:val="0"/>
          <w:numId w:val="2"/>
        </w:numPr>
        <w:spacing w:before="240" w:line="360" w:lineRule="auto"/>
        <w:jc w:val="both"/>
        <w:rPr>
          <w:rFonts w:ascii="Book Antiqua" w:hAnsi="Book Antiqua" w:cs="Arial"/>
        </w:rPr>
      </w:pPr>
      <w:r w:rsidRPr="00BA5249">
        <w:rPr>
          <w:rFonts w:ascii="Book Antiqua" w:hAnsi="Book Antiqua"/>
        </w:rPr>
        <w:t xml:space="preserve">The judge did not consider the alternative of a relocation to the IKR from Baghdad. The relevant guidance is contained within the Annex to AA [2017] EWCA </w:t>
      </w:r>
      <w:proofErr w:type="spellStart"/>
      <w:r w:rsidRPr="00BA5249">
        <w:rPr>
          <w:rFonts w:ascii="Book Antiqua" w:hAnsi="Book Antiqua"/>
        </w:rPr>
        <w:t>Civ</w:t>
      </w:r>
      <w:proofErr w:type="spellEnd"/>
      <w:r w:rsidRPr="00BA5249">
        <w:rPr>
          <w:rFonts w:ascii="Book Antiqua" w:hAnsi="Book Antiqua"/>
        </w:rPr>
        <w:t xml:space="preserve"> 944 at section E paragraph 20 which is reproduced below; </w:t>
      </w:r>
    </w:p>
    <w:p w:rsidR="003C7E4A" w:rsidRPr="00BA5249" w:rsidRDefault="003C7E4A" w:rsidP="0046338F">
      <w:pPr>
        <w:spacing w:before="240" w:line="360" w:lineRule="auto"/>
        <w:ind w:left="1134"/>
        <w:rPr>
          <w:rFonts w:ascii="Book Antiqua" w:hAnsi="Book Antiqua" w:cs="Arial"/>
        </w:rPr>
      </w:pPr>
      <w:r w:rsidRPr="00BA5249">
        <w:rPr>
          <w:rFonts w:ascii="Book Antiqua" w:hAnsi="Book Antiqua"/>
        </w:rPr>
        <w:t xml:space="preserve">"20. Whether K, if returned to Baghdad, can reasonably be expected to avoid any potential undue harshness in that city by travelling to the IKR, will be fact-sensitive; and is likely to involve an assessment of </w:t>
      </w:r>
      <w:r w:rsidRPr="00BA5249">
        <w:rPr>
          <w:rFonts w:ascii="Book Antiqua" w:hAnsi="Book Antiqua"/>
        </w:rPr>
        <w:br/>
        <w:t xml:space="preserve">(a) the practicality of travel from Baghdad to the IKR (such as to Irbil by air); </w:t>
      </w:r>
      <w:r w:rsidRPr="00BA5249">
        <w:rPr>
          <w:rFonts w:ascii="Book Antiqua" w:hAnsi="Book Antiqua"/>
        </w:rPr>
        <w:br/>
        <w:t xml:space="preserve">(b) the likelihood of K securing employment in the IKR; and </w:t>
      </w:r>
      <w:r w:rsidRPr="00BA5249">
        <w:rPr>
          <w:rFonts w:ascii="Book Antiqua" w:hAnsi="Book Antiqua"/>
        </w:rPr>
        <w:br/>
        <w:t>(c) the availability of assistance from family and friends in the IKR."</w:t>
      </w:r>
    </w:p>
    <w:p w:rsidR="003C7E4A" w:rsidRPr="00BA5249" w:rsidRDefault="003C7E4A"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It is clear that the judge made no assessment of this in the </w:t>
      </w:r>
      <w:r w:rsidR="004F5F06" w:rsidRPr="00BA5249">
        <w:rPr>
          <w:rFonts w:ascii="Book Antiqua" w:hAnsi="Book Antiqua" w:cs="Arial"/>
        </w:rPr>
        <w:t>determination</w:t>
      </w:r>
      <w:r w:rsidRPr="00BA5249">
        <w:rPr>
          <w:rFonts w:ascii="Book Antiqua" w:hAnsi="Book Antiqua" w:cs="Arial"/>
        </w:rPr>
        <w:t xml:space="preserve"> as to whether in the </w:t>
      </w:r>
      <w:r w:rsidR="004F5F06" w:rsidRPr="00BA5249">
        <w:rPr>
          <w:rFonts w:ascii="Book Antiqua" w:hAnsi="Book Antiqua" w:cs="Arial"/>
        </w:rPr>
        <w:t>alternative</w:t>
      </w:r>
      <w:r w:rsidRPr="00BA5249">
        <w:rPr>
          <w:rFonts w:ascii="Book Antiqua" w:hAnsi="Book Antiqua" w:cs="Arial"/>
        </w:rPr>
        <w:t xml:space="preserve"> as a Kurd</w:t>
      </w:r>
      <w:r w:rsidR="00112331">
        <w:rPr>
          <w:rFonts w:ascii="Book Antiqua" w:hAnsi="Book Antiqua" w:cs="Arial"/>
        </w:rPr>
        <w:t>,</w:t>
      </w:r>
      <w:r w:rsidRPr="00BA5249">
        <w:rPr>
          <w:rFonts w:ascii="Book Antiqua" w:hAnsi="Book Antiqua" w:cs="Arial"/>
        </w:rPr>
        <w:t xml:space="preserve"> he could relocate to the IKR. This was because his primary finding was he could return to his home are</w:t>
      </w:r>
      <w:r w:rsidR="00112331">
        <w:rPr>
          <w:rFonts w:ascii="Book Antiqua" w:hAnsi="Book Antiqua" w:cs="Arial"/>
        </w:rPr>
        <w:t>a</w:t>
      </w:r>
      <w:r w:rsidRPr="00BA5249">
        <w:rPr>
          <w:rFonts w:ascii="Book Antiqua" w:hAnsi="Book Antiqua" w:cs="Arial"/>
        </w:rPr>
        <w:t xml:space="preserve"> but as set out above it is </w:t>
      </w:r>
      <w:r w:rsidR="004F5F06" w:rsidRPr="00BA5249">
        <w:rPr>
          <w:rFonts w:ascii="Book Antiqua" w:hAnsi="Book Antiqua" w:cs="Arial"/>
        </w:rPr>
        <w:t xml:space="preserve">accepted on behalf of the </w:t>
      </w:r>
      <w:r w:rsidR="00112331">
        <w:rPr>
          <w:rFonts w:ascii="Book Antiqua" w:hAnsi="Book Antiqua" w:cs="Arial"/>
        </w:rPr>
        <w:t>Respondent</w:t>
      </w:r>
      <w:r w:rsidRPr="00BA5249">
        <w:rPr>
          <w:rFonts w:ascii="Book Antiqua" w:hAnsi="Book Antiqua" w:cs="Arial"/>
        </w:rPr>
        <w:t xml:space="preserve"> that this was in error.</w:t>
      </w:r>
    </w:p>
    <w:p w:rsidR="00DB5EBA" w:rsidRPr="00BA5249" w:rsidRDefault="00197947"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In </w:t>
      </w:r>
      <w:r w:rsidR="00112331">
        <w:rPr>
          <w:rFonts w:ascii="Book Antiqua" w:hAnsi="Book Antiqua" w:cs="Arial"/>
        </w:rPr>
        <w:t>summary, in this appeal</w:t>
      </w:r>
      <w:r w:rsidRPr="00BA5249">
        <w:rPr>
          <w:rFonts w:ascii="Book Antiqua" w:hAnsi="Book Antiqua" w:cs="Arial"/>
        </w:rPr>
        <w:t xml:space="preserve"> it is correctly accepted on behalf of the Secretary of State that the decision of the Judge of the First-tie</w:t>
      </w:r>
      <w:r w:rsidR="00DB5EBA" w:rsidRPr="00BA5249">
        <w:rPr>
          <w:rFonts w:ascii="Book Antiqua" w:hAnsi="Book Antiqua" w:cs="Arial"/>
        </w:rPr>
        <w:t xml:space="preserve">r </w:t>
      </w:r>
      <w:r w:rsidR="00112331">
        <w:rPr>
          <w:rFonts w:ascii="Book Antiqua" w:hAnsi="Book Antiqua" w:cs="Arial"/>
        </w:rPr>
        <w:t>Tribunal</w:t>
      </w:r>
      <w:r w:rsidR="00DB5EBA" w:rsidRPr="00BA5249">
        <w:rPr>
          <w:rFonts w:ascii="Book Antiqua" w:hAnsi="Book Antiqua" w:cs="Arial"/>
        </w:rPr>
        <w:t xml:space="preserve"> promulgated on the 2</w:t>
      </w:r>
      <w:r w:rsidR="00DB5EBA" w:rsidRPr="00BA5249">
        <w:rPr>
          <w:rFonts w:ascii="Book Antiqua" w:hAnsi="Book Antiqua" w:cs="Arial"/>
          <w:vertAlign w:val="superscript"/>
        </w:rPr>
        <w:t>nd</w:t>
      </w:r>
      <w:r w:rsidR="00DB5EBA" w:rsidRPr="00BA5249">
        <w:rPr>
          <w:rFonts w:ascii="Book Antiqua" w:hAnsi="Book Antiqua" w:cs="Arial"/>
        </w:rPr>
        <w:t xml:space="preserve"> November</w:t>
      </w:r>
      <w:r w:rsidRPr="00BA5249">
        <w:rPr>
          <w:rFonts w:ascii="Book Antiqua" w:hAnsi="Book Antiqua" w:cs="Arial"/>
        </w:rPr>
        <w:t xml:space="preserve"> 2017 contains an error of </w:t>
      </w:r>
      <w:r w:rsidR="004F5F06" w:rsidRPr="00BA5249">
        <w:rPr>
          <w:rFonts w:ascii="Book Antiqua" w:hAnsi="Book Antiqua" w:cs="Arial"/>
        </w:rPr>
        <w:t>law</w:t>
      </w:r>
      <w:r w:rsidR="00FF472F" w:rsidRPr="00BA5249">
        <w:rPr>
          <w:rFonts w:ascii="Book Antiqua" w:hAnsi="Book Antiqua" w:cs="Arial"/>
        </w:rPr>
        <w:t>. I have found</w:t>
      </w:r>
      <w:r w:rsidR="004F5F06" w:rsidRPr="00BA5249">
        <w:rPr>
          <w:rFonts w:ascii="Book Antiqua" w:hAnsi="Book Antiqua" w:cs="Arial"/>
        </w:rPr>
        <w:t xml:space="preserve"> that</w:t>
      </w:r>
      <w:r w:rsidRPr="00BA5249">
        <w:rPr>
          <w:rFonts w:ascii="Book Antiqua" w:hAnsi="Book Antiqua" w:cs="Arial"/>
        </w:rPr>
        <w:t xml:space="preserve"> the judge departed from the relevant country guidance case </w:t>
      </w:r>
      <w:r w:rsidRPr="00BA5249">
        <w:rPr>
          <w:rFonts w:ascii="Book Antiqua" w:hAnsi="Book Antiqua" w:cs="Arial"/>
          <w:b/>
          <w:u w:val="single"/>
        </w:rPr>
        <w:t>AA</w:t>
      </w:r>
      <w:r w:rsidRPr="00BA5249">
        <w:rPr>
          <w:rFonts w:ascii="Book Antiqua" w:hAnsi="Book Antiqua" w:cs="Arial"/>
        </w:rPr>
        <w:t xml:space="preserve"> without a sufficient evidential justification and </w:t>
      </w:r>
      <w:r w:rsidR="00FF472F" w:rsidRPr="00BA5249">
        <w:rPr>
          <w:rFonts w:ascii="Book Antiqua" w:hAnsi="Book Antiqua" w:cs="Arial"/>
        </w:rPr>
        <w:t xml:space="preserve">it was conceded on behalf of the </w:t>
      </w:r>
      <w:r w:rsidR="00112331">
        <w:rPr>
          <w:rFonts w:ascii="Book Antiqua" w:hAnsi="Book Antiqua" w:cs="Arial"/>
        </w:rPr>
        <w:t>Respondent</w:t>
      </w:r>
      <w:r w:rsidR="00FF472F" w:rsidRPr="00BA5249">
        <w:rPr>
          <w:rFonts w:ascii="Book Antiqua" w:hAnsi="Book Antiqua" w:cs="Arial"/>
        </w:rPr>
        <w:t xml:space="preserve"> that the issue of return was not properly considered.  It therefore follows that the 2</w:t>
      </w:r>
      <w:r w:rsidRPr="00BA5249">
        <w:rPr>
          <w:rFonts w:ascii="Book Antiqua" w:hAnsi="Book Antiqua" w:cs="Arial"/>
        </w:rPr>
        <w:t xml:space="preserve"> ground</w:t>
      </w:r>
      <w:r w:rsidR="00FF472F" w:rsidRPr="00BA5249">
        <w:rPr>
          <w:rFonts w:ascii="Book Antiqua" w:hAnsi="Book Antiqua" w:cs="Arial"/>
        </w:rPr>
        <w:t>s</w:t>
      </w:r>
      <w:r w:rsidRPr="00BA5249">
        <w:rPr>
          <w:rFonts w:ascii="Book Antiqua" w:hAnsi="Book Antiqua" w:cs="Arial"/>
        </w:rPr>
        <w:t xml:space="preserve"> of appeal </w:t>
      </w:r>
      <w:r w:rsidR="00FF472F" w:rsidRPr="00BA5249">
        <w:rPr>
          <w:rFonts w:ascii="Book Antiqua" w:hAnsi="Book Antiqua" w:cs="Arial"/>
        </w:rPr>
        <w:t xml:space="preserve">identified by Mr Cole </w:t>
      </w:r>
      <w:r w:rsidRPr="00BA5249">
        <w:rPr>
          <w:rFonts w:ascii="Book Antiqua" w:hAnsi="Book Antiqua" w:cs="Arial"/>
        </w:rPr>
        <w:t>succeeds and that decision is set aside.</w:t>
      </w:r>
    </w:p>
    <w:p w:rsidR="00FF472F" w:rsidRPr="00BA5249" w:rsidRDefault="00DB5EBA" w:rsidP="00BA5249">
      <w:pPr>
        <w:numPr>
          <w:ilvl w:val="0"/>
          <w:numId w:val="1"/>
        </w:numPr>
        <w:spacing w:before="240" w:line="360" w:lineRule="auto"/>
        <w:jc w:val="both"/>
        <w:rPr>
          <w:rFonts w:ascii="Book Antiqua" w:hAnsi="Book Antiqua" w:cs="Arial"/>
        </w:rPr>
      </w:pPr>
      <w:r w:rsidRPr="00BA5249">
        <w:rPr>
          <w:rFonts w:ascii="Book Antiqua" w:hAnsi="Book Antiqua" w:cs="Arial"/>
        </w:rPr>
        <w:t xml:space="preserve"> I</w:t>
      </w:r>
      <w:r w:rsidR="00197947" w:rsidRPr="00BA5249">
        <w:rPr>
          <w:rFonts w:ascii="Book Antiqua" w:hAnsi="Book Antiqua" w:cs="Arial"/>
        </w:rPr>
        <w:t xml:space="preserve"> do not however a</w:t>
      </w:r>
      <w:r w:rsidRPr="00BA5249">
        <w:rPr>
          <w:rFonts w:ascii="Book Antiqua" w:hAnsi="Book Antiqua" w:cs="Arial"/>
        </w:rPr>
        <w:t>ccept that the error to which I</w:t>
      </w:r>
      <w:r w:rsidR="00197947" w:rsidRPr="00BA5249">
        <w:rPr>
          <w:rFonts w:ascii="Book Antiqua" w:hAnsi="Book Antiqua" w:cs="Arial"/>
        </w:rPr>
        <w:t xml:space="preserve"> have referred infects the findings of primary fact by the First-tier </w:t>
      </w:r>
      <w:r w:rsidR="00112331">
        <w:rPr>
          <w:rFonts w:ascii="Book Antiqua" w:hAnsi="Book Antiqua" w:cs="Arial"/>
        </w:rPr>
        <w:t>Tribunal</w:t>
      </w:r>
      <w:r w:rsidR="00197947" w:rsidRPr="00BA5249">
        <w:rPr>
          <w:rFonts w:ascii="Book Antiqua" w:hAnsi="Book Antiqua" w:cs="Arial"/>
        </w:rPr>
        <w:t xml:space="preserve"> Judge in which he rej</w:t>
      </w:r>
      <w:r w:rsidRPr="00BA5249">
        <w:rPr>
          <w:rFonts w:ascii="Book Antiqua" w:hAnsi="Book Antiqua" w:cs="Arial"/>
        </w:rPr>
        <w:t>ected the evidence of AA</w:t>
      </w:r>
      <w:r w:rsidR="00197947" w:rsidRPr="00BA5249">
        <w:rPr>
          <w:rFonts w:ascii="Book Antiqua" w:hAnsi="Book Antiqua" w:cs="Arial"/>
        </w:rPr>
        <w:t xml:space="preserve"> </w:t>
      </w:r>
      <w:r w:rsidR="00197947" w:rsidRPr="00BA5249">
        <w:rPr>
          <w:rFonts w:ascii="Book Antiqua" w:hAnsi="Book Antiqua" w:cs="Arial"/>
        </w:rPr>
        <w:lastRenderedPageBreak/>
        <w:t xml:space="preserve">about his </w:t>
      </w:r>
      <w:r w:rsidRPr="00BA5249">
        <w:rPr>
          <w:rFonts w:ascii="Book Antiqua" w:hAnsi="Book Antiqua" w:cs="Arial"/>
        </w:rPr>
        <w:t>personal circumstances in Iraq</w:t>
      </w:r>
      <w:r w:rsidR="00197947" w:rsidRPr="00BA5249">
        <w:rPr>
          <w:rFonts w:ascii="Book Antiqua" w:hAnsi="Book Antiqua" w:cs="Arial"/>
        </w:rPr>
        <w:t>.  Tho</w:t>
      </w:r>
      <w:r w:rsidR="00112331">
        <w:rPr>
          <w:rFonts w:ascii="Book Antiqua" w:hAnsi="Book Antiqua" w:cs="Arial"/>
        </w:rPr>
        <w:t>se findings of fact are</w:t>
      </w:r>
      <w:r w:rsidR="00197947" w:rsidRPr="00BA5249">
        <w:rPr>
          <w:rFonts w:ascii="Book Antiqua" w:hAnsi="Book Antiqua" w:cs="Arial"/>
        </w:rPr>
        <w:t xml:space="preserve"> properly reasoned and not in any </w:t>
      </w:r>
      <w:r w:rsidR="00F372CF" w:rsidRPr="00BA5249">
        <w:rPr>
          <w:rFonts w:ascii="Book Antiqua" w:hAnsi="Book Antiqua" w:cs="Arial"/>
        </w:rPr>
        <w:t>way depend</w:t>
      </w:r>
      <w:r w:rsidR="00197947" w:rsidRPr="00BA5249">
        <w:rPr>
          <w:rFonts w:ascii="Book Antiqua" w:hAnsi="Book Antiqua" w:cs="Arial"/>
        </w:rPr>
        <w:t xml:space="preserve"> upon the evidence about the security clim</w:t>
      </w:r>
      <w:r w:rsidRPr="00BA5249">
        <w:rPr>
          <w:rFonts w:ascii="Book Antiqua" w:hAnsi="Book Antiqua" w:cs="Arial"/>
        </w:rPr>
        <w:t>ate in his home area of Iraq. I</w:t>
      </w:r>
      <w:r w:rsidR="00197947" w:rsidRPr="00BA5249">
        <w:rPr>
          <w:rFonts w:ascii="Book Antiqua" w:hAnsi="Book Antiqua" w:cs="Arial"/>
        </w:rPr>
        <w:t xml:space="preserve"> therefore preserve those findings of fact.  </w:t>
      </w:r>
      <w:r w:rsidR="00FF472F" w:rsidRPr="00BA5249">
        <w:rPr>
          <w:rFonts w:ascii="Book Antiqua" w:hAnsi="Book Antiqua" w:cs="Arial"/>
        </w:rPr>
        <w:t>For the avoidance of doubt those findings are set out at paragraphs 19 – 25 of the determination.</w:t>
      </w:r>
    </w:p>
    <w:p w:rsidR="00FF472F" w:rsidRPr="00BA5249" w:rsidRDefault="00FF472F" w:rsidP="00BA5249">
      <w:pPr>
        <w:numPr>
          <w:ilvl w:val="0"/>
          <w:numId w:val="1"/>
        </w:numPr>
        <w:spacing w:before="240" w:line="360" w:lineRule="auto"/>
        <w:jc w:val="both"/>
        <w:rPr>
          <w:rFonts w:ascii="Book Antiqua" w:hAnsi="Book Antiqua" w:cs="Arial"/>
        </w:rPr>
      </w:pPr>
      <w:r w:rsidRPr="00BA5249">
        <w:rPr>
          <w:rFonts w:ascii="Book Antiqua" w:hAnsi="Book Antiqua" w:cs="Arial"/>
        </w:rPr>
        <w:t xml:space="preserve">As </w:t>
      </w:r>
      <w:r w:rsidR="00197947" w:rsidRPr="00BA5249">
        <w:rPr>
          <w:rFonts w:ascii="Book Antiqua" w:hAnsi="Book Antiqua" w:cs="Arial"/>
        </w:rPr>
        <w:t>the decision in rel</w:t>
      </w:r>
      <w:r w:rsidR="00415157" w:rsidRPr="00BA5249">
        <w:rPr>
          <w:rFonts w:ascii="Book Antiqua" w:hAnsi="Book Antiqua" w:cs="Arial"/>
        </w:rPr>
        <w:t xml:space="preserve">ation to the situation in </w:t>
      </w:r>
      <w:proofErr w:type="spellStart"/>
      <w:r w:rsidR="00415157" w:rsidRPr="00BA5249">
        <w:rPr>
          <w:rFonts w:ascii="Book Antiqua" w:hAnsi="Book Antiqua" w:cs="Arial"/>
        </w:rPr>
        <w:t>Diyala</w:t>
      </w:r>
      <w:proofErr w:type="spellEnd"/>
      <w:r w:rsidR="00197947" w:rsidRPr="00BA5249">
        <w:rPr>
          <w:rFonts w:ascii="Book Antiqua" w:hAnsi="Book Antiqua" w:cs="Arial"/>
        </w:rPr>
        <w:t xml:space="preserve"> and its imp</w:t>
      </w:r>
      <w:r w:rsidR="00415157" w:rsidRPr="00BA5249">
        <w:rPr>
          <w:rFonts w:ascii="Book Antiqua" w:hAnsi="Book Antiqua" w:cs="Arial"/>
        </w:rPr>
        <w:t xml:space="preserve">act on the removal of the </w:t>
      </w:r>
      <w:r w:rsidR="00112331">
        <w:rPr>
          <w:rFonts w:ascii="Book Antiqua" w:hAnsi="Book Antiqua" w:cs="Arial"/>
        </w:rPr>
        <w:t>Appellant</w:t>
      </w:r>
      <w:r w:rsidR="00197947" w:rsidRPr="00BA5249">
        <w:rPr>
          <w:rFonts w:ascii="Book Antiqua" w:hAnsi="Book Antiqua" w:cs="Arial"/>
        </w:rPr>
        <w:t xml:space="preserve"> will have to be recons</w:t>
      </w:r>
      <w:r w:rsidRPr="00BA5249">
        <w:rPr>
          <w:rFonts w:ascii="Book Antiqua" w:hAnsi="Book Antiqua" w:cs="Arial"/>
        </w:rPr>
        <w:t>idered, I have decided that t</w:t>
      </w:r>
      <w:r w:rsidR="00197947" w:rsidRPr="00BA5249">
        <w:rPr>
          <w:rFonts w:ascii="Book Antiqua" w:hAnsi="Book Antiqua" w:cs="Arial"/>
        </w:rPr>
        <w:t xml:space="preserve">he appropriate forum in which that should happen is the First-tier </w:t>
      </w:r>
      <w:r w:rsidR="00112331">
        <w:rPr>
          <w:rFonts w:ascii="Book Antiqua" w:hAnsi="Book Antiqua" w:cs="Arial"/>
        </w:rPr>
        <w:t>Tribunal</w:t>
      </w:r>
      <w:r w:rsidR="00197947" w:rsidRPr="00BA5249">
        <w:rPr>
          <w:rFonts w:ascii="Book Antiqua" w:hAnsi="Book Antiqua" w:cs="Arial"/>
        </w:rPr>
        <w:t xml:space="preserve"> and </w:t>
      </w:r>
      <w:r w:rsidR="00415157" w:rsidRPr="00BA5249">
        <w:rPr>
          <w:rFonts w:ascii="Book Antiqua" w:hAnsi="Book Antiqua" w:cs="Arial"/>
        </w:rPr>
        <w:t>I</w:t>
      </w:r>
      <w:r w:rsidR="00197947" w:rsidRPr="00BA5249">
        <w:rPr>
          <w:rFonts w:ascii="Book Antiqua" w:hAnsi="Book Antiqua" w:cs="Arial"/>
        </w:rPr>
        <w:t xml:space="preserve"> therefore remit the case to the First-tier </w:t>
      </w:r>
      <w:r w:rsidR="00112331">
        <w:rPr>
          <w:rFonts w:ascii="Book Antiqua" w:hAnsi="Book Antiqua" w:cs="Arial"/>
        </w:rPr>
        <w:t>Tribunal</w:t>
      </w:r>
      <w:r w:rsidR="00197947" w:rsidRPr="00BA5249">
        <w:rPr>
          <w:rFonts w:ascii="Book Antiqua" w:hAnsi="Book Antiqua" w:cs="Arial"/>
        </w:rPr>
        <w:t xml:space="preserve"> for a reconsideration of the case on the basis of the primary findings of fac</w:t>
      </w:r>
      <w:r w:rsidR="00415157" w:rsidRPr="00BA5249">
        <w:rPr>
          <w:rFonts w:ascii="Book Antiqua" w:hAnsi="Book Antiqua" w:cs="Arial"/>
        </w:rPr>
        <w:t>t already made by the FTTJ</w:t>
      </w:r>
      <w:r w:rsidR="00197947" w:rsidRPr="00BA5249">
        <w:rPr>
          <w:rFonts w:ascii="Book Antiqua" w:hAnsi="Book Antiqua" w:cs="Arial"/>
        </w:rPr>
        <w:t xml:space="preserve">. </w:t>
      </w:r>
      <w:r w:rsidR="003B6113" w:rsidRPr="00BA5249">
        <w:rPr>
          <w:rFonts w:ascii="Book Antiqua" w:hAnsi="Book Antiqua" w:cs="Arial"/>
        </w:rPr>
        <w:t>Any secondary findings of fact will be made on the basis of any further evidence provided by the parties.</w:t>
      </w:r>
      <w:r w:rsidR="00197947" w:rsidRPr="00BA5249">
        <w:rPr>
          <w:rFonts w:ascii="Book Antiqua" w:hAnsi="Book Antiqua" w:cs="Arial"/>
        </w:rPr>
        <w:t xml:space="preserve"> The</w:t>
      </w:r>
      <w:r w:rsidR="003B6113" w:rsidRPr="00BA5249">
        <w:rPr>
          <w:rFonts w:ascii="Book Antiqua" w:hAnsi="Book Antiqua" w:cs="Arial"/>
        </w:rPr>
        <w:t>y</w:t>
      </w:r>
      <w:r w:rsidR="00197947" w:rsidRPr="00BA5249">
        <w:rPr>
          <w:rFonts w:ascii="Book Antiqua" w:hAnsi="Book Antiqua" w:cs="Arial"/>
        </w:rPr>
        <w:t xml:space="preserve"> are of course at liberty to rely upon such further evidence as to the cu</w:t>
      </w:r>
      <w:r w:rsidRPr="00BA5249">
        <w:rPr>
          <w:rFonts w:ascii="Book Antiqua" w:hAnsi="Book Antiqua" w:cs="Arial"/>
        </w:rPr>
        <w:t xml:space="preserve">rrent security climate in the </w:t>
      </w:r>
      <w:r w:rsidR="00112331">
        <w:rPr>
          <w:rFonts w:ascii="Book Antiqua" w:hAnsi="Book Antiqua" w:cs="Arial"/>
        </w:rPr>
        <w:t>Appellant’s</w:t>
      </w:r>
      <w:r w:rsidRPr="00BA5249">
        <w:rPr>
          <w:rFonts w:ascii="Book Antiqua" w:hAnsi="Book Antiqua" w:cs="Arial"/>
        </w:rPr>
        <w:t xml:space="preserve"> home area</w:t>
      </w:r>
      <w:r w:rsidR="00112331">
        <w:rPr>
          <w:rFonts w:ascii="Book Antiqua" w:hAnsi="Book Antiqua" w:cs="Arial"/>
        </w:rPr>
        <w:t xml:space="preserve"> as necessary and in the light of any further CG decisions. The Respondent should be clear as to the basis upon which it is submitted that the situation has changed since the decision of AA(Iraq) in the light of the material she relies upon and any further material relied upon concerning relocation. This can be done by way of an addendum to the decision letter or by way of skeleton argument to be filed and served upon the Tribunal and the other party. </w:t>
      </w:r>
    </w:p>
    <w:p w:rsidR="00FF472F" w:rsidRPr="00BA5249" w:rsidRDefault="00FF472F" w:rsidP="00BA5249">
      <w:pPr>
        <w:numPr>
          <w:ilvl w:val="0"/>
          <w:numId w:val="1"/>
        </w:numPr>
        <w:spacing w:before="240" w:line="360" w:lineRule="auto"/>
        <w:jc w:val="both"/>
        <w:rPr>
          <w:rFonts w:ascii="Book Antiqua" w:hAnsi="Book Antiqua" w:cs="Arial"/>
          <w:b/>
          <w:u w:val="single"/>
        </w:rPr>
      </w:pPr>
      <w:r w:rsidRPr="00BA5249">
        <w:rPr>
          <w:rFonts w:ascii="Book Antiqua" w:hAnsi="Book Antiqua" w:cs="Arial"/>
        </w:rPr>
        <w:t xml:space="preserve">Consequently, </w:t>
      </w:r>
      <w:r w:rsidR="00415157" w:rsidRPr="00BA5249">
        <w:rPr>
          <w:rFonts w:ascii="Book Antiqua" w:hAnsi="Book Antiqua" w:cs="Arial"/>
        </w:rPr>
        <w:t>I am</w:t>
      </w:r>
      <w:r w:rsidR="00155F45" w:rsidRPr="00BA5249">
        <w:rPr>
          <w:rFonts w:ascii="Book Antiqua" w:hAnsi="Book Antiqua" w:cs="Arial"/>
        </w:rPr>
        <w:t xml:space="preserve"> satisfied that the correct course is for the appeal to be remitted to the First-tier </w:t>
      </w:r>
      <w:r w:rsidR="00112331">
        <w:rPr>
          <w:rFonts w:ascii="Book Antiqua" w:hAnsi="Book Antiqua" w:cs="Arial"/>
        </w:rPr>
        <w:t>Tribunal</w:t>
      </w:r>
      <w:r w:rsidR="00155F45" w:rsidRPr="00BA5249">
        <w:rPr>
          <w:rFonts w:ascii="Book Antiqua" w:hAnsi="Book Antiqua" w:cs="Arial"/>
        </w:rPr>
        <w:t xml:space="preserve"> in accordance with the Practice Direction</w:t>
      </w:r>
      <w:r w:rsidRPr="00BA5249">
        <w:rPr>
          <w:rFonts w:ascii="Book Antiqua" w:hAnsi="Book Antiqua" w:cs="Arial"/>
        </w:rPr>
        <w:t>.</w:t>
      </w:r>
    </w:p>
    <w:p w:rsidR="00C33667" w:rsidRPr="00BA5249" w:rsidRDefault="00C33667" w:rsidP="00BA5249">
      <w:pPr>
        <w:spacing w:before="240" w:line="360" w:lineRule="auto"/>
        <w:jc w:val="both"/>
        <w:rPr>
          <w:rFonts w:ascii="Book Antiqua" w:hAnsi="Book Antiqua" w:cs="Arial"/>
          <w:b/>
          <w:u w:val="single"/>
        </w:rPr>
      </w:pPr>
      <w:r w:rsidRPr="00BA5249">
        <w:rPr>
          <w:rFonts w:ascii="Book Antiqua" w:hAnsi="Book Antiqua" w:cs="Arial"/>
          <w:b/>
          <w:u w:val="single"/>
        </w:rPr>
        <w:t>Decision:</w:t>
      </w:r>
    </w:p>
    <w:p w:rsidR="00C33667" w:rsidRPr="00BA5249" w:rsidRDefault="00C33667" w:rsidP="00BA5249">
      <w:pPr>
        <w:numPr>
          <w:ilvl w:val="0"/>
          <w:numId w:val="2"/>
        </w:numPr>
        <w:spacing w:before="240" w:line="360" w:lineRule="auto"/>
        <w:jc w:val="both"/>
        <w:rPr>
          <w:rFonts w:ascii="Book Antiqua" w:hAnsi="Book Antiqua" w:cs="Arial"/>
        </w:rPr>
      </w:pPr>
      <w:r w:rsidRPr="00BA5249">
        <w:rPr>
          <w:rFonts w:ascii="Book Antiqua" w:hAnsi="Book Antiqua" w:cs="Arial"/>
        </w:rPr>
        <w:t xml:space="preserve">The decision of the First-tier </w:t>
      </w:r>
      <w:r w:rsidR="00112331">
        <w:rPr>
          <w:rFonts w:ascii="Book Antiqua" w:hAnsi="Book Antiqua" w:cs="Arial"/>
        </w:rPr>
        <w:t>Tribunal</w:t>
      </w:r>
      <w:r w:rsidRPr="00BA5249">
        <w:rPr>
          <w:rFonts w:ascii="Book Antiqua" w:hAnsi="Book Antiqua" w:cs="Arial"/>
        </w:rPr>
        <w:t xml:space="preserve"> did involve the making of an error on a point of law</w:t>
      </w:r>
      <w:r w:rsidR="00156178" w:rsidRPr="00BA5249">
        <w:rPr>
          <w:rFonts w:ascii="Book Antiqua" w:hAnsi="Book Antiqua" w:cs="Arial"/>
        </w:rPr>
        <w:t xml:space="preserve"> and is set aside</w:t>
      </w:r>
      <w:r w:rsidRPr="00BA5249">
        <w:rPr>
          <w:rFonts w:ascii="Book Antiqua" w:hAnsi="Book Antiqua" w:cs="Arial"/>
        </w:rPr>
        <w:t xml:space="preserve"> and the appeal is remitted to the First-tier </w:t>
      </w:r>
      <w:r w:rsidR="00112331">
        <w:rPr>
          <w:rFonts w:ascii="Book Antiqua" w:hAnsi="Book Antiqua" w:cs="Arial"/>
        </w:rPr>
        <w:t>Tribunal</w:t>
      </w:r>
      <w:r w:rsidR="005A300F" w:rsidRPr="00BA5249">
        <w:rPr>
          <w:rFonts w:ascii="Book Antiqua" w:hAnsi="Book Antiqua" w:cs="Arial"/>
        </w:rPr>
        <w:t xml:space="preserve"> for a hearing on a date to be fixed in accordance with Section 12(2</w:t>
      </w:r>
      <w:r w:rsidR="00112331" w:rsidRPr="00BA5249">
        <w:rPr>
          <w:rFonts w:ascii="Book Antiqua" w:hAnsi="Book Antiqua" w:cs="Arial"/>
        </w:rPr>
        <w:t>) (</w:t>
      </w:r>
      <w:r w:rsidR="005A300F" w:rsidRPr="00BA5249">
        <w:rPr>
          <w:rFonts w:ascii="Book Antiqua" w:hAnsi="Book Antiqua" w:cs="Arial"/>
        </w:rPr>
        <w:t xml:space="preserve">b) of the </w:t>
      </w:r>
      <w:r w:rsidR="00112331">
        <w:rPr>
          <w:rFonts w:ascii="Book Antiqua" w:hAnsi="Book Antiqua" w:cs="Arial"/>
        </w:rPr>
        <w:t>Tribunal</w:t>
      </w:r>
      <w:r w:rsidR="005A300F" w:rsidRPr="00BA5249">
        <w:rPr>
          <w:rFonts w:ascii="Book Antiqua" w:hAnsi="Book Antiqua" w:cs="Arial"/>
        </w:rPr>
        <w:t>s, Courts and Enforcement Act and paragraph 7.2 of the practice statement of 10</w:t>
      </w:r>
      <w:r w:rsidR="005A300F" w:rsidRPr="00BA5249">
        <w:rPr>
          <w:rFonts w:ascii="Book Antiqua" w:hAnsi="Book Antiqua" w:cs="Arial"/>
          <w:vertAlign w:val="superscript"/>
        </w:rPr>
        <w:t>th</w:t>
      </w:r>
      <w:r w:rsidR="005A300F" w:rsidRPr="00BA5249">
        <w:rPr>
          <w:rFonts w:ascii="Book Antiqua" w:hAnsi="Book Antiqua" w:cs="Arial"/>
        </w:rPr>
        <w:t xml:space="preserve"> February 2010 (as amended).</w:t>
      </w:r>
    </w:p>
    <w:p w:rsidR="00C33667" w:rsidRDefault="00C33667" w:rsidP="00BA5249">
      <w:pPr>
        <w:spacing w:line="360" w:lineRule="auto"/>
        <w:jc w:val="both"/>
        <w:rPr>
          <w:rFonts w:ascii="Book Antiqua" w:hAnsi="Book Antiqua" w:cs="Arial"/>
          <w:b/>
        </w:rPr>
      </w:pPr>
    </w:p>
    <w:p w:rsidR="0046338F" w:rsidRDefault="0046338F" w:rsidP="00BA5249">
      <w:pPr>
        <w:spacing w:line="360" w:lineRule="auto"/>
        <w:jc w:val="both"/>
        <w:rPr>
          <w:rFonts w:ascii="Book Antiqua" w:hAnsi="Book Antiqua" w:cs="Arial"/>
          <w:b/>
        </w:rPr>
      </w:pPr>
    </w:p>
    <w:p w:rsidR="0046338F" w:rsidRDefault="0046338F" w:rsidP="00BA5249">
      <w:pPr>
        <w:spacing w:line="360" w:lineRule="auto"/>
        <w:jc w:val="both"/>
        <w:rPr>
          <w:rFonts w:ascii="Book Antiqua" w:hAnsi="Book Antiqua" w:cs="Arial"/>
          <w:b/>
        </w:rPr>
      </w:pPr>
    </w:p>
    <w:p w:rsidR="0046338F" w:rsidRDefault="0046338F" w:rsidP="00BA5249">
      <w:pPr>
        <w:spacing w:line="360" w:lineRule="auto"/>
        <w:jc w:val="both"/>
        <w:rPr>
          <w:rFonts w:ascii="Book Antiqua" w:hAnsi="Book Antiqua" w:cs="Arial"/>
          <w:b/>
        </w:rPr>
      </w:pPr>
    </w:p>
    <w:p w:rsidR="0046338F" w:rsidRPr="00BA5249" w:rsidRDefault="0046338F" w:rsidP="00BA5249">
      <w:pPr>
        <w:spacing w:line="360" w:lineRule="auto"/>
        <w:jc w:val="both"/>
        <w:rPr>
          <w:rFonts w:ascii="Book Antiqua" w:hAnsi="Book Antiqua" w:cs="Arial"/>
          <w:b/>
        </w:rPr>
      </w:pPr>
    </w:p>
    <w:p w:rsidR="00C33667" w:rsidRPr="00BA5249" w:rsidRDefault="00C33667" w:rsidP="00BA5249">
      <w:pPr>
        <w:spacing w:line="360" w:lineRule="auto"/>
        <w:jc w:val="both"/>
        <w:rPr>
          <w:rFonts w:ascii="Book Antiqua" w:hAnsi="Book Antiqua" w:cs="Arial"/>
        </w:rPr>
      </w:pPr>
      <w:r w:rsidRPr="00BA5249">
        <w:rPr>
          <w:rFonts w:ascii="Book Antiqua" w:hAnsi="Book Antiqua" w:cs="Arial"/>
          <w:b/>
        </w:rPr>
        <w:t xml:space="preserve">Direction Regarding Anonymity – Rule 14 of the </w:t>
      </w:r>
      <w:r w:rsidR="00112331">
        <w:rPr>
          <w:rFonts w:ascii="Book Antiqua" w:hAnsi="Book Antiqua" w:cs="Arial"/>
          <w:b/>
        </w:rPr>
        <w:t>Tribunal</w:t>
      </w:r>
      <w:r w:rsidRPr="00BA5249">
        <w:rPr>
          <w:rFonts w:ascii="Book Antiqua" w:hAnsi="Book Antiqua" w:cs="Arial"/>
          <w:b/>
        </w:rPr>
        <w:t xml:space="preserve"> Procedure (Upper </w:t>
      </w:r>
      <w:r w:rsidR="00112331">
        <w:rPr>
          <w:rFonts w:ascii="Book Antiqua" w:hAnsi="Book Antiqua" w:cs="Arial"/>
          <w:b/>
        </w:rPr>
        <w:t>Tribunal</w:t>
      </w:r>
      <w:r w:rsidRPr="00BA5249">
        <w:rPr>
          <w:rFonts w:ascii="Book Antiqua" w:hAnsi="Book Antiqua" w:cs="Arial"/>
          <w:b/>
        </w:rPr>
        <w:t>) Rules 2008</w:t>
      </w:r>
    </w:p>
    <w:p w:rsidR="00C33667" w:rsidRPr="00BA5249" w:rsidRDefault="00C33667" w:rsidP="00BA5249">
      <w:pPr>
        <w:spacing w:line="360" w:lineRule="auto"/>
        <w:jc w:val="both"/>
        <w:rPr>
          <w:rFonts w:ascii="Book Antiqua" w:hAnsi="Book Antiqua" w:cs="Arial"/>
        </w:rPr>
      </w:pPr>
    </w:p>
    <w:p w:rsidR="00847259" w:rsidRPr="00BA5249" w:rsidRDefault="00C33667" w:rsidP="00BA5249">
      <w:pPr>
        <w:spacing w:line="360" w:lineRule="auto"/>
        <w:jc w:val="both"/>
        <w:rPr>
          <w:rFonts w:ascii="Book Antiqua" w:hAnsi="Book Antiqua" w:cs="Arial"/>
        </w:rPr>
      </w:pPr>
      <w:r w:rsidRPr="00BA5249">
        <w:rPr>
          <w:rFonts w:ascii="Book Antiqua" w:hAnsi="Book Antiqua" w:cs="Arial"/>
        </w:rPr>
        <w:t xml:space="preserve">Unless and </w:t>
      </w:r>
      <w:r w:rsidRPr="00BA5249">
        <w:rPr>
          <w:rFonts w:ascii="Book Antiqua" w:hAnsi="Book Antiqua"/>
        </w:rPr>
        <w:t xml:space="preserve">until a </w:t>
      </w:r>
      <w:r w:rsidR="00112331">
        <w:rPr>
          <w:rFonts w:ascii="Book Antiqua" w:hAnsi="Book Antiqua"/>
        </w:rPr>
        <w:t>Tribunal</w:t>
      </w:r>
      <w:r w:rsidRPr="00BA5249">
        <w:rPr>
          <w:rFonts w:ascii="Book Antiqua" w:hAnsi="Book Antiqua"/>
        </w:rPr>
        <w:t xml:space="preserve"> or court directs otherwise, the </w:t>
      </w:r>
      <w:r w:rsidR="00112331">
        <w:rPr>
          <w:rFonts w:ascii="Book Antiqua" w:hAnsi="Book Antiqua"/>
        </w:rPr>
        <w:t>Appellant</w:t>
      </w:r>
      <w:r w:rsidRPr="00BA5249">
        <w:rPr>
          <w:rFonts w:ascii="Book Antiqua" w:hAnsi="Book Antiqua"/>
        </w:rPr>
        <w:t xml:space="preserve"> is granted anonymity.  No report of these proceedings shall directly or indirectly identify him.  This direction applies both to the </w:t>
      </w:r>
      <w:r w:rsidR="00112331">
        <w:rPr>
          <w:rFonts w:ascii="Book Antiqua" w:hAnsi="Book Antiqua"/>
        </w:rPr>
        <w:t>Appellant</w:t>
      </w:r>
      <w:r w:rsidRPr="00BA5249">
        <w:rPr>
          <w:rFonts w:ascii="Book Antiqua" w:hAnsi="Book Antiqua"/>
        </w:rPr>
        <w:t xml:space="preserve"> and to the </w:t>
      </w:r>
      <w:r w:rsidR="00112331">
        <w:rPr>
          <w:rFonts w:ascii="Book Antiqua" w:hAnsi="Book Antiqua"/>
        </w:rPr>
        <w:t>Respondent</w:t>
      </w:r>
      <w:r w:rsidRPr="00BA5249">
        <w:rPr>
          <w:rFonts w:ascii="Book Antiqua" w:hAnsi="Book Antiqua"/>
        </w:rPr>
        <w:t>.  Failure to comply with this direction could lead to contempt of court proceedings.</w:t>
      </w:r>
    </w:p>
    <w:p w:rsidR="00847259" w:rsidRDefault="00847259" w:rsidP="00BA5249">
      <w:pPr>
        <w:spacing w:line="360" w:lineRule="auto"/>
        <w:jc w:val="both"/>
        <w:rPr>
          <w:rFonts w:ascii="Book Antiqua" w:hAnsi="Book Antiqua" w:cs="Arial"/>
        </w:rPr>
      </w:pPr>
    </w:p>
    <w:p w:rsidR="001F2716" w:rsidRPr="00AE6DDE" w:rsidRDefault="001F2716" w:rsidP="00BA5249">
      <w:pPr>
        <w:spacing w:line="360" w:lineRule="auto"/>
        <w:jc w:val="both"/>
        <w:rPr>
          <w:rFonts w:ascii="Book Antiqua" w:hAnsi="Book Antiqua" w:cs="Arial"/>
        </w:rPr>
      </w:pPr>
    </w:p>
    <w:p w:rsidR="00A509FA" w:rsidRPr="00AE6DDE" w:rsidRDefault="00A509FA" w:rsidP="00BA5249">
      <w:pPr>
        <w:spacing w:line="360" w:lineRule="auto"/>
        <w:jc w:val="both"/>
        <w:rPr>
          <w:rFonts w:ascii="Book Antiqua" w:hAnsi="Book Antiqua" w:cs="Arial"/>
        </w:rPr>
      </w:pPr>
    </w:p>
    <w:p w:rsidR="001F2716" w:rsidRPr="00AE6DDE" w:rsidRDefault="00780F86" w:rsidP="00BA5249">
      <w:pPr>
        <w:spacing w:line="360" w:lineRule="auto"/>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FF2D8D">
        <w:rPr>
          <w:rFonts w:ascii="Book Antiqua" w:hAnsi="Book Antiqua" w:cs="Arial"/>
        </w:rPr>
        <w:t>; 19/6/2018</w:t>
      </w:r>
    </w:p>
    <w:p w:rsidR="001F2716" w:rsidRPr="00AE6DDE" w:rsidRDefault="001F2716" w:rsidP="00BA5249">
      <w:pPr>
        <w:spacing w:line="360" w:lineRule="auto"/>
        <w:jc w:val="both"/>
        <w:rPr>
          <w:rFonts w:ascii="Book Antiqua" w:hAnsi="Book Antiqua" w:cs="Arial"/>
        </w:rPr>
      </w:pPr>
    </w:p>
    <w:p w:rsidR="001F2716" w:rsidRPr="00AE6DDE" w:rsidRDefault="001F2716" w:rsidP="00BA5249">
      <w:pPr>
        <w:spacing w:line="360" w:lineRule="auto"/>
        <w:jc w:val="both"/>
        <w:rPr>
          <w:rFonts w:ascii="Book Antiqua" w:hAnsi="Book Antiqua" w:cs="Arial"/>
        </w:rPr>
      </w:pPr>
    </w:p>
    <w:p w:rsidR="0062078F" w:rsidRDefault="00DB5EBA" w:rsidP="00BA5249">
      <w:pPr>
        <w:spacing w:line="360" w:lineRule="auto"/>
        <w:jc w:val="both"/>
        <w:rPr>
          <w:rFonts w:ascii="Book Antiqua" w:hAnsi="Book Antiqua" w:cs="Arial"/>
          <w:color w:val="000000"/>
        </w:rPr>
      </w:pPr>
      <w:r>
        <w:rPr>
          <w:rFonts w:ascii="Book Antiqua" w:hAnsi="Book Antiqua" w:cs="Arial"/>
          <w:color w:val="000000"/>
        </w:rPr>
        <w:t xml:space="preserve">Upper </w:t>
      </w:r>
      <w:r w:rsidR="00112331">
        <w:rPr>
          <w:rFonts w:ascii="Book Antiqua" w:hAnsi="Book Antiqua" w:cs="Arial"/>
          <w:color w:val="000000"/>
        </w:rPr>
        <w:t>Tribunal</w:t>
      </w:r>
      <w:r>
        <w:rPr>
          <w:rFonts w:ascii="Book Antiqua" w:hAnsi="Book Antiqua" w:cs="Arial"/>
          <w:color w:val="000000"/>
        </w:rPr>
        <w:t xml:space="preserve"> Judge Reeds</w:t>
      </w:r>
      <w:r w:rsidR="00CB575C">
        <w:rPr>
          <w:rFonts w:ascii="Book Antiqua" w:hAnsi="Book Antiqua" w:cs="Arial"/>
          <w:color w:val="000000"/>
        </w:rPr>
        <w:t xml:space="preserve"> </w:t>
      </w:r>
    </w:p>
    <w:sectPr w:rsidR="0062078F"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CFB" w:rsidRDefault="00552CFB">
      <w:r>
        <w:separator/>
      </w:r>
    </w:p>
  </w:endnote>
  <w:endnote w:type="continuationSeparator" w:id="0">
    <w:p w:rsidR="00552CFB" w:rsidRDefault="0055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B63D94">
      <w:rPr>
        <w:rStyle w:val="PageNumber"/>
        <w:rFonts w:ascii="Book Antiqua" w:hAnsi="Book Antiqua" w:cs="Arial"/>
        <w:noProof/>
        <w:sz w:val="16"/>
        <w:szCs w:val="16"/>
      </w:rPr>
      <w:t>12</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41FB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CFB" w:rsidRDefault="00552CFB">
      <w:r>
        <w:separator/>
      </w:r>
    </w:p>
  </w:footnote>
  <w:footnote w:type="continuationSeparator" w:id="0">
    <w:p w:rsidR="00552CFB" w:rsidRDefault="00552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A33D74">
    <w:pPr>
      <w:pStyle w:val="Header"/>
      <w:jc w:val="right"/>
      <w:rPr>
        <w:rFonts w:ascii="Book Antiqua" w:hAnsi="Book Antiqua" w:cs="Arial"/>
        <w:sz w:val="16"/>
        <w:szCs w:val="16"/>
      </w:rPr>
    </w:pPr>
    <w:r w:rsidRPr="00AE6DDE">
      <w:rPr>
        <w:rFonts w:ascii="Book Antiqua" w:hAnsi="Book Antiqua" w:cs="Arial"/>
        <w:sz w:val="16"/>
        <w:szCs w:val="16"/>
      </w:rPr>
      <w:t>Appeal Number:</w:t>
    </w:r>
    <w:r w:rsidR="00DB5EBA">
      <w:rPr>
        <w:rFonts w:ascii="Book Antiqua" w:hAnsi="Book Antiqua" w:cs="Arial"/>
        <w:sz w:val="16"/>
        <w:szCs w:val="16"/>
      </w:rPr>
      <w:t xml:space="preserve"> PA/08780</w:t>
    </w:r>
    <w:r w:rsidR="002A2B4C">
      <w:rPr>
        <w:rFonts w:ascii="Book Antiqua" w:hAnsi="Book Antiqua" w:cs="Arial"/>
        <w:sz w:val="16"/>
        <w:szCs w:val="16"/>
      </w:rPr>
      <w:t>/2017</w:t>
    </w: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lvl>
    <w:lvl w:ilvl="1">
      <w:start w:val="1"/>
      <w:numFmt w:val="lowerRoman"/>
      <w:lvlText w:val="(%2)"/>
      <w:lvlJc w:val="left"/>
      <w:pPr>
        <w:tabs>
          <w:tab w:val="num" w:pos="1134"/>
        </w:tabs>
        <w:ind w:left="1134" w:hanging="567"/>
      </w:pPr>
    </w:lvl>
    <w:lvl w:ilvl="2">
      <w:start w:val="1"/>
      <w:numFmt w:val="lowerLetter"/>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3257744D"/>
    <w:multiLevelType w:val="hybridMultilevel"/>
    <w:tmpl w:val="4552CD26"/>
    <w:lvl w:ilvl="0" w:tplc="B99629F4">
      <w:start w:val="1"/>
      <w:numFmt w:val="decimal"/>
      <w:pStyle w:val="Level1"/>
      <w:lvlText w:val="%1."/>
      <w:lvlJc w:val="left"/>
      <w:pPr>
        <w:tabs>
          <w:tab w:val="num" w:pos="644"/>
        </w:tabs>
        <w:ind w:left="644" w:hanging="360"/>
      </w:pPr>
      <w:rPr>
        <w:rFonts w:ascii="Book Antiqua" w:hAnsi="Book Antiqua" w:cs="Times New Roman" w:hint="default"/>
        <w:b w:val="0"/>
        <w:i w:val="0"/>
        <w:sz w:val="24"/>
        <w:szCs w:val="24"/>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8D"/>
    <w:rsid w:val="00000621"/>
    <w:rsid w:val="000036C2"/>
    <w:rsid w:val="00033D3D"/>
    <w:rsid w:val="00062F02"/>
    <w:rsid w:val="00071A7E"/>
    <w:rsid w:val="000746C0"/>
    <w:rsid w:val="00074D1D"/>
    <w:rsid w:val="00092580"/>
    <w:rsid w:val="00093D4D"/>
    <w:rsid w:val="000A3F67"/>
    <w:rsid w:val="000B24F7"/>
    <w:rsid w:val="000C4CC2"/>
    <w:rsid w:val="000C61AA"/>
    <w:rsid w:val="000D00C4"/>
    <w:rsid w:val="000D5D94"/>
    <w:rsid w:val="000E7724"/>
    <w:rsid w:val="000F1A0E"/>
    <w:rsid w:val="00100617"/>
    <w:rsid w:val="0010368E"/>
    <w:rsid w:val="0010568D"/>
    <w:rsid w:val="00112331"/>
    <w:rsid w:val="001165A7"/>
    <w:rsid w:val="00155F45"/>
    <w:rsid w:val="00156178"/>
    <w:rsid w:val="00167D3A"/>
    <w:rsid w:val="00173946"/>
    <w:rsid w:val="001803B6"/>
    <w:rsid w:val="00197947"/>
    <w:rsid w:val="001A3082"/>
    <w:rsid w:val="001B186A"/>
    <w:rsid w:val="001B2F75"/>
    <w:rsid w:val="001F2716"/>
    <w:rsid w:val="00207617"/>
    <w:rsid w:val="00224D49"/>
    <w:rsid w:val="0023134B"/>
    <w:rsid w:val="002376E5"/>
    <w:rsid w:val="00253D70"/>
    <w:rsid w:val="00254DBC"/>
    <w:rsid w:val="00283659"/>
    <w:rsid w:val="002A2B4C"/>
    <w:rsid w:val="002C6BD4"/>
    <w:rsid w:val="002D083B"/>
    <w:rsid w:val="002D68BF"/>
    <w:rsid w:val="002D72B7"/>
    <w:rsid w:val="002F6B98"/>
    <w:rsid w:val="00316346"/>
    <w:rsid w:val="00336A55"/>
    <w:rsid w:val="00336CBF"/>
    <w:rsid w:val="00343FE3"/>
    <w:rsid w:val="003546C8"/>
    <w:rsid w:val="00363F30"/>
    <w:rsid w:val="003A0375"/>
    <w:rsid w:val="003A7CF2"/>
    <w:rsid w:val="003B6113"/>
    <w:rsid w:val="003C5CE5"/>
    <w:rsid w:val="003C7E4A"/>
    <w:rsid w:val="003E267B"/>
    <w:rsid w:val="003E4955"/>
    <w:rsid w:val="003E52CC"/>
    <w:rsid w:val="003E7CD1"/>
    <w:rsid w:val="003F4C61"/>
    <w:rsid w:val="004011C8"/>
    <w:rsid w:val="00402B9E"/>
    <w:rsid w:val="00415157"/>
    <w:rsid w:val="004249CB"/>
    <w:rsid w:val="0044127D"/>
    <w:rsid w:val="004448DB"/>
    <w:rsid w:val="00446C9A"/>
    <w:rsid w:val="00447988"/>
    <w:rsid w:val="00452F2B"/>
    <w:rsid w:val="0046338F"/>
    <w:rsid w:val="00471E3C"/>
    <w:rsid w:val="00477193"/>
    <w:rsid w:val="00491187"/>
    <w:rsid w:val="004A183E"/>
    <w:rsid w:val="004A1848"/>
    <w:rsid w:val="004A6F4A"/>
    <w:rsid w:val="004B104B"/>
    <w:rsid w:val="004B166B"/>
    <w:rsid w:val="004E4717"/>
    <w:rsid w:val="004F5F06"/>
    <w:rsid w:val="004F672C"/>
    <w:rsid w:val="0050388A"/>
    <w:rsid w:val="00507FEC"/>
    <w:rsid w:val="00510F0E"/>
    <w:rsid w:val="005420FD"/>
    <w:rsid w:val="005473D4"/>
    <w:rsid w:val="005479E1"/>
    <w:rsid w:val="00552CFB"/>
    <w:rsid w:val="00553E0A"/>
    <w:rsid w:val="005570FD"/>
    <w:rsid w:val="005575EA"/>
    <w:rsid w:val="0057790C"/>
    <w:rsid w:val="00593795"/>
    <w:rsid w:val="00596130"/>
    <w:rsid w:val="005A300F"/>
    <w:rsid w:val="005A75FF"/>
    <w:rsid w:val="005C2B9C"/>
    <w:rsid w:val="005D10AB"/>
    <w:rsid w:val="005E3B61"/>
    <w:rsid w:val="00601D8F"/>
    <w:rsid w:val="00617C41"/>
    <w:rsid w:val="0062078F"/>
    <w:rsid w:val="00653E97"/>
    <w:rsid w:val="00677CF9"/>
    <w:rsid w:val="00684A74"/>
    <w:rsid w:val="00690B8A"/>
    <w:rsid w:val="006B35C9"/>
    <w:rsid w:val="006E47C4"/>
    <w:rsid w:val="006F2CF1"/>
    <w:rsid w:val="00703184"/>
    <w:rsid w:val="007038ED"/>
    <w:rsid w:val="00703BC3"/>
    <w:rsid w:val="00704B61"/>
    <w:rsid w:val="007552A9"/>
    <w:rsid w:val="00755D2B"/>
    <w:rsid w:val="00761858"/>
    <w:rsid w:val="00767D59"/>
    <w:rsid w:val="00776E97"/>
    <w:rsid w:val="00780F86"/>
    <w:rsid w:val="007912AD"/>
    <w:rsid w:val="00795FB2"/>
    <w:rsid w:val="007A0794"/>
    <w:rsid w:val="007A20D6"/>
    <w:rsid w:val="007B0824"/>
    <w:rsid w:val="007B5D3C"/>
    <w:rsid w:val="007D1437"/>
    <w:rsid w:val="00811038"/>
    <w:rsid w:val="00817CF9"/>
    <w:rsid w:val="00821B72"/>
    <w:rsid w:val="00823EF2"/>
    <w:rsid w:val="00827025"/>
    <w:rsid w:val="008303B8"/>
    <w:rsid w:val="00833DCE"/>
    <w:rsid w:val="0083768F"/>
    <w:rsid w:val="00847259"/>
    <w:rsid w:val="008478F6"/>
    <w:rsid w:val="00854534"/>
    <w:rsid w:val="00871D34"/>
    <w:rsid w:val="00874D45"/>
    <w:rsid w:val="008B07B3"/>
    <w:rsid w:val="008B270C"/>
    <w:rsid w:val="008B5078"/>
    <w:rsid w:val="008C3D3D"/>
    <w:rsid w:val="008D4131"/>
    <w:rsid w:val="008F1932"/>
    <w:rsid w:val="008F56F0"/>
    <w:rsid w:val="0091368E"/>
    <w:rsid w:val="00920CA3"/>
    <w:rsid w:val="00921062"/>
    <w:rsid w:val="00926B61"/>
    <w:rsid w:val="00937FE7"/>
    <w:rsid w:val="00947565"/>
    <w:rsid w:val="00965C3E"/>
    <w:rsid w:val="009722BC"/>
    <w:rsid w:val="009727A3"/>
    <w:rsid w:val="00984E64"/>
    <w:rsid w:val="00987774"/>
    <w:rsid w:val="009A11E8"/>
    <w:rsid w:val="009B443B"/>
    <w:rsid w:val="009D1EA3"/>
    <w:rsid w:val="009F5220"/>
    <w:rsid w:val="00A04954"/>
    <w:rsid w:val="00A15234"/>
    <w:rsid w:val="00A201AB"/>
    <w:rsid w:val="00A31C8B"/>
    <w:rsid w:val="00A33D74"/>
    <w:rsid w:val="00A509FA"/>
    <w:rsid w:val="00A57B5D"/>
    <w:rsid w:val="00A609C8"/>
    <w:rsid w:val="00A77F1F"/>
    <w:rsid w:val="00A845DC"/>
    <w:rsid w:val="00A92942"/>
    <w:rsid w:val="00AC4F6E"/>
    <w:rsid w:val="00AC5034"/>
    <w:rsid w:val="00AD5231"/>
    <w:rsid w:val="00AE6DDE"/>
    <w:rsid w:val="00AE7D4D"/>
    <w:rsid w:val="00AF4C07"/>
    <w:rsid w:val="00B26AA2"/>
    <w:rsid w:val="00B3524D"/>
    <w:rsid w:val="00B40F69"/>
    <w:rsid w:val="00B46616"/>
    <w:rsid w:val="00B63D94"/>
    <w:rsid w:val="00B7040A"/>
    <w:rsid w:val="00B83391"/>
    <w:rsid w:val="00B87C01"/>
    <w:rsid w:val="00B95326"/>
    <w:rsid w:val="00BA5249"/>
    <w:rsid w:val="00BB1E78"/>
    <w:rsid w:val="00BD4196"/>
    <w:rsid w:val="00BF22CA"/>
    <w:rsid w:val="00BF23BB"/>
    <w:rsid w:val="00BF66E5"/>
    <w:rsid w:val="00C20856"/>
    <w:rsid w:val="00C26032"/>
    <w:rsid w:val="00C33667"/>
    <w:rsid w:val="00C345E1"/>
    <w:rsid w:val="00C43BFD"/>
    <w:rsid w:val="00C53074"/>
    <w:rsid w:val="00C75925"/>
    <w:rsid w:val="00CB575C"/>
    <w:rsid w:val="00CB6E35"/>
    <w:rsid w:val="00CD3634"/>
    <w:rsid w:val="00CD58CE"/>
    <w:rsid w:val="00CD59AC"/>
    <w:rsid w:val="00CD7FEA"/>
    <w:rsid w:val="00CE1A46"/>
    <w:rsid w:val="00D20757"/>
    <w:rsid w:val="00D22636"/>
    <w:rsid w:val="00D2324E"/>
    <w:rsid w:val="00D3047D"/>
    <w:rsid w:val="00D40FD9"/>
    <w:rsid w:val="00D45631"/>
    <w:rsid w:val="00D53769"/>
    <w:rsid w:val="00D563D8"/>
    <w:rsid w:val="00D85C13"/>
    <w:rsid w:val="00D87AF7"/>
    <w:rsid w:val="00D9111A"/>
    <w:rsid w:val="00D91BE3"/>
    <w:rsid w:val="00D94AFC"/>
    <w:rsid w:val="00DB5EBA"/>
    <w:rsid w:val="00DB70AE"/>
    <w:rsid w:val="00DD1BBC"/>
    <w:rsid w:val="00DD5071"/>
    <w:rsid w:val="00DD5C39"/>
    <w:rsid w:val="00DE7DB7"/>
    <w:rsid w:val="00DF09E9"/>
    <w:rsid w:val="00E00973"/>
    <w:rsid w:val="00E00A0A"/>
    <w:rsid w:val="00E066DE"/>
    <w:rsid w:val="00E07F57"/>
    <w:rsid w:val="00E30683"/>
    <w:rsid w:val="00E37CE4"/>
    <w:rsid w:val="00E41FBD"/>
    <w:rsid w:val="00E453D8"/>
    <w:rsid w:val="00E50BCE"/>
    <w:rsid w:val="00E574BF"/>
    <w:rsid w:val="00E61292"/>
    <w:rsid w:val="00E67616"/>
    <w:rsid w:val="00E77C4D"/>
    <w:rsid w:val="00E81D01"/>
    <w:rsid w:val="00E845A5"/>
    <w:rsid w:val="00E917CD"/>
    <w:rsid w:val="00EB5FC7"/>
    <w:rsid w:val="00EE45D8"/>
    <w:rsid w:val="00F12DEC"/>
    <w:rsid w:val="00F22EDA"/>
    <w:rsid w:val="00F372CF"/>
    <w:rsid w:val="00F74FA7"/>
    <w:rsid w:val="00FB54F9"/>
    <w:rsid w:val="00FB6DB1"/>
    <w:rsid w:val="00FB77FD"/>
    <w:rsid w:val="00FC244D"/>
    <w:rsid w:val="00FF2D8D"/>
    <w:rsid w:val="00FF4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4B8603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Level1">
    <w:name w:val="Level 1"/>
    <w:basedOn w:val="Normal"/>
    <w:rsid w:val="00D563D8"/>
    <w:pPr>
      <w:widowControl w:val="0"/>
      <w:numPr>
        <w:numId w:val="3"/>
      </w:numPr>
      <w:autoSpaceDE w:val="0"/>
      <w:autoSpaceDN w:val="0"/>
      <w:adjustRightInd w:val="0"/>
      <w:outlineLvl w:val="0"/>
    </w:pPr>
    <w:rPr>
      <w:rFonts w:ascii="Arial" w:eastAsia="MS Mincho"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6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3781</Words>
  <Characters>17872</Characters>
  <Application>Microsoft Office Word</Application>
  <DocSecurity>0</DocSecurity>
  <Lines>148</Lines>
  <Paragraphs>43</Paragraphs>
  <ScaleCrop>false</ScaleCrop>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2018-07-16T15:21:00Z</dcterms:created>
  <dcterms:modified xsi:type="dcterms:W3CDTF">2018-07-16T15:21:00Z</dcterms:modified>
</cp:coreProperties>
</file>