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A2559" w:rsidP="00C321B5">
      <w:pPr>
        <w:jc w:val="center"/>
        <w:rPr>
          <w:rFonts w:ascii="Book Antiqua" w:hAnsi="Book Antiqua" w:cs="Arial"/>
          <w:sz w:val="16"/>
          <w:szCs w:val="16"/>
        </w:rPr>
      </w:pPr>
      <w:r>
        <w:rPr>
          <w:noProof/>
        </w:rPr>
        <w:drawing>
          <wp:inline distT="0" distB="0" distL="0" distR="0" wp14:anchorId="4C8BCDE8" wp14:editId="2A671792">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F5664C" w:rsidRDefault="00D94AFC" w:rsidP="00463ECF">
      <w:pPr>
        <w:outlineLvl w:val="0"/>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AE0665">
        <w:rPr>
          <w:rFonts w:ascii="Book Antiqua" w:hAnsi="Book Antiqua" w:cs="Arial"/>
          <w:caps/>
        </w:rPr>
        <w:t>PA/08882/2017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463ECF">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AE0665">
              <w:rPr>
                <w:rFonts w:ascii="Book Antiqua" w:hAnsi="Book Antiqua" w:cs="Arial"/>
                <w:b/>
              </w:rPr>
              <w:t>Field House</w:t>
            </w:r>
          </w:p>
        </w:tc>
        <w:tc>
          <w:tcPr>
            <w:tcW w:w="3960" w:type="dxa"/>
          </w:tcPr>
          <w:p w:rsidR="00D22636" w:rsidRPr="00F5664C" w:rsidRDefault="00463ECF"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463ECF">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AE0665">
              <w:rPr>
                <w:rFonts w:ascii="Book Antiqua" w:hAnsi="Book Antiqua" w:cs="Arial"/>
                <w:b/>
              </w:rPr>
              <w:t>5 September 2018</w:t>
            </w:r>
          </w:p>
        </w:tc>
        <w:tc>
          <w:tcPr>
            <w:tcW w:w="3960" w:type="dxa"/>
          </w:tcPr>
          <w:p w:rsidR="00D22636" w:rsidRPr="00F5664C" w:rsidRDefault="00B86A7B" w:rsidP="004A1848">
            <w:pPr>
              <w:jc w:val="both"/>
              <w:rPr>
                <w:rFonts w:ascii="Book Antiqua" w:hAnsi="Book Antiqua" w:cs="Arial"/>
                <w:b/>
              </w:rPr>
            </w:pPr>
            <w:r w:rsidRPr="00F5664C">
              <w:rPr>
                <w:rFonts w:ascii="Book Antiqua" w:hAnsi="Book Antiqua" w:cs="Arial"/>
                <w:b/>
              </w:rPr>
              <w:t xml:space="preserve">On </w:t>
            </w:r>
            <w:r>
              <w:rPr>
                <w:rFonts w:ascii="Book Antiqua" w:hAnsi="Book Antiqua" w:cs="Arial"/>
                <w:b/>
              </w:rPr>
              <w:t>20 September 2018</w:t>
            </w:r>
          </w:p>
        </w:tc>
      </w:tr>
      <w:tr w:rsidR="00D22636" w:rsidRPr="00F5664C" w:rsidTr="00463ECF">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902761">
      <w:pPr>
        <w:rPr>
          <w:rFonts w:ascii="Book Antiqua" w:hAnsi="Book Antiqua" w:cs="Arial"/>
        </w:rPr>
      </w:pPr>
    </w:p>
    <w:p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60CA" w:rsidP="00463ECF">
      <w:pPr>
        <w:jc w:val="center"/>
        <w:outlineLvl w:val="0"/>
        <w:rPr>
          <w:rFonts w:ascii="Book Antiqua" w:hAnsi="Book Antiqua" w:cs="Arial"/>
          <w:b/>
        </w:rPr>
      </w:pPr>
      <w:r>
        <w:rPr>
          <w:rFonts w:ascii="Book Antiqua" w:hAnsi="Book Antiqua" w:cs="Arial"/>
          <w:b/>
        </w:rPr>
        <w:t xml:space="preserve">DEPUTY </w:t>
      </w:r>
      <w:r w:rsidR="00BB7873">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rsidR="001A1E2C" w:rsidRPr="00F5664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463ECF">
      <w:pPr>
        <w:jc w:val="center"/>
        <w:outlineLvl w:val="0"/>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E0665" w:rsidP="00463ECF">
      <w:pPr>
        <w:jc w:val="center"/>
        <w:outlineLvl w:val="0"/>
        <w:rPr>
          <w:rFonts w:ascii="Book Antiqua" w:hAnsi="Book Antiqua" w:cs="Arial"/>
          <w:b/>
          <w:caps/>
        </w:rPr>
      </w:pPr>
      <w:r>
        <w:rPr>
          <w:rFonts w:ascii="Book Antiqua" w:hAnsi="Book Antiqua" w:cs="Arial"/>
          <w:b/>
          <w:caps/>
        </w:rPr>
        <w:t xml:space="preserve">THE Secretary of State FOR THE Home Department </w:t>
      </w:r>
    </w:p>
    <w:p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40202A" w:rsidP="00463ECF">
      <w:pPr>
        <w:jc w:val="center"/>
        <w:outlineLvl w:val="0"/>
        <w:rPr>
          <w:rFonts w:ascii="Book Antiqua" w:hAnsi="Book Antiqua" w:cs="Arial"/>
          <w:b/>
          <w:caps/>
        </w:rPr>
      </w:pPr>
      <w:r>
        <w:rPr>
          <w:rFonts w:ascii="Book Antiqua" w:hAnsi="Book Antiqua" w:cs="Arial"/>
          <w:b/>
          <w:caps/>
        </w:rPr>
        <w:t>[</w:t>
      </w:r>
      <w:r w:rsidR="00AE0665">
        <w:rPr>
          <w:rFonts w:ascii="Book Antiqua" w:hAnsi="Book Antiqua" w:cs="Arial"/>
          <w:b/>
          <w:caps/>
        </w:rPr>
        <w:t>O</w:t>
      </w:r>
      <w:r>
        <w:rPr>
          <w:rFonts w:ascii="Book Antiqua" w:hAnsi="Book Antiqua" w:cs="Arial"/>
          <w:b/>
          <w:caps/>
        </w:rPr>
        <w:t xml:space="preserve"> </w:t>
      </w:r>
      <w:r w:rsidR="00AE0665">
        <w:rPr>
          <w:rFonts w:ascii="Book Antiqua" w:hAnsi="Book Antiqua" w:cs="Arial"/>
          <w:b/>
          <w:caps/>
        </w:rPr>
        <w:t>E</w:t>
      </w:r>
      <w:r>
        <w:rPr>
          <w:rFonts w:ascii="Book Antiqua" w:hAnsi="Book Antiqua" w:cs="Arial"/>
          <w:b/>
          <w:caps/>
        </w:rPr>
        <w:t>]</w:t>
      </w:r>
    </w:p>
    <w:p w:rsidR="00DD5071" w:rsidRPr="0040202A" w:rsidRDefault="00AE0665" w:rsidP="00902761">
      <w:pPr>
        <w:jc w:val="center"/>
        <w:rPr>
          <w:rFonts w:ascii="Book Antiqua" w:hAnsi="Book Antiqua" w:cs="Arial"/>
          <w:b/>
          <w:caps/>
          <w:strike/>
          <w:sz w:val="22"/>
        </w:rPr>
      </w:pPr>
      <w:r w:rsidRPr="0040202A">
        <w:rPr>
          <w:rFonts w:ascii="Book Antiqua" w:hAnsi="Book Antiqua" w:cs="Arial"/>
          <w:b/>
          <w:caps/>
          <w:strike/>
          <w:sz w:val="22"/>
        </w:rPr>
        <w:t xml:space="preserve">(ANONYMITY DIRECTION </w:t>
      </w:r>
      <w:bookmarkStart w:id="1" w:name="Text21"/>
      <w:r w:rsidR="002560CA" w:rsidRPr="0040202A">
        <w:rPr>
          <w:rFonts w:ascii="Book Antiqua" w:hAnsi="Book Antiqua" w:cs="Arial"/>
          <w:b/>
          <w:caps/>
          <w:strike/>
          <w:sz w:val="22"/>
        </w:rPr>
        <w:t>NOT MADE</w:t>
      </w:r>
      <w:bookmarkEnd w:id="1"/>
      <w:r w:rsidRPr="0040202A">
        <w:rPr>
          <w:rFonts w:ascii="Book Antiqua" w:hAnsi="Book Antiqua" w:cs="Arial"/>
          <w:b/>
          <w:caps/>
          <w:strike/>
          <w:sz w:val="22"/>
        </w:rPr>
        <w:t>)</w:t>
      </w:r>
    </w:p>
    <w:p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902761" w:rsidRPr="00F5664C" w:rsidRDefault="00902761" w:rsidP="00DD5071">
      <w:pPr>
        <w:rPr>
          <w:rFonts w:ascii="Book Antiqua" w:hAnsi="Book Antiqua" w:cs="Arial"/>
          <w:u w:val="single"/>
        </w:rPr>
      </w:pPr>
    </w:p>
    <w:p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E0665">
        <w:rPr>
          <w:rFonts w:ascii="Book Antiqua" w:hAnsi="Book Antiqua" w:cs="Arial"/>
        </w:rPr>
        <w:t>Mr T</w:t>
      </w:r>
      <w:r w:rsidR="002560CA">
        <w:rPr>
          <w:rFonts w:ascii="Book Antiqua" w:hAnsi="Book Antiqua" w:cs="Arial"/>
        </w:rPr>
        <w:t>.</w:t>
      </w:r>
      <w:r w:rsidR="00AE0665">
        <w:rPr>
          <w:rFonts w:ascii="Book Antiqua" w:hAnsi="Book Antiqua" w:cs="Arial"/>
        </w:rPr>
        <w:t xml:space="preserve"> Wilding, 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E0665">
        <w:rPr>
          <w:rFonts w:ascii="Book Antiqua" w:hAnsi="Book Antiqua" w:cs="Arial"/>
        </w:rPr>
        <w:t>Ms A</w:t>
      </w:r>
      <w:r w:rsidR="002560CA">
        <w:rPr>
          <w:rFonts w:ascii="Book Antiqua" w:hAnsi="Book Antiqua" w:cs="Arial"/>
        </w:rPr>
        <w:t>.</w:t>
      </w:r>
      <w:r w:rsidR="00AE0665">
        <w:rPr>
          <w:rFonts w:ascii="Book Antiqua" w:hAnsi="Book Antiqua" w:cs="Arial"/>
        </w:rPr>
        <w:t xml:space="preserve"> Patyna, Counsel</w:t>
      </w:r>
    </w:p>
    <w:p w:rsidR="00DE7DB7" w:rsidRPr="00F5664C" w:rsidRDefault="00DE7DB7" w:rsidP="00402B9E">
      <w:pPr>
        <w:tabs>
          <w:tab w:val="left" w:pos="2520"/>
        </w:tabs>
        <w:jc w:val="center"/>
        <w:rPr>
          <w:rFonts w:ascii="Book Antiqua" w:hAnsi="Book Antiqua" w:cs="Arial"/>
        </w:rPr>
      </w:pPr>
    </w:p>
    <w:p w:rsidR="00DE7DB7" w:rsidRDefault="00402B9E" w:rsidP="00B006F6">
      <w:pPr>
        <w:tabs>
          <w:tab w:val="left" w:pos="2520"/>
        </w:tabs>
        <w:jc w:val="center"/>
        <w:outlineLvl w:val="0"/>
        <w:rPr>
          <w:rFonts w:ascii="Book Antiqua" w:hAnsi="Book Antiqua" w:cs="Arial"/>
          <w:b/>
          <w:u w:val="single"/>
        </w:rPr>
      </w:pPr>
      <w:r w:rsidRPr="00F5664C">
        <w:rPr>
          <w:rFonts w:ascii="Book Antiqua" w:hAnsi="Book Antiqua" w:cs="Arial"/>
          <w:b/>
          <w:u w:val="single"/>
        </w:rPr>
        <w:t>REASONS</w:t>
      </w:r>
      <w:r w:rsidR="00B006F6">
        <w:rPr>
          <w:rFonts w:ascii="Book Antiqua" w:hAnsi="Book Antiqua" w:cs="Arial"/>
          <w:b/>
          <w:u w:val="single"/>
        </w:rPr>
        <w:t xml:space="preserve"> FOR FINDING AN ERROR OF LAW</w:t>
      </w:r>
    </w:p>
    <w:p w:rsidR="00463ECF" w:rsidRPr="00F5664C" w:rsidRDefault="00463ECF" w:rsidP="00402B9E">
      <w:pPr>
        <w:tabs>
          <w:tab w:val="left" w:pos="2520"/>
        </w:tabs>
        <w:jc w:val="center"/>
        <w:rPr>
          <w:rFonts w:ascii="Book Antiqua" w:hAnsi="Book Antiqua" w:cs="Arial"/>
        </w:rPr>
      </w:pPr>
    </w:p>
    <w:p w:rsidR="00632ABE" w:rsidRDefault="00AE0665" w:rsidP="0057609C">
      <w:pPr>
        <w:numPr>
          <w:ilvl w:val="0"/>
          <w:numId w:val="3"/>
        </w:numPr>
        <w:spacing w:before="240"/>
        <w:jc w:val="both"/>
        <w:rPr>
          <w:rFonts w:ascii="Book Antiqua" w:hAnsi="Book Antiqua" w:cs="Arial"/>
        </w:rPr>
      </w:pPr>
      <w:r>
        <w:rPr>
          <w:rFonts w:ascii="Book Antiqua" w:hAnsi="Book Antiqua" w:cs="Arial"/>
        </w:rPr>
        <w:t xml:space="preserve">The application before me made by the Secretary of State is that First-tier Tribunal Judge Iqbal made an error of law in her determination promulgated on 13 December 2017 in which she allowed the appeals both on asylum grounds and on Article 2, Article 3 and Article 8 grounds of the ECHR.  </w:t>
      </w:r>
      <w:r w:rsidR="00A210B7">
        <w:rPr>
          <w:rFonts w:ascii="Book Antiqua" w:hAnsi="Book Antiqua" w:cs="Arial"/>
        </w:rPr>
        <w:t>I shall refer to the appellant</w:t>
      </w:r>
      <w:r w:rsidR="00753993">
        <w:rPr>
          <w:rFonts w:ascii="Book Antiqua" w:hAnsi="Book Antiqua" w:cs="Arial"/>
        </w:rPr>
        <w:t xml:space="preserve">, who is a </w:t>
      </w:r>
      <w:r w:rsidR="00753993">
        <w:rPr>
          <w:rFonts w:ascii="Book Antiqua" w:hAnsi="Book Antiqua" w:cs="Arial"/>
        </w:rPr>
        <w:lastRenderedPageBreak/>
        <w:t>Niger</w:t>
      </w:r>
      <w:r>
        <w:rPr>
          <w:rFonts w:ascii="Book Antiqua" w:hAnsi="Book Antiqua" w:cs="Arial"/>
        </w:rPr>
        <w:t>ian national born on 3 October 1980</w:t>
      </w:r>
      <w:r w:rsidR="00753993">
        <w:rPr>
          <w:rFonts w:ascii="Book Antiqua" w:hAnsi="Book Antiqua" w:cs="Arial"/>
        </w:rPr>
        <w:t>,</w:t>
      </w:r>
      <w:r>
        <w:rPr>
          <w:rFonts w:ascii="Book Antiqua" w:hAnsi="Book Antiqua" w:cs="Arial"/>
        </w:rPr>
        <w:t xml:space="preserve"> as the appellant as he was in the First-tier Tribunal.  </w:t>
      </w:r>
      <w:r w:rsidR="00753993">
        <w:rPr>
          <w:rFonts w:ascii="Book Antiqua" w:hAnsi="Book Antiqua" w:cs="Arial"/>
        </w:rPr>
        <w:t>He is the father of three children.</w:t>
      </w:r>
    </w:p>
    <w:p w:rsidR="00632ABE" w:rsidRDefault="00AE0665" w:rsidP="0057609C">
      <w:pPr>
        <w:numPr>
          <w:ilvl w:val="0"/>
          <w:numId w:val="3"/>
        </w:numPr>
        <w:spacing w:before="240"/>
        <w:jc w:val="both"/>
        <w:rPr>
          <w:rFonts w:ascii="Book Antiqua" w:hAnsi="Book Antiqua" w:cs="Arial"/>
        </w:rPr>
      </w:pPr>
      <w:r>
        <w:rPr>
          <w:rFonts w:ascii="Book Antiqua" w:hAnsi="Book Antiqua" w:cs="Arial"/>
        </w:rPr>
        <w:t xml:space="preserve">The judge found that the claim made by the parents that their three female children were at risk of FGM on return to Nigeria was made out and that they were at risk of FGM such that this would violate their rights under </w:t>
      </w:r>
      <w:r w:rsidR="00632ABE">
        <w:rPr>
          <w:rFonts w:ascii="Book Antiqua" w:hAnsi="Book Antiqua" w:cs="Arial"/>
        </w:rPr>
        <w:t>both</w:t>
      </w:r>
      <w:r>
        <w:rPr>
          <w:rFonts w:ascii="Book Antiqua" w:hAnsi="Book Antiqua" w:cs="Arial"/>
        </w:rPr>
        <w:t xml:space="preserve"> Conventions.  There is no doubt that if any of the children were to subjected to FGM then that would be a violation of that child’s rights.  </w:t>
      </w:r>
      <w:r w:rsidR="00753993">
        <w:rPr>
          <w:rFonts w:ascii="Book Antiqua" w:hAnsi="Book Antiqua" w:cs="Arial"/>
        </w:rPr>
        <w:t>W</w:t>
      </w:r>
      <w:r>
        <w:rPr>
          <w:rFonts w:ascii="Book Antiqua" w:hAnsi="Book Antiqua" w:cs="Arial"/>
        </w:rPr>
        <w:t>ere th</w:t>
      </w:r>
      <w:r w:rsidR="002560CA">
        <w:rPr>
          <w:rFonts w:ascii="Book Antiqua" w:hAnsi="Book Antiqua" w:cs="Arial"/>
        </w:rPr>
        <w:t>ere</w:t>
      </w:r>
      <w:r>
        <w:rPr>
          <w:rFonts w:ascii="Book Antiqua" w:hAnsi="Book Antiqua" w:cs="Arial"/>
        </w:rPr>
        <w:t xml:space="preserve"> to be a real risk</w:t>
      </w:r>
      <w:r w:rsidR="002560CA">
        <w:rPr>
          <w:rFonts w:ascii="Book Antiqua" w:hAnsi="Book Antiqua" w:cs="Arial"/>
        </w:rPr>
        <w:t>,</w:t>
      </w:r>
      <w:r>
        <w:rPr>
          <w:rFonts w:ascii="Book Antiqua" w:hAnsi="Book Antiqua" w:cs="Arial"/>
        </w:rPr>
        <w:t xml:space="preserve"> then the case would have been made out.  However, the </w:t>
      </w:r>
      <w:r w:rsidR="002560CA">
        <w:rPr>
          <w:rFonts w:ascii="Book Antiqua" w:hAnsi="Book Antiqua" w:cs="Arial"/>
        </w:rPr>
        <w:t>judge’s conclusion has to be supported by</w:t>
      </w:r>
      <w:r>
        <w:rPr>
          <w:rFonts w:ascii="Book Antiqua" w:hAnsi="Book Antiqua" w:cs="Arial"/>
        </w:rPr>
        <w:t xml:space="preserve"> adequate reason</w:t>
      </w:r>
      <w:r w:rsidR="00632ABE">
        <w:rPr>
          <w:rFonts w:ascii="Book Antiqua" w:hAnsi="Book Antiqua" w:cs="Arial"/>
        </w:rPr>
        <w:t>ing</w:t>
      </w:r>
      <w:r w:rsidR="002560CA">
        <w:rPr>
          <w:rFonts w:ascii="Book Antiqua" w:hAnsi="Book Antiqua" w:cs="Arial"/>
        </w:rPr>
        <w:t>.  T</w:t>
      </w:r>
      <w:r>
        <w:rPr>
          <w:rFonts w:ascii="Book Antiqua" w:hAnsi="Book Antiqua" w:cs="Arial"/>
        </w:rPr>
        <w:t xml:space="preserve">he challenge made by the Secretary of State is that the judge did not sufficiently reason the three stages which </w:t>
      </w:r>
      <w:r w:rsidR="002560CA">
        <w:rPr>
          <w:rFonts w:ascii="Book Antiqua" w:hAnsi="Book Antiqua" w:cs="Arial"/>
        </w:rPr>
        <w:t>were raised</w:t>
      </w:r>
      <w:r>
        <w:rPr>
          <w:rFonts w:ascii="Book Antiqua" w:hAnsi="Book Antiqua" w:cs="Arial"/>
        </w:rPr>
        <w:t xml:space="preserve"> in this appeal, namely </w:t>
      </w:r>
      <w:r w:rsidR="002560CA">
        <w:rPr>
          <w:rFonts w:ascii="Book Antiqua" w:hAnsi="Book Antiqua" w:cs="Arial"/>
        </w:rPr>
        <w:t xml:space="preserve">first, </w:t>
      </w:r>
      <w:r>
        <w:rPr>
          <w:rFonts w:ascii="Book Antiqua" w:hAnsi="Book Antiqua" w:cs="Arial"/>
        </w:rPr>
        <w:t xml:space="preserve">that the appellant was at risk in his home area because of the risk faced by his children;   secondly, that there is an insufficiency of state protection, and thirdly that there was no reasonable prospect of relocating anywhere else in Nigeria as a result of it.  </w:t>
      </w:r>
    </w:p>
    <w:p w:rsidR="00632ABE" w:rsidRDefault="00AE0665" w:rsidP="0057609C">
      <w:pPr>
        <w:numPr>
          <w:ilvl w:val="0"/>
          <w:numId w:val="3"/>
        </w:numPr>
        <w:spacing w:before="240"/>
        <w:jc w:val="both"/>
        <w:rPr>
          <w:rFonts w:ascii="Book Antiqua" w:hAnsi="Book Antiqua" w:cs="Arial"/>
        </w:rPr>
      </w:pPr>
      <w:r>
        <w:rPr>
          <w:rFonts w:ascii="Book Antiqua" w:hAnsi="Book Antiqua" w:cs="Arial"/>
        </w:rPr>
        <w:t xml:space="preserve">The judge first found that the </w:t>
      </w:r>
      <w:r w:rsidR="002560CA">
        <w:rPr>
          <w:rFonts w:ascii="Book Antiqua" w:hAnsi="Book Antiqua" w:cs="Arial"/>
        </w:rPr>
        <w:t>appellant and his wife ‘</w:t>
      </w:r>
      <w:r w:rsidR="00862432" w:rsidRPr="002560CA">
        <w:rPr>
          <w:rFonts w:ascii="Book Antiqua" w:hAnsi="Book Antiqua" w:cs="Arial"/>
          <w:i/>
        </w:rPr>
        <w:t xml:space="preserve">may well be pressured in the same way to submit their children for FGM such that this would amount to a well-founded fear of </w:t>
      </w:r>
      <w:r w:rsidR="002560CA" w:rsidRPr="002560CA">
        <w:rPr>
          <w:rFonts w:ascii="Book Antiqua" w:hAnsi="Book Antiqua" w:cs="Arial"/>
          <w:i/>
        </w:rPr>
        <w:t>persecution in their home areas</w:t>
      </w:r>
      <w:r w:rsidR="002560CA">
        <w:rPr>
          <w:rFonts w:ascii="Book Antiqua" w:hAnsi="Book Antiqua" w:cs="Arial"/>
        </w:rPr>
        <w:t>’</w:t>
      </w:r>
      <w:r w:rsidR="00862432">
        <w:rPr>
          <w:rFonts w:ascii="Book Antiqua" w:hAnsi="Book Antiqua" w:cs="Arial"/>
        </w:rPr>
        <w:t xml:space="preserve">.  The judge drew upon the fact that the mother had herself been subjected to FGM and that there was a prevalence of FGM within Nigeria. </w:t>
      </w:r>
    </w:p>
    <w:p w:rsidR="00632ABE" w:rsidRDefault="00862432" w:rsidP="0057609C">
      <w:pPr>
        <w:numPr>
          <w:ilvl w:val="0"/>
          <w:numId w:val="3"/>
        </w:numPr>
        <w:spacing w:before="240"/>
        <w:jc w:val="both"/>
        <w:rPr>
          <w:rFonts w:ascii="Book Antiqua" w:hAnsi="Book Antiqua" w:cs="Arial"/>
        </w:rPr>
      </w:pPr>
      <w:r>
        <w:rPr>
          <w:rFonts w:ascii="Book Antiqua" w:hAnsi="Book Antiqua" w:cs="Arial"/>
        </w:rPr>
        <w:t xml:space="preserve"> The statistics make alarming reading.  They are to be found</w:t>
      </w:r>
      <w:r w:rsidR="002560CA">
        <w:rPr>
          <w:rFonts w:ascii="Book Antiqua" w:hAnsi="Book Antiqua" w:cs="Arial"/>
        </w:rPr>
        <w:t>,</w:t>
      </w:r>
      <w:r>
        <w:rPr>
          <w:rFonts w:ascii="Book Antiqua" w:hAnsi="Book Antiqua" w:cs="Arial"/>
        </w:rPr>
        <w:t xml:space="preserve"> in part</w:t>
      </w:r>
      <w:r w:rsidR="002560CA">
        <w:rPr>
          <w:rFonts w:ascii="Book Antiqua" w:hAnsi="Book Antiqua" w:cs="Arial"/>
        </w:rPr>
        <w:t>,</w:t>
      </w:r>
      <w:r>
        <w:rPr>
          <w:rFonts w:ascii="Book Antiqua" w:hAnsi="Book Antiqua" w:cs="Arial"/>
        </w:rPr>
        <w:t xml:space="preserve"> in the EASO Report which was before the judge and which showed th</w:t>
      </w:r>
      <w:r w:rsidR="00753993">
        <w:rPr>
          <w:rFonts w:ascii="Book Antiqua" w:hAnsi="Book Antiqua" w:cs="Arial"/>
        </w:rPr>
        <w:t xml:space="preserve">e </w:t>
      </w:r>
      <w:r>
        <w:rPr>
          <w:rFonts w:ascii="Book Antiqua" w:hAnsi="Book Antiqua" w:cs="Arial"/>
        </w:rPr>
        <w:t xml:space="preserve">prevalence of FGM in Nigeria.  What is said is that </w:t>
      </w:r>
      <w:r w:rsidR="00EE7729">
        <w:rPr>
          <w:rFonts w:ascii="Book Antiqua" w:hAnsi="Book Antiqua" w:cs="Arial"/>
        </w:rPr>
        <w:t>ce</w:t>
      </w:r>
      <w:r>
        <w:rPr>
          <w:rFonts w:ascii="Book Antiqua" w:hAnsi="Book Antiqua" w:cs="Arial"/>
        </w:rPr>
        <w:t>rtain tribes are more likely to carry out the practice than others</w:t>
      </w:r>
      <w:r w:rsidR="00753993">
        <w:rPr>
          <w:rFonts w:ascii="Book Antiqua" w:hAnsi="Book Antiqua" w:cs="Arial"/>
        </w:rPr>
        <w:t>.  I</w:t>
      </w:r>
      <w:r>
        <w:rPr>
          <w:rFonts w:ascii="Book Antiqua" w:hAnsi="Book Antiqua" w:cs="Arial"/>
        </w:rPr>
        <w:t>n the case of the Igbo tribe</w:t>
      </w:r>
      <w:r w:rsidR="00EE7729">
        <w:rPr>
          <w:rFonts w:ascii="Book Antiqua" w:hAnsi="Book Antiqua" w:cs="Arial"/>
        </w:rPr>
        <w:t>,</w:t>
      </w:r>
      <w:r>
        <w:rPr>
          <w:rFonts w:ascii="Book Antiqua" w:hAnsi="Book Antiqua" w:cs="Arial"/>
        </w:rPr>
        <w:t xml:space="preserve"> the prevalence was said to be between 45% and 76% depending on various studies.  The judge then equated that with a risk that these children would be at risk.  It seems to me that the deficiency in the judge’s reasoning is that the judge does not deal with the fact that these parents are </w:t>
      </w:r>
      <w:r w:rsidR="00753993">
        <w:rPr>
          <w:rFonts w:ascii="Book Antiqua" w:hAnsi="Book Antiqua" w:cs="Arial"/>
        </w:rPr>
        <w:t>u</w:t>
      </w:r>
      <w:r>
        <w:rPr>
          <w:rFonts w:ascii="Book Antiqua" w:hAnsi="Book Antiqua" w:cs="Arial"/>
        </w:rPr>
        <w:t>tterly opposed to any form of FGM and that they would take</w:t>
      </w:r>
      <w:r w:rsidR="00EE7729">
        <w:rPr>
          <w:rFonts w:ascii="Book Antiqua" w:hAnsi="Book Antiqua" w:cs="Arial"/>
        </w:rPr>
        <w:t xml:space="preserve"> the</w:t>
      </w:r>
      <w:r>
        <w:rPr>
          <w:rFonts w:ascii="Book Antiqua" w:hAnsi="Book Antiqua" w:cs="Arial"/>
        </w:rPr>
        <w:t xml:space="preserve"> utmost measures in order to protect their children</w:t>
      </w:r>
      <w:r w:rsidR="00753993">
        <w:rPr>
          <w:rFonts w:ascii="Book Antiqua" w:hAnsi="Book Antiqua" w:cs="Arial"/>
        </w:rPr>
        <w:t>,</w:t>
      </w:r>
      <w:r>
        <w:rPr>
          <w:rFonts w:ascii="Book Antiqua" w:hAnsi="Book Antiqua" w:cs="Arial"/>
        </w:rPr>
        <w:t xml:space="preserve"> as one would reasonably expect.  The problem with statistical information about the prevalence of FGM is that</w:t>
      </w:r>
      <w:r w:rsidR="00EE7729">
        <w:rPr>
          <w:rFonts w:ascii="Book Antiqua" w:hAnsi="Book Antiqua" w:cs="Arial"/>
        </w:rPr>
        <w:t>,</w:t>
      </w:r>
      <w:r>
        <w:rPr>
          <w:rFonts w:ascii="Book Antiqua" w:hAnsi="Book Antiqua" w:cs="Arial"/>
        </w:rPr>
        <w:t xml:space="preserve"> in many cases, if not the majority of cases, the practice is conducted by willing family members who are in agreement with the practice</w:t>
      </w:r>
      <w:r w:rsidR="00EE7729">
        <w:rPr>
          <w:rFonts w:ascii="Book Antiqua" w:hAnsi="Book Antiqua" w:cs="Arial"/>
        </w:rPr>
        <w:t>.  T</w:t>
      </w:r>
      <w:r>
        <w:rPr>
          <w:rFonts w:ascii="Book Antiqua" w:hAnsi="Book Antiqua" w:cs="Arial"/>
        </w:rPr>
        <w:t>hey consider it a traditional tribal practice which is valued in their community and consequently that fuels the likelihood of th</w:t>
      </w:r>
      <w:r w:rsidR="00753993">
        <w:rPr>
          <w:rFonts w:ascii="Book Antiqua" w:hAnsi="Book Antiqua" w:cs="Arial"/>
        </w:rPr>
        <w:t>is</w:t>
      </w:r>
      <w:r>
        <w:rPr>
          <w:rFonts w:ascii="Book Antiqua" w:hAnsi="Book Antiqua" w:cs="Arial"/>
        </w:rPr>
        <w:t xml:space="preserve"> occurring in relation to many of the children who undergo FGM.  But the circumstances are very different in a case where the children’s parents are opposed to it and would take all reasonable steps to avoid their children being subjected to it.  </w:t>
      </w:r>
    </w:p>
    <w:p w:rsidR="00902761" w:rsidRDefault="00862432" w:rsidP="0057609C">
      <w:pPr>
        <w:numPr>
          <w:ilvl w:val="0"/>
          <w:numId w:val="3"/>
        </w:numPr>
        <w:spacing w:before="240"/>
        <w:jc w:val="both"/>
        <w:rPr>
          <w:rFonts w:ascii="Book Antiqua" w:hAnsi="Book Antiqua" w:cs="Arial"/>
        </w:rPr>
      </w:pPr>
      <w:r>
        <w:rPr>
          <w:rFonts w:ascii="Book Antiqua" w:hAnsi="Book Antiqua" w:cs="Arial"/>
        </w:rPr>
        <w:t>In my judgment what the judge was required to do was to consider in detail what the appellant and his wife would do were they to be placed in a position where there was a suggestion that the children should be circumcised.  It is not necessarily an easy task to work out what would happen in such a case but</w:t>
      </w:r>
      <w:r w:rsidR="00EE7729">
        <w:rPr>
          <w:rFonts w:ascii="Book Antiqua" w:hAnsi="Book Antiqua" w:cs="Arial"/>
        </w:rPr>
        <w:t>,</w:t>
      </w:r>
      <w:r>
        <w:rPr>
          <w:rFonts w:ascii="Book Antiqua" w:hAnsi="Book Antiqua" w:cs="Arial"/>
        </w:rPr>
        <w:t xml:space="preserve"> at the </w:t>
      </w:r>
      <w:r w:rsidR="00EE7729">
        <w:rPr>
          <w:rFonts w:ascii="Book Antiqua" w:hAnsi="Book Antiqua" w:cs="Arial"/>
        </w:rPr>
        <w:t>most extreme,</w:t>
      </w:r>
      <w:r>
        <w:rPr>
          <w:rFonts w:ascii="Book Antiqua" w:hAnsi="Book Antiqua" w:cs="Arial"/>
        </w:rPr>
        <w:t xml:space="preserve"> it may be that there is evidence that children are forcibly removed from their unwilling parents and subjected to FGM in spite of the opposition of their parents but the judge refers to no evidence that th</w:t>
      </w:r>
      <w:r w:rsidR="00753993">
        <w:rPr>
          <w:rFonts w:ascii="Book Antiqua" w:hAnsi="Book Antiqua" w:cs="Arial"/>
        </w:rPr>
        <w:t>is</w:t>
      </w:r>
      <w:r>
        <w:rPr>
          <w:rFonts w:ascii="Book Antiqua" w:hAnsi="Book Antiqua" w:cs="Arial"/>
        </w:rPr>
        <w:t xml:space="preserve"> is the case.  The judge relies upon the fact that the wife herself was subjected to FGM but there is no evidence to suggest that her parents</w:t>
      </w:r>
      <w:r w:rsidR="00EE7729">
        <w:rPr>
          <w:rFonts w:ascii="Book Antiqua" w:hAnsi="Book Antiqua" w:cs="Arial"/>
        </w:rPr>
        <w:t>,</w:t>
      </w:r>
      <w:r>
        <w:rPr>
          <w:rFonts w:ascii="Book Antiqua" w:hAnsi="Book Antiqua" w:cs="Arial"/>
        </w:rPr>
        <w:t xml:space="preserve"> or at least her family members</w:t>
      </w:r>
      <w:r w:rsidR="00EE7729">
        <w:rPr>
          <w:rFonts w:ascii="Book Antiqua" w:hAnsi="Book Antiqua" w:cs="Arial"/>
        </w:rPr>
        <w:t>,</w:t>
      </w:r>
      <w:r>
        <w:rPr>
          <w:rFonts w:ascii="Book Antiqua" w:hAnsi="Book Antiqua" w:cs="Arial"/>
        </w:rPr>
        <w:t xml:space="preserve"> took any steps to prevent it.  The judge does not refer to the evidence that the appellant’s wife herself provided in her statement and does not therefore </w:t>
      </w:r>
      <w:r>
        <w:rPr>
          <w:rFonts w:ascii="Book Antiqua" w:hAnsi="Book Antiqua" w:cs="Arial"/>
        </w:rPr>
        <w:lastRenderedPageBreak/>
        <w:t xml:space="preserve">provide any reasoning why the appellant and his wife </w:t>
      </w:r>
      <w:r w:rsidR="00EE7729">
        <w:rPr>
          <w:rFonts w:ascii="Book Antiqua" w:hAnsi="Book Antiqua" w:cs="Arial"/>
        </w:rPr>
        <w:t>‘</w:t>
      </w:r>
      <w:r w:rsidRPr="00EE7729">
        <w:rPr>
          <w:rFonts w:ascii="Book Antiqua" w:hAnsi="Book Antiqua" w:cs="Arial"/>
          <w:i/>
        </w:rPr>
        <w:t>may well be pressured</w:t>
      </w:r>
      <w:r w:rsidR="00EE7729">
        <w:rPr>
          <w:rFonts w:ascii="Book Antiqua" w:hAnsi="Book Antiqua" w:cs="Arial"/>
        </w:rPr>
        <w:t>’</w:t>
      </w:r>
      <w:r>
        <w:rPr>
          <w:rFonts w:ascii="Book Antiqua" w:hAnsi="Book Antiqua" w:cs="Arial"/>
        </w:rPr>
        <w:t xml:space="preserve"> to submit to something that is so against their wishes as far as their children are concerned.  </w:t>
      </w:r>
    </w:p>
    <w:p w:rsidR="00902761" w:rsidRDefault="00862432" w:rsidP="0057609C">
      <w:pPr>
        <w:numPr>
          <w:ilvl w:val="0"/>
          <w:numId w:val="3"/>
        </w:numPr>
        <w:spacing w:before="240"/>
        <w:jc w:val="both"/>
        <w:rPr>
          <w:rFonts w:ascii="Book Antiqua" w:hAnsi="Book Antiqua" w:cs="Arial"/>
        </w:rPr>
      </w:pPr>
      <w:r>
        <w:rPr>
          <w:rFonts w:ascii="Book Antiqua" w:hAnsi="Book Antiqua" w:cs="Arial"/>
        </w:rPr>
        <w:t xml:space="preserve">The </w:t>
      </w:r>
      <w:r w:rsidR="00780CFE">
        <w:rPr>
          <w:rFonts w:ascii="Book Antiqua" w:hAnsi="Book Antiqua" w:cs="Arial"/>
        </w:rPr>
        <w:t xml:space="preserve">reliance therefore upon the statistical evidence of the prevalence of FGM </w:t>
      </w:r>
      <w:r w:rsidR="00EE7729">
        <w:rPr>
          <w:rFonts w:ascii="Book Antiqua" w:hAnsi="Book Antiqua" w:cs="Arial"/>
        </w:rPr>
        <w:t>must</w:t>
      </w:r>
      <w:r w:rsidR="00780CFE">
        <w:rPr>
          <w:rFonts w:ascii="Book Antiqua" w:hAnsi="Book Antiqua" w:cs="Arial"/>
        </w:rPr>
        <w:t xml:space="preserve"> be seen against the background of an </w:t>
      </w:r>
      <w:r w:rsidR="00EE7729">
        <w:rPr>
          <w:rFonts w:ascii="Book Antiqua" w:hAnsi="Book Antiqua" w:cs="Arial"/>
        </w:rPr>
        <w:t>established</w:t>
      </w:r>
      <w:r w:rsidR="00780CFE">
        <w:rPr>
          <w:rFonts w:ascii="Book Antiqua" w:hAnsi="Book Antiqua" w:cs="Arial"/>
        </w:rPr>
        <w:t xml:space="preserve"> mechanism by which these children</w:t>
      </w:r>
      <w:r w:rsidR="00EE7729">
        <w:rPr>
          <w:rFonts w:ascii="Book Antiqua" w:hAnsi="Book Antiqua" w:cs="Arial"/>
        </w:rPr>
        <w:t>,</w:t>
      </w:r>
      <w:r w:rsidR="00780CFE">
        <w:rPr>
          <w:rFonts w:ascii="Book Antiqua" w:hAnsi="Book Antiqua" w:cs="Arial"/>
        </w:rPr>
        <w:t xml:space="preserve"> against the will of their parents</w:t>
      </w:r>
      <w:r w:rsidR="00EE7729">
        <w:rPr>
          <w:rFonts w:ascii="Book Antiqua" w:hAnsi="Book Antiqua" w:cs="Arial"/>
        </w:rPr>
        <w:t>,</w:t>
      </w:r>
      <w:r w:rsidR="00780CFE">
        <w:rPr>
          <w:rFonts w:ascii="Book Antiqua" w:hAnsi="Book Antiqua" w:cs="Arial"/>
        </w:rPr>
        <w:t xml:space="preserve"> would be forced into undergoing the treatment.  That might be because they would not be accepted into the home area, that might be because they would be deprived of education or services or any of the normal benefits of living in a community </w:t>
      </w:r>
      <w:r w:rsidR="00EE7729">
        <w:rPr>
          <w:rFonts w:ascii="Book Antiqua" w:hAnsi="Book Antiqua" w:cs="Arial"/>
        </w:rPr>
        <w:t>or</w:t>
      </w:r>
      <w:r w:rsidR="00780CFE">
        <w:rPr>
          <w:rFonts w:ascii="Book Antiqua" w:hAnsi="Book Antiqua" w:cs="Arial"/>
        </w:rPr>
        <w:t xml:space="preserve"> that they would be shunned, but the statistics themselves do not suggest what happens to those</w:t>
      </w:r>
      <w:r w:rsidR="00902761">
        <w:rPr>
          <w:rFonts w:ascii="Book Antiqua" w:hAnsi="Book Antiqua" w:cs="Arial"/>
        </w:rPr>
        <w:t>,</w:t>
      </w:r>
      <w:r w:rsidR="00780CFE">
        <w:rPr>
          <w:rFonts w:ascii="Book Antiqua" w:hAnsi="Book Antiqua" w:cs="Arial"/>
        </w:rPr>
        <w:t xml:space="preserve"> and it</w:t>
      </w:r>
      <w:r w:rsidR="00902761">
        <w:rPr>
          <w:rFonts w:ascii="Book Antiqua" w:hAnsi="Book Antiqua" w:cs="Arial"/>
        </w:rPr>
        <w:t xml:space="preserve"> i</w:t>
      </w:r>
      <w:r w:rsidR="00780CFE">
        <w:rPr>
          <w:rFonts w:ascii="Book Antiqua" w:hAnsi="Book Antiqua" w:cs="Arial"/>
        </w:rPr>
        <w:t>s</w:t>
      </w:r>
      <w:r w:rsidR="00902761">
        <w:rPr>
          <w:rFonts w:ascii="Book Antiqua" w:hAnsi="Book Antiqua" w:cs="Arial"/>
        </w:rPr>
        <w:t xml:space="preserve"> a</w:t>
      </w:r>
      <w:r w:rsidR="00780CFE">
        <w:rPr>
          <w:rFonts w:ascii="Book Antiqua" w:hAnsi="Book Antiqua" w:cs="Arial"/>
        </w:rPr>
        <w:t xml:space="preserve"> considerable minority</w:t>
      </w:r>
      <w:r w:rsidR="00EE7729">
        <w:rPr>
          <w:rFonts w:ascii="Book Antiqua" w:hAnsi="Book Antiqua" w:cs="Arial"/>
        </w:rPr>
        <w:t>,</w:t>
      </w:r>
      <w:r w:rsidR="00780CFE">
        <w:rPr>
          <w:rFonts w:ascii="Book Antiqua" w:hAnsi="Book Antiqua" w:cs="Arial"/>
        </w:rPr>
        <w:t xml:space="preserve"> who do not undergo FGM or whose children do not undergo </w:t>
      </w:r>
      <w:r w:rsidR="00902761">
        <w:rPr>
          <w:rFonts w:ascii="Book Antiqua" w:hAnsi="Book Antiqua" w:cs="Arial"/>
        </w:rPr>
        <w:t>FGM.  E</w:t>
      </w:r>
      <w:r w:rsidR="00780CFE">
        <w:rPr>
          <w:rFonts w:ascii="Book Antiqua" w:hAnsi="Book Antiqua" w:cs="Arial"/>
        </w:rPr>
        <w:t xml:space="preserve">ven if some </w:t>
      </w:r>
      <w:r w:rsidR="00EE7729">
        <w:rPr>
          <w:rFonts w:ascii="Book Antiqua" w:hAnsi="Book Antiqua" w:cs="Arial"/>
        </w:rPr>
        <w:t>(</w:t>
      </w:r>
      <w:r w:rsidR="00753993">
        <w:rPr>
          <w:rFonts w:ascii="Book Antiqua" w:hAnsi="Book Antiqua" w:cs="Arial"/>
        </w:rPr>
        <w:t>say,</w:t>
      </w:r>
      <w:r w:rsidR="00780CFE">
        <w:rPr>
          <w:rFonts w:ascii="Book Antiqua" w:hAnsi="Book Antiqua" w:cs="Arial"/>
        </w:rPr>
        <w:t xml:space="preserve"> 60%</w:t>
      </w:r>
      <w:r w:rsidR="00EE7729">
        <w:rPr>
          <w:rFonts w:ascii="Book Antiqua" w:hAnsi="Book Antiqua" w:cs="Arial"/>
        </w:rPr>
        <w:t>)</w:t>
      </w:r>
      <w:r w:rsidR="00780CFE">
        <w:rPr>
          <w:rFonts w:ascii="Book Antiqua" w:hAnsi="Book Antiqua" w:cs="Arial"/>
        </w:rPr>
        <w:t xml:space="preserve"> of a particular community voluntarily undergo </w:t>
      </w:r>
      <w:r w:rsidR="00902761">
        <w:rPr>
          <w:rFonts w:ascii="Book Antiqua" w:hAnsi="Book Antiqua" w:cs="Arial"/>
        </w:rPr>
        <w:t>FGM</w:t>
      </w:r>
      <w:r w:rsidR="00753993">
        <w:rPr>
          <w:rFonts w:ascii="Book Antiqua" w:hAnsi="Book Antiqua" w:cs="Arial"/>
        </w:rPr>
        <w:t xml:space="preserve"> (that is, the cutting of their children)</w:t>
      </w:r>
      <w:r w:rsidR="00902761">
        <w:rPr>
          <w:rFonts w:ascii="Book Antiqua" w:hAnsi="Book Antiqua" w:cs="Arial"/>
        </w:rPr>
        <w:t>,</w:t>
      </w:r>
      <w:r w:rsidR="00780CFE">
        <w:rPr>
          <w:rFonts w:ascii="Book Antiqua" w:hAnsi="Book Antiqua" w:cs="Arial"/>
        </w:rPr>
        <w:t xml:space="preserve"> what we need to know is </w:t>
      </w:r>
      <w:r w:rsidR="00753993">
        <w:rPr>
          <w:rFonts w:ascii="Book Antiqua" w:hAnsi="Book Antiqua" w:cs="Arial"/>
        </w:rPr>
        <w:t>the</w:t>
      </w:r>
      <w:r w:rsidR="00780CFE">
        <w:rPr>
          <w:rFonts w:ascii="Book Antiqua" w:hAnsi="Book Antiqua" w:cs="Arial"/>
        </w:rPr>
        <w:t xml:space="preserve"> circumstances the remain</w:t>
      </w:r>
      <w:r w:rsidR="00753993">
        <w:rPr>
          <w:rFonts w:ascii="Book Antiqua" w:hAnsi="Book Antiqua" w:cs="Arial"/>
        </w:rPr>
        <w:t>ing</w:t>
      </w:r>
      <w:r w:rsidR="00780CFE">
        <w:rPr>
          <w:rFonts w:ascii="Book Antiqua" w:hAnsi="Book Antiqua" w:cs="Arial"/>
        </w:rPr>
        <w:t xml:space="preserve"> 40% who do not </w:t>
      </w:r>
      <w:r w:rsidR="00753993">
        <w:rPr>
          <w:rFonts w:ascii="Book Antiqua" w:hAnsi="Book Antiqua" w:cs="Arial"/>
        </w:rPr>
        <w:t>sanction</w:t>
      </w:r>
      <w:r w:rsidR="00780CFE">
        <w:rPr>
          <w:rFonts w:ascii="Book Antiqua" w:hAnsi="Book Antiqua" w:cs="Arial"/>
        </w:rPr>
        <w:t xml:space="preserve"> FGM are treated by the community and whether life for them is such that it is effectively impossible for them to live a normal life by reason of the fact that they have not permitted their children to undergo the practice.  The premise upon which the judge makes the finding that the appellant and his wife may well be pressured does not seem to me to be </w:t>
      </w:r>
      <w:r w:rsidR="00EE7729">
        <w:rPr>
          <w:rFonts w:ascii="Book Antiqua" w:hAnsi="Book Antiqua" w:cs="Arial"/>
        </w:rPr>
        <w:t xml:space="preserve">supported by </w:t>
      </w:r>
      <w:r w:rsidR="00780CFE">
        <w:rPr>
          <w:rFonts w:ascii="Book Antiqua" w:hAnsi="Book Antiqua" w:cs="Arial"/>
        </w:rPr>
        <w:t xml:space="preserve">adequate and sufficiently detailed reasoning as to the extent to which they could </w:t>
      </w:r>
      <w:r w:rsidR="00902761">
        <w:rPr>
          <w:rFonts w:ascii="Book Antiqua" w:hAnsi="Book Antiqua" w:cs="Arial"/>
        </w:rPr>
        <w:t>properly</w:t>
      </w:r>
      <w:r w:rsidR="00780CFE">
        <w:rPr>
          <w:rFonts w:ascii="Book Antiqua" w:hAnsi="Book Antiqua" w:cs="Arial"/>
        </w:rPr>
        <w:t xml:space="preserve"> withstand the pressure which </w:t>
      </w:r>
      <w:r w:rsidR="00EE7729">
        <w:rPr>
          <w:rFonts w:ascii="Book Antiqua" w:hAnsi="Book Antiqua" w:cs="Arial"/>
        </w:rPr>
        <w:t>may be</w:t>
      </w:r>
      <w:r w:rsidR="00780CFE">
        <w:rPr>
          <w:rFonts w:ascii="Book Antiqua" w:hAnsi="Book Antiqua" w:cs="Arial"/>
        </w:rPr>
        <w:t xml:space="preserve"> exerted upon them and still survive in the local community</w:t>
      </w:r>
      <w:r w:rsidR="002E3BC7">
        <w:rPr>
          <w:rFonts w:ascii="Book Antiqua" w:hAnsi="Book Antiqua" w:cs="Arial"/>
        </w:rPr>
        <w:t>, as a sizeable minority do</w:t>
      </w:r>
      <w:r w:rsidR="00780CFE">
        <w:rPr>
          <w:rFonts w:ascii="Book Antiqua" w:hAnsi="Book Antiqua" w:cs="Arial"/>
        </w:rPr>
        <w:t xml:space="preserve">.  For that </w:t>
      </w:r>
      <w:proofErr w:type="gramStart"/>
      <w:r w:rsidR="00780CFE">
        <w:rPr>
          <w:rFonts w:ascii="Book Antiqua" w:hAnsi="Book Antiqua" w:cs="Arial"/>
        </w:rPr>
        <w:t>reason</w:t>
      </w:r>
      <w:proofErr w:type="gramEnd"/>
      <w:r w:rsidR="00780CFE">
        <w:rPr>
          <w:rFonts w:ascii="Book Antiqua" w:hAnsi="Book Antiqua" w:cs="Arial"/>
        </w:rPr>
        <w:t xml:space="preserve"> I am not satisfied that paragraph 39 represents an </w:t>
      </w:r>
      <w:r w:rsidR="002E3BC7">
        <w:rPr>
          <w:rFonts w:ascii="Book Antiqua" w:hAnsi="Book Antiqua" w:cs="Arial"/>
        </w:rPr>
        <w:t>in</w:t>
      </w:r>
      <w:r w:rsidR="00780CFE">
        <w:rPr>
          <w:rFonts w:ascii="Book Antiqua" w:hAnsi="Book Antiqua" w:cs="Arial"/>
        </w:rPr>
        <w:t>adequately reasoned conclusion that the children are at risk of FGM given the oppo</w:t>
      </w:r>
      <w:r w:rsidR="002E3BC7">
        <w:rPr>
          <w:rFonts w:ascii="Book Antiqua" w:hAnsi="Book Antiqua" w:cs="Arial"/>
        </w:rPr>
        <w:t>sition of their parents to the</w:t>
      </w:r>
      <w:r w:rsidR="00780CFE">
        <w:rPr>
          <w:rFonts w:ascii="Book Antiqua" w:hAnsi="Book Antiqua" w:cs="Arial"/>
        </w:rPr>
        <w:t xml:space="preserve"> practice.  </w:t>
      </w:r>
    </w:p>
    <w:p w:rsidR="00902761" w:rsidRDefault="00780CFE" w:rsidP="0057609C">
      <w:pPr>
        <w:numPr>
          <w:ilvl w:val="0"/>
          <w:numId w:val="3"/>
        </w:numPr>
        <w:spacing w:before="240"/>
        <w:jc w:val="both"/>
        <w:rPr>
          <w:rFonts w:ascii="Book Antiqua" w:hAnsi="Book Antiqua" w:cs="Arial"/>
        </w:rPr>
      </w:pPr>
      <w:r>
        <w:rPr>
          <w:rFonts w:ascii="Book Antiqua" w:hAnsi="Book Antiqua" w:cs="Arial"/>
        </w:rPr>
        <w:t>The judge then goes on to say whether there is a sufficiency of state protection</w:t>
      </w:r>
      <w:r w:rsidR="00EE7729">
        <w:rPr>
          <w:rFonts w:ascii="Book Antiqua" w:hAnsi="Book Antiqua" w:cs="Arial"/>
        </w:rPr>
        <w:t>.</w:t>
      </w:r>
      <w:r>
        <w:rPr>
          <w:rFonts w:ascii="Book Antiqua" w:hAnsi="Book Antiqua" w:cs="Arial"/>
        </w:rPr>
        <w:t xml:space="preserve"> </w:t>
      </w:r>
      <w:r w:rsidR="00EE7729">
        <w:rPr>
          <w:rFonts w:ascii="Book Antiqua" w:hAnsi="Book Antiqua" w:cs="Arial"/>
        </w:rPr>
        <w:t>I</w:t>
      </w:r>
      <w:r>
        <w:rPr>
          <w:rFonts w:ascii="Book Antiqua" w:hAnsi="Book Antiqua" w:cs="Arial"/>
        </w:rPr>
        <w:t xml:space="preserve">t seems to me that the state protection which is afforded to those who suffer persecution by non-state actors is likely to be dependent upon what </w:t>
      </w:r>
      <w:r w:rsidR="00EE7729">
        <w:rPr>
          <w:rFonts w:ascii="Book Antiqua" w:hAnsi="Book Antiqua" w:cs="Arial"/>
        </w:rPr>
        <w:t xml:space="preserve">is </w:t>
      </w:r>
      <w:r>
        <w:rPr>
          <w:rFonts w:ascii="Book Antiqua" w:hAnsi="Book Antiqua" w:cs="Arial"/>
        </w:rPr>
        <w:t xml:space="preserve">the </w:t>
      </w:r>
      <w:r w:rsidR="00AB0298">
        <w:rPr>
          <w:rFonts w:ascii="Book Antiqua" w:hAnsi="Book Antiqua" w:cs="Arial"/>
        </w:rPr>
        <w:t>real</w:t>
      </w:r>
      <w:r>
        <w:rPr>
          <w:rFonts w:ascii="Book Antiqua" w:hAnsi="Book Antiqua" w:cs="Arial"/>
        </w:rPr>
        <w:t xml:space="preserve"> risk that the appellant’s children face.  If the risk is that there </w:t>
      </w:r>
      <w:r w:rsidR="00DB1177">
        <w:rPr>
          <w:rFonts w:ascii="Book Antiqua" w:hAnsi="Book Antiqua" w:cs="Arial"/>
        </w:rPr>
        <w:t>may be</w:t>
      </w:r>
      <w:r>
        <w:rPr>
          <w:rFonts w:ascii="Book Antiqua" w:hAnsi="Book Antiqua" w:cs="Arial"/>
        </w:rPr>
        <w:t xml:space="preserve"> a delegation from the community who are bent upon abducting these children and forcing them to submit to FGM, </w:t>
      </w:r>
      <w:r w:rsidR="00AB0298">
        <w:rPr>
          <w:rFonts w:ascii="Book Antiqua" w:hAnsi="Book Antiqua" w:cs="Arial"/>
        </w:rPr>
        <w:t xml:space="preserve">under the eyes of their remonstrating parents, </w:t>
      </w:r>
      <w:r>
        <w:rPr>
          <w:rFonts w:ascii="Book Antiqua" w:hAnsi="Book Antiqua" w:cs="Arial"/>
        </w:rPr>
        <w:t>then that is one sort of risk</w:t>
      </w:r>
      <w:r w:rsidR="00DB1177">
        <w:rPr>
          <w:rFonts w:ascii="Book Antiqua" w:hAnsi="Book Antiqua" w:cs="Arial"/>
        </w:rPr>
        <w:t>.  T</w:t>
      </w:r>
      <w:r>
        <w:rPr>
          <w:rFonts w:ascii="Book Antiqua" w:hAnsi="Book Antiqua" w:cs="Arial"/>
        </w:rPr>
        <w:t xml:space="preserve">here is no evidence that the police would not respond in those circumstances.  The fact that FGM is so prevalent however does not necessarily mean that the police are incapable of providing a sufficiency of protection where there is that sort of real risk.  The fact that in many, if not the majority of cases, the parents and the family are complicit in the practice of FGM upon their children and that this is </w:t>
      </w:r>
      <w:r w:rsidR="00902761">
        <w:rPr>
          <w:rFonts w:ascii="Book Antiqua" w:hAnsi="Book Antiqua" w:cs="Arial"/>
        </w:rPr>
        <w:t>c</w:t>
      </w:r>
      <w:r>
        <w:rPr>
          <w:rFonts w:ascii="Book Antiqua" w:hAnsi="Book Antiqua" w:cs="Arial"/>
        </w:rPr>
        <w:t>onducted</w:t>
      </w:r>
      <w:r w:rsidR="00902761">
        <w:rPr>
          <w:rFonts w:ascii="Book Antiqua" w:hAnsi="Book Antiqua" w:cs="Arial"/>
        </w:rPr>
        <w:t xml:space="preserve"> </w:t>
      </w:r>
      <w:r>
        <w:rPr>
          <w:rFonts w:ascii="Book Antiqua" w:hAnsi="Book Antiqua" w:cs="Arial"/>
        </w:rPr>
        <w:t xml:space="preserve">privately and in circumstances where the police have no knowledge of its happening </w:t>
      </w:r>
      <w:r w:rsidR="00DB1177">
        <w:rPr>
          <w:rFonts w:ascii="Book Antiqua" w:hAnsi="Book Antiqua" w:cs="Arial"/>
        </w:rPr>
        <w:t>represents an entirely different basis upon which to assess the adequacy of p</w:t>
      </w:r>
      <w:r>
        <w:rPr>
          <w:rFonts w:ascii="Book Antiqua" w:hAnsi="Book Antiqua" w:cs="Arial"/>
        </w:rPr>
        <w:t>olice protection</w:t>
      </w:r>
      <w:r w:rsidR="00DB1177">
        <w:rPr>
          <w:rFonts w:ascii="Book Antiqua" w:hAnsi="Book Antiqua" w:cs="Arial"/>
        </w:rPr>
        <w:t xml:space="preserve">.  The latter example </w:t>
      </w:r>
      <w:r w:rsidR="00AB0298">
        <w:rPr>
          <w:rFonts w:ascii="Book Antiqua" w:hAnsi="Book Antiqua" w:cs="Arial"/>
        </w:rPr>
        <w:t xml:space="preserve">will result in few prosecutions but </w:t>
      </w:r>
      <w:r>
        <w:rPr>
          <w:rFonts w:ascii="Book Antiqua" w:hAnsi="Book Antiqua" w:cs="Arial"/>
        </w:rPr>
        <w:t xml:space="preserve">is </w:t>
      </w:r>
      <w:r w:rsidR="00AB0298">
        <w:rPr>
          <w:rFonts w:ascii="Book Antiqua" w:hAnsi="Book Antiqua" w:cs="Arial"/>
        </w:rPr>
        <w:t xml:space="preserve">the result of </w:t>
      </w:r>
      <w:r>
        <w:rPr>
          <w:rFonts w:ascii="Book Antiqua" w:hAnsi="Book Antiqua" w:cs="Arial"/>
        </w:rPr>
        <w:t>a large number</w:t>
      </w:r>
      <w:r w:rsidR="00902761">
        <w:rPr>
          <w:rFonts w:ascii="Book Antiqua" w:hAnsi="Book Antiqua" w:cs="Arial"/>
        </w:rPr>
        <w:t>,</w:t>
      </w:r>
      <w:r>
        <w:rPr>
          <w:rFonts w:ascii="Book Antiqua" w:hAnsi="Book Antiqua" w:cs="Arial"/>
        </w:rPr>
        <w:t xml:space="preserve"> perhaps a large majority of people</w:t>
      </w:r>
      <w:r w:rsidR="00DB1177">
        <w:rPr>
          <w:rFonts w:ascii="Book Antiqua" w:hAnsi="Book Antiqua" w:cs="Arial"/>
        </w:rPr>
        <w:t>,</w:t>
      </w:r>
      <w:r>
        <w:rPr>
          <w:rFonts w:ascii="Book Antiqua" w:hAnsi="Book Antiqua" w:cs="Arial"/>
        </w:rPr>
        <w:t xml:space="preserve"> who are willing to have this practice conducted</w:t>
      </w:r>
      <w:r w:rsidR="00DB1177">
        <w:rPr>
          <w:rFonts w:ascii="Book Antiqua" w:hAnsi="Book Antiqua" w:cs="Arial"/>
        </w:rPr>
        <w:t>.  I</w:t>
      </w:r>
      <w:r>
        <w:rPr>
          <w:rFonts w:ascii="Book Antiqua" w:hAnsi="Book Antiqua" w:cs="Arial"/>
        </w:rPr>
        <w:t xml:space="preserve">t does not indicate to me that there is an inadequacy of state protection </w:t>
      </w:r>
      <w:r w:rsidR="00DB1177">
        <w:rPr>
          <w:rFonts w:ascii="Book Antiqua" w:hAnsi="Book Antiqua" w:cs="Arial"/>
        </w:rPr>
        <w:t xml:space="preserve">in all cases, </w:t>
      </w:r>
      <w:r>
        <w:rPr>
          <w:rFonts w:ascii="Book Antiqua" w:hAnsi="Book Antiqua" w:cs="Arial"/>
        </w:rPr>
        <w:t>although it is certainly the case that the state is not currently stamping</w:t>
      </w:r>
      <w:r w:rsidR="00902761">
        <w:rPr>
          <w:rFonts w:ascii="Book Antiqua" w:hAnsi="Book Antiqua" w:cs="Arial"/>
        </w:rPr>
        <w:t xml:space="preserve"> </w:t>
      </w:r>
      <w:r>
        <w:rPr>
          <w:rFonts w:ascii="Book Antiqua" w:hAnsi="Book Antiqua" w:cs="Arial"/>
        </w:rPr>
        <w:t xml:space="preserve">out FGM, particularly in certain areas.  </w:t>
      </w:r>
    </w:p>
    <w:p w:rsidR="00902761" w:rsidRDefault="00780CFE" w:rsidP="0057609C">
      <w:pPr>
        <w:numPr>
          <w:ilvl w:val="0"/>
          <w:numId w:val="3"/>
        </w:numPr>
        <w:spacing w:before="240"/>
        <w:jc w:val="both"/>
        <w:rPr>
          <w:rFonts w:ascii="Book Antiqua" w:hAnsi="Book Antiqua" w:cs="Arial"/>
        </w:rPr>
      </w:pPr>
      <w:r>
        <w:rPr>
          <w:rFonts w:ascii="Book Antiqua" w:hAnsi="Book Antiqua" w:cs="Arial"/>
        </w:rPr>
        <w:t>Whilst therefore the judge paid attention to the Immigration Refugee Board of Canada</w:t>
      </w:r>
      <w:r w:rsidR="00DB1177">
        <w:rPr>
          <w:rFonts w:ascii="Book Antiqua" w:hAnsi="Book Antiqua" w:cs="Arial"/>
        </w:rPr>
        <w:t>’s opinion</w:t>
      </w:r>
      <w:r>
        <w:rPr>
          <w:rFonts w:ascii="Book Antiqua" w:hAnsi="Book Antiqua" w:cs="Arial"/>
        </w:rPr>
        <w:t xml:space="preserve"> in its report of </w:t>
      </w:r>
      <w:r w:rsidR="00902761">
        <w:rPr>
          <w:rFonts w:ascii="Book Antiqua" w:hAnsi="Book Antiqua" w:cs="Arial"/>
        </w:rPr>
        <w:t xml:space="preserve">13 </w:t>
      </w:r>
      <w:r>
        <w:rPr>
          <w:rFonts w:ascii="Book Antiqua" w:hAnsi="Book Antiqua" w:cs="Arial"/>
        </w:rPr>
        <w:t xml:space="preserve">September 2016 </w:t>
      </w:r>
      <w:r w:rsidR="00DB1177">
        <w:rPr>
          <w:rFonts w:ascii="Book Antiqua" w:hAnsi="Book Antiqua" w:cs="Arial"/>
        </w:rPr>
        <w:t>(</w:t>
      </w:r>
      <w:r>
        <w:rPr>
          <w:rFonts w:ascii="Book Antiqua" w:hAnsi="Book Antiqua" w:cs="Arial"/>
        </w:rPr>
        <w:t>which highlighted that the state lacked capacity to protect women and girls</w:t>
      </w:r>
      <w:r w:rsidR="00DB1177">
        <w:rPr>
          <w:rFonts w:ascii="Book Antiqua" w:hAnsi="Book Antiqua" w:cs="Arial"/>
        </w:rPr>
        <w:t>)</w:t>
      </w:r>
      <w:r>
        <w:rPr>
          <w:rFonts w:ascii="Book Antiqua" w:hAnsi="Book Antiqua" w:cs="Arial"/>
        </w:rPr>
        <w:t xml:space="preserve">, and </w:t>
      </w:r>
      <w:r w:rsidR="00AB0298">
        <w:rPr>
          <w:rFonts w:ascii="Book Antiqua" w:hAnsi="Book Antiqua" w:cs="Arial"/>
        </w:rPr>
        <w:t xml:space="preserve">which stated that, </w:t>
      </w:r>
      <w:r w:rsidR="00DB1177">
        <w:rPr>
          <w:rFonts w:ascii="Book Antiqua" w:hAnsi="Book Antiqua" w:cs="Arial"/>
        </w:rPr>
        <w:t>notwithstanding</w:t>
      </w:r>
      <w:r>
        <w:rPr>
          <w:rFonts w:ascii="Book Antiqua" w:hAnsi="Book Antiqua" w:cs="Arial"/>
        </w:rPr>
        <w:t xml:space="preserve"> laws </w:t>
      </w:r>
      <w:r w:rsidR="00DB1177">
        <w:rPr>
          <w:rFonts w:ascii="Book Antiqua" w:hAnsi="Book Antiqua" w:cs="Arial"/>
        </w:rPr>
        <w:t>criminalising</w:t>
      </w:r>
      <w:r>
        <w:rPr>
          <w:rFonts w:ascii="Book Antiqua" w:hAnsi="Book Antiqua" w:cs="Arial"/>
        </w:rPr>
        <w:t xml:space="preserve"> FGM</w:t>
      </w:r>
      <w:r w:rsidR="00DB1177">
        <w:rPr>
          <w:rFonts w:ascii="Book Antiqua" w:hAnsi="Book Antiqua" w:cs="Arial"/>
        </w:rPr>
        <w:t>,</w:t>
      </w:r>
      <w:r>
        <w:rPr>
          <w:rFonts w:ascii="Book Antiqua" w:hAnsi="Book Antiqua" w:cs="Arial"/>
        </w:rPr>
        <w:t xml:space="preserve"> the practice remain</w:t>
      </w:r>
      <w:r w:rsidR="00AB0298">
        <w:rPr>
          <w:rFonts w:ascii="Book Antiqua" w:hAnsi="Book Antiqua" w:cs="Arial"/>
        </w:rPr>
        <w:t>ed</w:t>
      </w:r>
      <w:r>
        <w:rPr>
          <w:rFonts w:ascii="Book Antiqua" w:hAnsi="Book Antiqua" w:cs="Arial"/>
        </w:rPr>
        <w:t xml:space="preserve"> widespread with low rates of reporting </w:t>
      </w:r>
      <w:r>
        <w:rPr>
          <w:rFonts w:ascii="Book Antiqua" w:hAnsi="Book Antiqua" w:cs="Arial"/>
        </w:rPr>
        <w:lastRenderedPageBreak/>
        <w:t xml:space="preserve">and prosecution </w:t>
      </w:r>
      <w:r w:rsidR="008D30A1">
        <w:rPr>
          <w:rFonts w:ascii="Book Antiqua" w:hAnsi="Book Antiqua" w:cs="Arial"/>
        </w:rPr>
        <w:t>(</w:t>
      </w:r>
      <w:r>
        <w:rPr>
          <w:rFonts w:ascii="Book Antiqua" w:hAnsi="Book Antiqua" w:cs="Arial"/>
        </w:rPr>
        <w:t xml:space="preserve">even where states have </w:t>
      </w:r>
      <w:r w:rsidR="00902761">
        <w:rPr>
          <w:rFonts w:ascii="Book Antiqua" w:hAnsi="Book Antiqua" w:cs="Arial"/>
        </w:rPr>
        <w:t>enacted l</w:t>
      </w:r>
      <w:r>
        <w:rPr>
          <w:rFonts w:ascii="Book Antiqua" w:hAnsi="Book Antiqua" w:cs="Arial"/>
        </w:rPr>
        <w:t>egislation</w:t>
      </w:r>
      <w:r w:rsidR="008D30A1">
        <w:rPr>
          <w:rFonts w:ascii="Book Antiqua" w:hAnsi="Book Antiqua" w:cs="Arial"/>
        </w:rPr>
        <w:t>)</w:t>
      </w:r>
      <w:r w:rsidR="00902761">
        <w:rPr>
          <w:rFonts w:ascii="Book Antiqua" w:hAnsi="Book Antiqua" w:cs="Arial"/>
        </w:rPr>
        <w:t>,</w:t>
      </w:r>
      <w:r>
        <w:rPr>
          <w:rFonts w:ascii="Book Antiqua" w:hAnsi="Book Antiqua" w:cs="Arial"/>
        </w:rPr>
        <w:t xml:space="preserve"> </w:t>
      </w:r>
      <w:r w:rsidR="008D30A1">
        <w:rPr>
          <w:rFonts w:ascii="Book Antiqua" w:hAnsi="Book Antiqua" w:cs="Arial"/>
        </w:rPr>
        <w:t xml:space="preserve">this </w:t>
      </w:r>
      <w:r>
        <w:rPr>
          <w:rFonts w:ascii="Book Antiqua" w:hAnsi="Book Antiqua" w:cs="Arial"/>
        </w:rPr>
        <w:t xml:space="preserve">misses the point </w:t>
      </w:r>
      <w:r w:rsidR="008D30A1">
        <w:rPr>
          <w:rFonts w:ascii="Book Antiqua" w:hAnsi="Book Antiqua" w:cs="Arial"/>
        </w:rPr>
        <w:t>if</w:t>
      </w:r>
      <w:r>
        <w:rPr>
          <w:rFonts w:ascii="Book Antiqua" w:hAnsi="Book Antiqua" w:cs="Arial"/>
        </w:rPr>
        <w:t xml:space="preserve"> a complaint </w:t>
      </w:r>
      <w:r w:rsidR="008D30A1">
        <w:rPr>
          <w:rFonts w:ascii="Book Antiqua" w:hAnsi="Book Antiqua" w:cs="Arial"/>
        </w:rPr>
        <w:t xml:space="preserve">is </w:t>
      </w:r>
      <w:r>
        <w:rPr>
          <w:rFonts w:ascii="Book Antiqua" w:hAnsi="Book Antiqua" w:cs="Arial"/>
        </w:rPr>
        <w:t xml:space="preserve">made by </w:t>
      </w:r>
      <w:r w:rsidR="008D30A1">
        <w:rPr>
          <w:rFonts w:ascii="Book Antiqua" w:hAnsi="Book Antiqua" w:cs="Arial"/>
        </w:rPr>
        <w:t xml:space="preserve">parents </w:t>
      </w:r>
      <w:r>
        <w:rPr>
          <w:rFonts w:ascii="Book Antiqua" w:hAnsi="Book Antiqua" w:cs="Arial"/>
        </w:rPr>
        <w:t>that their child is about to be subjected to FGM against their will</w:t>
      </w:r>
      <w:r w:rsidR="008D30A1">
        <w:rPr>
          <w:rFonts w:ascii="Book Antiqua" w:hAnsi="Book Antiqua" w:cs="Arial"/>
        </w:rPr>
        <w:t>.  The</w:t>
      </w:r>
      <w:r>
        <w:rPr>
          <w:rFonts w:ascii="Book Antiqua" w:hAnsi="Book Antiqua" w:cs="Arial"/>
        </w:rPr>
        <w:t xml:space="preserve"> fact that the police are unable to prosecute many cases because the</w:t>
      </w:r>
      <w:r w:rsidR="008D30A1">
        <w:rPr>
          <w:rFonts w:ascii="Book Antiqua" w:hAnsi="Book Antiqua" w:cs="Arial"/>
        </w:rPr>
        <w:t xml:space="preserve"> parents do not report their own crime</w:t>
      </w:r>
      <w:r>
        <w:rPr>
          <w:rFonts w:ascii="Book Antiqua" w:hAnsi="Book Antiqua" w:cs="Arial"/>
        </w:rPr>
        <w:t xml:space="preserve"> does not materially assist the appellant in a case where he would be vocal in his reporting the matter to the police.  </w:t>
      </w:r>
    </w:p>
    <w:p w:rsidR="00902761" w:rsidRDefault="00780CFE" w:rsidP="0057609C">
      <w:pPr>
        <w:numPr>
          <w:ilvl w:val="0"/>
          <w:numId w:val="3"/>
        </w:numPr>
        <w:spacing w:before="240"/>
        <w:jc w:val="both"/>
        <w:rPr>
          <w:rFonts w:ascii="Book Antiqua" w:hAnsi="Book Antiqua" w:cs="Arial"/>
        </w:rPr>
      </w:pPr>
      <w:r>
        <w:rPr>
          <w:rFonts w:ascii="Book Antiqua" w:hAnsi="Book Antiqua" w:cs="Arial"/>
        </w:rPr>
        <w:t>But perhaps the most problematic part of the determination of the First-tier Tribunal Judge is in the treatment of internal relocation.  We have to bear in mind that Nigeria is a large country and that there are p</w:t>
      </w:r>
      <w:r w:rsidR="00F628FA">
        <w:rPr>
          <w:rFonts w:ascii="Book Antiqua" w:hAnsi="Book Antiqua" w:cs="Arial"/>
        </w:rPr>
        <w:t>arts of</w:t>
      </w:r>
      <w:r>
        <w:rPr>
          <w:rFonts w:ascii="Book Antiqua" w:hAnsi="Book Antiqua" w:cs="Arial"/>
        </w:rPr>
        <w:t xml:space="preserve"> th</w:t>
      </w:r>
      <w:r w:rsidR="008D30A1">
        <w:rPr>
          <w:rFonts w:ascii="Book Antiqua" w:hAnsi="Book Antiqua" w:cs="Arial"/>
        </w:rPr>
        <w:t>e</w:t>
      </w:r>
      <w:r>
        <w:rPr>
          <w:rFonts w:ascii="Book Antiqua" w:hAnsi="Book Antiqua" w:cs="Arial"/>
        </w:rPr>
        <w:t xml:space="preserve"> country where FGM is not as prevalent as in others</w:t>
      </w:r>
      <w:r w:rsidR="008D30A1">
        <w:rPr>
          <w:rFonts w:ascii="Book Antiqua" w:hAnsi="Book Antiqua" w:cs="Arial"/>
        </w:rPr>
        <w:t>.  Th</w:t>
      </w:r>
      <w:r>
        <w:rPr>
          <w:rFonts w:ascii="Book Antiqua" w:hAnsi="Book Antiqua" w:cs="Arial"/>
        </w:rPr>
        <w:t>ere are communities which do not practice FGM.  The judge reasoned properly that the test for relocation was whether it would be unduly harsh for this particular family to relocate.  However, I do not consider that the reasoning provided by the judge in the three bullet points found in paragraph 46</w:t>
      </w:r>
      <w:r w:rsidR="00BC1E73">
        <w:rPr>
          <w:rFonts w:ascii="Book Antiqua" w:hAnsi="Book Antiqua" w:cs="Arial"/>
        </w:rPr>
        <w:t xml:space="preserve"> is sufficient.  First</w:t>
      </w:r>
      <w:r w:rsidR="00AB0298">
        <w:rPr>
          <w:rFonts w:ascii="Book Antiqua" w:hAnsi="Book Antiqua" w:cs="Arial"/>
        </w:rPr>
        <w:t>,</w:t>
      </w:r>
      <w:r w:rsidR="00BC1E73">
        <w:rPr>
          <w:rFonts w:ascii="Book Antiqua" w:hAnsi="Book Antiqua" w:cs="Arial"/>
        </w:rPr>
        <w:t xml:space="preserve"> it is said that the appellant’s wife suffers from PTSD.  That is of course a factor which is to be taken into account but it does not go so far as to deal with whether it is therefore unreasonable for the wife to relocate as a result of her medical condition.  It assumes that there is no treatment or no adequate treatment </w:t>
      </w:r>
      <w:r w:rsidR="008D30A1">
        <w:rPr>
          <w:rFonts w:ascii="Book Antiqua" w:hAnsi="Book Antiqua" w:cs="Arial"/>
        </w:rPr>
        <w:t xml:space="preserve">available or </w:t>
      </w:r>
      <w:r w:rsidR="00BC1E73">
        <w:rPr>
          <w:rFonts w:ascii="Book Antiqua" w:hAnsi="Book Antiqua" w:cs="Arial"/>
        </w:rPr>
        <w:t xml:space="preserve">that </w:t>
      </w:r>
      <w:r w:rsidR="008D30A1">
        <w:rPr>
          <w:rFonts w:ascii="Book Antiqua" w:hAnsi="Book Antiqua" w:cs="Arial"/>
        </w:rPr>
        <w:t>her</w:t>
      </w:r>
      <w:r w:rsidR="00BC1E73">
        <w:rPr>
          <w:rFonts w:ascii="Book Antiqua" w:hAnsi="Book Antiqua" w:cs="Arial"/>
        </w:rPr>
        <w:t xml:space="preserve"> condition is such as to prevent </w:t>
      </w:r>
      <w:r w:rsidR="008D30A1">
        <w:rPr>
          <w:rFonts w:ascii="Book Antiqua" w:hAnsi="Book Antiqua" w:cs="Arial"/>
        </w:rPr>
        <w:t>her</w:t>
      </w:r>
      <w:r w:rsidR="00BC1E73">
        <w:rPr>
          <w:rFonts w:ascii="Book Antiqua" w:hAnsi="Book Antiqua" w:cs="Arial"/>
        </w:rPr>
        <w:t xml:space="preserve"> from living </w:t>
      </w:r>
      <w:r w:rsidR="008D30A1">
        <w:rPr>
          <w:rFonts w:ascii="Book Antiqua" w:hAnsi="Book Antiqua" w:cs="Arial"/>
        </w:rPr>
        <w:t xml:space="preserve">a </w:t>
      </w:r>
      <w:r w:rsidR="00BC1E73">
        <w:rPr>
          <w:rFonts w:ascii="Book Antiqua" w:hAnsi="Book Antiqua" w:cs="Arial"/>
        </w:rPr>
        <w:t>life which is similar to the life that she lives in the United Kingdom.  It has to be borne in mind that she suffers from PTSD in the United Kingdom</w:t>
      </w:r>
      <w:r w:rsidR="008D30A1">
        <w:rPr>
          <w:rFonts w:ascii="Book Antiqua" w:hAnsi="Book Antiqua" w:cs="Arial"/>
        </w:rPr>
        <w:t>.  T</w:t>
      </w:r>
      <w:r w:rsidR="00BC1E73">
        <w:rPr>
          <w:rFonts w:ascii="Book Antiqua" w:hAnsi="Book Antiqua" w:cs="Arial"/>
        </w:rPr>
        <w:t xml:space="preserve">he </w:t>
      </w:r>
      <w:r w:rsidR="008D30A1">
        <w:rPr>
          <w:rFonts w:ascii="Book Antiqua" w:hAnsi="Book Antiqua" w:cs="Arial"/>
        </w:rPr>
        <w:t>issue</w:t>
      </w:r>
      <w:r w:rsidR="00BC1E73">
        <w:rPr>
          <w:rFonts w:ascii="Book Antiqua" w:hAnsi="Book Antiqua" w:cs="Arial"/>
        </w:rPr>
        <w:t xml:space="preserve"> before the judge was whether that condition prevented her from relocating to another part of Nigeria</w:t>
      </w:r>
      <w:r w:rsidR="008D30A1">
        <w:rPr>
          <w:rFonts w:ascii="Book Antiqua" w:hAnsi="Book Antiqua" w:cs="Arial"/>
        </w:rPr>
        <w:t xml:space="preserve"> and, if so, why</w:t>
      </w:r>
      <w:r w:rsidR="00BC1E73">
        <w:rPr>
          <w:rFonts w:ascii="Book Antiqua" w:hAnsi="Book Antiqua" w:cs="Arial"/>
        </w:rPr>
        <w:t xml:space="preserve">.  </w:t>
      </w:r>
    </w:p>
    <w:p w:rsidR="00902761" w:rsidRDefault="00BC1E73" w:rsidP="0057609C">
      <w:pPr>
        <w:numPr>
          <w:ilvl w:val="0"/>
          <w:numId w:val="3"/>
        </w:numPr>
        <w:spacing w:before="240"/>
        <w:jc w:val="both"/>
        <w:rPr>
          <w:rFonts w:ascii="Book Antiqua" w:hAnsi="Book Antiqua" w:cs="Arial"/>
        </w:rPr>
      </w:pPr>
      <w:r>
        <w:rPr>
          <w:rFonts w:ascii="Book Antiqua" w:hAnsi="Book Antiqua" w:cs="Arial"/>
        </w:rPr>
        <w:t>The second bullet point relied upon by the judge is that the eldest child suffers from chronic lung disease and pulmonary hypertension.  It was said that</w:t>
      </w:r>
      <w:r w:rsidR="008D30A1">
        <w:rPr>
          <w:rFonts w:ascii="Book Antiqua" w:hAnsi="Book Antiqua" w:cs="Arial"/>
        </w:rPr>
        <w:t xml:space="preserve"> there was no evidence before her</w:t>
      </w:r>
      <w:r>
        <w:rPr>
          <w:rFonts w:ascii="Book Antiqua" w:hAnsi="Book Antiqua" w:cs="Arial"/>
        </w:rPr>
        <w:t xml:space="preserve"> that </w:t>
      </w:r>
      <w:r w:rsidR="008D30A1">
        <w:rPr>
          <w:rFonts w:ascii="Book Antiqua" w:hAnsi="Book Antiqua" w:cs="Arial"/>
        </w:rPr>
        <w:t>the child</w:t>
      </w:r>
      <w:r>
        <w:rPr>
          <w:rFonts w:ascii="Book Antiqua" w:hAnsi="Book Antiqua" w:cs="Arial"/>
        </w:rPr>
        <w:t xml:space="preserve"> could not receive such treatment in Nigeria</w:t>
      </w:r>
      <w:r w:rsidR="008D30A1">
        <w:rPr>
          <w:rFonts w:ascii="Book Antiqua" w:hAnsi="Book Antiqua" w:cs="Arial"/>
        </w:rPr>
        <w:t>.  T</w:t>
      </w:r>
      <w:r>
        <w:rPr>
          <w:rFonts w:ascii="Book Antiqua" w:hAnsi="Book Antiqua" w:cs="Arial"/>
        </w:rPr>
        <w:t xml:space="preserve">he judge relied upon the fact that her potential removal would alter the environment in which the child has stabilised.  </w:t>
      </w:r>
      <w:r w:rsidR="00B006F6">
        <w:rPr>
          <w:rFonts w:ascii="Book Antiqua" w:hAnsi="Book Antiqua" w:cs="Arial"/>
        </w:rPr>
        <w:t xml:space="preserve">A changed environment is the inevitable result of removal and if that alone were the criterion, then there could be no removals at all.  </w:t>
      </w:r>
      <w:r>
        <w:rPr>
          <w:rFonts w:ascii="Book Antiqua" w:hAnsi="Book Antiqua" w:cs="Arial"/>
        </w:rPr>
        <w:t>There is a reference</w:t>
      </w:r>
      <w:r w:rsidR="008D30A1">
        <w:rPr>
          <w:rFonts w:ascii="Book Antiqua" w:hAnsi="Book Antiqua" w:cs="Arial"/>
        </w:rPr>
        <w:t xml:space="preserve"> in the determination</w:t>
      </w:r>
      <w:r>
        <w:rPr>
          <w:rFonts w:ascii="Book Antiqua" w:hAnsi="Book Antiqua" w:cs="Arial"/>
        </w:rPr>
        <w:t xml:space="preserve"> to a letter which unfortunately the parties were not able to produce to me but that letter does not appear to be significant because the judge herself says that this issue has limited weight</w:t>
      </w:r>
      <w:r w:rsidR="008D30A1">
        <w:rPr>
          <w:rFonts w:ascii="Book Antiqua" w:hAnsi="Book Antiqua" w:cs="Arial"/>
        </w:rPr>
        <w:t>.</w:t>
      </w:r>
      <w:r>
        <w:rPr>
          <w:rFonts w:ascii="Book Antiqua" w:hAnsi="Book Antiqua" w:cs="Arial"/>
        </w:rPr>
        <w:t xml:space="preserve">  </w:t>
      </w:r>
    </w:p>
    <w:p w:rsidR="00902761" w:rsidRDefault="008D30A1" w:rsidP="0057609C">
      <w:pPr>
        <w:numPr>
          <w:ilvl w:val="0"/>
          <w:numId w:val="3"/>
        </w:numPr>
        <w:spacing w:before="240"/>
        <w:jc w:val="both"/>
        <w:rPr>
          <w:rFonts w:ascii="Book Antiqua" w:hAnsi="Book Antiqua" w:cs="Arial"/>
        </w:rPr>
      </w:pPr>
      <w:r>
        <w:rPr>
          <w:rFonts w:ascii="Book Antiqua" w:hAnsi="Book Antiqua" w:cs="Arial"/>
        </w:rPr>
        <w:t>I</w:t>
      </w:r>
      <w:r w:rsidR="00BC1E73">
        <w:rPr>
          <w:rFonts w:ascii="Book Antiqua" w:hAnsi="Book Antiqua" w:cs="Arial"/>
        </w:rPr>
        <w:t>n bullet point 3</w:t>
      </w:r>
      <w:r>
        <w:rPr>
          <w:rFonts w:ascii="Book Antiqua" w:hAnsi="Book Antiqua" w:cs="Arial"/>
        </w:rPr>
        <w:t>, the judge</w:t>
      </w:r>
      <w:r w:rsidR="00BC1E73">
        <w:rPr>
          <w:rFonts w:ascii="Book Antiqua" w:hAnsi="Book Antiqua" w:cs="Arial"/>
        </w:rPr>
        <w:t xml:space="preserve"> refers to the fact that the appellant’s wife had previously relocated to Lagos when her former husband had moved there.  </w:t>
      </w:r>
      <w:r>
        <w:rPr>
          <w:rFonts w:ascii="Book Antiqua" w:hAnsi="Book Antiqua" w:cs="Arial"/>
        </w:rPr>
        <w:t>The determination</w:t>
      </w:r>
      <w:r w:rsidR="00BC1E73">
        <w:rPr>
          <w:rFonts w:ascii="Book Antiqua" w:hAnsi="Book Antiqua" w:cs="Arial"/>
        </w:rPr>
        <w:t xml:space="preserve"> does not go on to describe why a return to Nigeria would be unreasonable</w:t>
      </w:r>
      <w:r w:rsidR="00E2331C">
        <w:rPr>
          <w:rFonts w:ascii="Book Antiqua" w:hAnsi="Book Antiqua" w:cs="Arial"/>
        </w:rPr>
        <w:t>.  Indeed, it might be said that the wife w</w:t>
      </w:r>
      <w:r w:rsidR="00B006F6">
        <w:rPr>
          <w:rFonts w:ascii="Book Antiqua" w:hAnsi="Book Antiqua" w:cs="Arial"/>
        </w:rPr>
        <w:t xml:space="preserve">ould be </w:t>
      </w:r>
      <w:r w:rsidR="00E2331C">
        <w:rPr>
          <w:rFonts w:ascii="Book Antiqua" w:hAnsi="Book Antiqua" w:cs="Arial"/>
        </w:rPr>
        <w:t xml:space="preserve">returning to a place with which she was familiar.  </w:t>
      </w:r>
      <w:r w:rsidR="00BC1E73">
        <w:rPr>
          <w:rFonts w:ascii="Book Antiqua" w:hAnsi="Book Antiqua" w:cs="Arial"/>
        </w:rPr>
        <w:t xml:space="preserve"> Instead, the judge refers to the fact that the appellant has no family in Nigeria and his wife no contact with her family </w:t>
      </w:r>
      <w:r w:rsidR="00E2331C">
        <w:rPr>
          <w:rFonts w:ascii="Book Antiqua" w:hAnsi="Book Antiqua" w:cs="Arial"/>
        </w:rPr>
        <w:t xml:space="preserve">and </w:t>
      </w:r>
      <w:r w:rsidR="00BC1E73">
        <w:rPr>
          <w:rFonts w:ascii="Book Antiqua" w:hAnsi="Book Antiqua" w:cs="Arial"/>
        </w:rPr>
        <w:t>therefore they would have no support network.  Of course, support networks are sometimes vital</w:t>
      </w:r>
      <w:r w:rsidR="00B006F6">
        <w:rPr>
          <w:rFonts w:ascii="Book Antiqua" w:hAnsi="Book Antiqua" w:cs="Arial"/>
        </w:rPr>
        <w:t>,</w:t>
      </w:r>
      <w:r w:rsidR="00BC1E73">
        <w:rPr>
          <w:rFonts w:ascii="Book Antiqua" w:hAnsi="Book Antiqua" w:cs="Arial"/>
        </w:rPr>
        <w:t xml:space="preserve"> but this is a family that would return to Lagos or another part of Nigeria as a family unit </w:t>
      </w:r>
      <w:r w:rsidR="00E2331C">
        <w:rPr>
          <w:rFonts w:ascii="Book Antiqua" w:hAnsi="Book Antiqua" w:cs="Arial"/>
        </w:rPr>
        <w:t xml:space="preserve">with </w:t>
      </w:r>
      <w:r w:rsidR="00BC1E73">
        <w:rPr>
          <w:rFonts w:ascii="Book Antiqua" w:hAnsi="Book Antiqua" w:cs="Arial"/>
        </w:rPr>
        <w:t xml:space="preserve">the </w:t>
      </w:r>
      <w:r w:rsidR="00E2331C">
        <w:rPr>
          <w:rFonts w:ascii="Book Antiqua" w:hAnsi="Book Antiqua" w:cs="Arial"/>
        </w:rPr>
        <w:t xml:space="preserve">same </w:t>
      </w:r>
      <w:r w:rsidR="00BC1E73">
        <w:rPr>
          <w:rFonts w:ascii="Book Antiqua" w:hAnsi="Book Antiqua" w:cs="Arial"/>
        </w:rPr>
        <w:t>opportunities to find accommodation and work</w:t>
      </w:r>
      <w:r w:rsidR="00E2331C">
        <w:rPr>
          <w:rFonts w:ascii="Book Antiqua" w:hAnsi="Book Antiqua" w:cs="Arial"/>
        </w:rPr>
        <w:t xml:space="preserve"> as other Nigerians</w:t>
      </w:r>
      <w:r w:rsidR="00BC1E73">
        <w:rPr>
          <w:rFonts w:ascii="Book Antiqua" w:hAnsi="Book Antiqua" w:cs="Arial"/>
        </w:rPr>
        <w:t xml:space="preserve">.  The judge </w:t>
      </w:r>
      <w:r w:rsidR="00E2331C">
        <w:rPr>
          <w:rFonts w:ascii="Book Antiqua" w:hAnsi="Book Antiqua" w:cs="Arial"/>
        </w:rPr>
        <w:t>assessed</w:t>
      </w:r>
      <w:r w:rsidR="00BC1E73">
        <w:rPr>
          <w:rFonts w:ascii="Book Antiqua" w:hAnsi="Book Antiqua" w:cs="Arial"/>
        </w:rPr>
        <w:t xml:space="preserve"> those matters as being factors which would render relocation </w:t>
      </w:r>
      <w:r w:rsidR="00902761">
        <w:rPr>
          <w:rFonts w:ascii="Book Antiqua" w:hAnsi="Book Antiqua" w:cs="Arial"/>
        </w:rPr>
        <w:t>unreasonable</w:t>
      </w:r>
      <w:r w:rsidR="00BC1E73">
        <w:rPr>
          <w:rFonts w:ascii="Book Antiqua" w:hAnsi="Book Antiqua" w:cs="Arial"/>
        </w:rPr>
        <w:t xml:space="preserve"> by saying</w:t>
      </w:r>
      <w:r w:rsidR="00902761">
        <w:rPr>
          <w:rFonts w:ascii="Book Antiqua" w:hAnsi="Book Antiqua" w:cs="Arial"/>
        </w:rPr>
        <w:t>:</w:t>
      </w:r>
      <w:r w:rsidR="00BC1E73">
        <w:rPr>
          <w:rFonts w:ascii="Book Antiqua" w:hAnsi="Book Antiqua" w:cs="Arial"/>
        </w:rPr>
        <w:t xml:space="preserve"> </w:t>
      </w:r>
    </w:p>
    <w:p w:rsidR="00902761" w:rsidRPr="00902761" w:rsidRDefault="00BC1E73" w:rsidP="00902761">
      <w:pPr>
        <w:spacing w:before="240"/>
        <w:ind w:left="1134"/>
        <w:jc w:val="both"/>
        <w:rPr>
          <w:rFonts w:ascii="Book Antiqua" w:hAnsi="Book Antiqua" w:cs="Arial"/>
          <w:sz w:val="22"/>
          <w:szCs w:val="22"/>
        </w:rPr>
      </w:pPr>
      <w:r w:rsidRPr="00902761">
        <w:rPr>
          <w:rFonts w:ascii="Book Antiqua" w:hAnsi="Book Antiqua" w:cs="Arial"/>
          <w:sz w:val="22"/>
          <w:szCs w:val="22"/>
        </w:rPr>
        <w:t>“</w:t>
      </w:r>
      <w:r w:rsidR="00902761" w:rsidRPr="00902761">
        <w:rPr>
          <w:rFonts w:ascii="Book Antiqua" w:hAnsi="Book Antiqua" w:cs="Arial"/>
          <w:sz w:val="22"/>
          <w:szCs w:val="22"/>
        </w:rPr>
        <w:t xml:space="preserve">If </w:t>
      </w:r>
      <w:r w:rsidRPr="00902761">
        <w:rPr>
          <w:rFonts w:ascii="Book Antiqua" w:hAnsi="Book Antiqua" w:cs="Arial"/>
          <w:sz w:val="22"/>
          <w:szCs w:val="22"/>
        </w:rPr>
        <w:t xml:space="preserve">they were required to return with the children there would be difficulties not only in relation to accommodation but also to initial financial support and the appellant and his wife have limited opportunities for employment given their level of education.  The appellant only went to primary school and has never worked in Nigeria.  His </w:t>
      </w:r>
      <w:r w:rsidRPr="00902761">
        <w:rPr>
          <w:rFonts w:ascii="Book Antiqua" w:hAnsi="Book Antiqua" w:cs="Arial"/>
          <w:sz w:val="22"/>
          <w:szCs w:val="22"/>
        </w:rPr>
        <w:lastRenderedPageBreak/>
        <w:t xml:space="preserve">employment in the UK was limited to labour work which he said would be restricted in Nigeria as he did not have </w:t>
      </w:r>
      <w:r w:rsidR="00902761">
        <w:rPr>
          <w:rFonts w:ascii="Book Antiqua" w:hAnsi="Book Antiqua" w:cs="Arial"/>
          <w:sz w:val="22"/>
          <w:szCs w:val="22"/>
        </w:rPr>
        <w:t>relevant</w:t>
      </w:r>
      <w:r w:rsidRPr="00902761">
        <w:rPr>
          <w:rFonts w:ascii="Book Antiqua" w:hAnsi="Book Antiqua" w:cs="Arial"/>
          <w:sz w:val="22"/>
          <w:szCs w:val="22"/>
        </w:rPr>
        <w:t xml:space="preserve"> contacts”.  </w:t>
      </w:r>
    </w:p>
    <w:p w:rsidR="00902761" w:rsidRDefault="00BC1E73" w:rsidP="00902761">
      <w:pPr>
        <w:spacing w:before="240"/>
        <w:ind w:left="567"/>
        <w:jc w:val="both"/>
        <w:rPr>
          <w:rFonts w:ascii="Book Antiqua" w:hAnsi="Book Antiqua" w:cs="Arial"/>
        </w:rPr>
      </w:pPr>
      <w:r>
        <w:rPr>
          <w:rFonts w:ascii="Book Antiqua" w:hAnsi="Book Antiqua" w:cs="Arial"/>
        </w:rPr>
        <w:t xml:space="preserve">It seems to me that this is an acceptance by the judge that the appellant has the capacity to work </w:t>
      </w:r>
      <w:r w:rsidR="00F628FA">
        <w:rPr>
          <w:rFonts w:ascii="Book Antiqua" w:hAnsi="Book Antiqua" w:cs="Arial"/>
        </w:rPr>
        <w:t>as</w:t>
      </w:r>
      <w:r>
        <w:rPr>
          <w:rFonts w:ascii="Book Antiqua" w:hAnsi="Book Antiqua" w:cs="Arial"/>
        </w:rPr>
        <w:t xml:space="preserve"> a labour</w:t>
      </w:r>
      <w:r w:rsidR="00F628FA">
        <w:rPr>
          <w:rFonts w:ascii="Book Antiqua" w:hAnsi="Book Antiqua" w:cs="Arial"/>
        </w:rPr>
        <w:t>er</w:t>
      </w:r>
      <w:r>
        <w:rPr>
          <w:rFonts w:ascii="Book Antiqua" w:hAnsi="Book Antiqua" w:cs="Arial"/>
        </w:rPr>
        <w:t xml:space="preserve"> somewhere in Nigeria and he will not be deprived of that opportunity were he to be </w:t>
      </w:r>
      <w:r w:rsidR="00AA2559">
        <w:rPr>
          <w:rFonts w:ascii="Book Antiqua" w:hAnsi="Book Antiqua" w:cs="Arial"/>
        </w:rPr>
        <w:t xml:space="preserve">returned.  It may well be that at the moment </w:t>
      </w:r>
      <w:r w:rsidR="00F628FA">
        <w:rPr>
          <w:rFonts w:ascii="Book Antiqua" w:hAnsi="Book Antiqua" w:cs="Arial"/>
        </w:rPr>
        <w:t xml:space="preserve">he </w:t>
      </w:r>
      <w:r w:rsidR="00AA2559">
        <w:rPr>
          <w:rFonts w:ascii="Book Antiqua" w:hAnsi="Book Antiqua" w:cs="Arial"/>
        </w:rPr>
        <w:t xml:space="preserve">has not got any settled job to return to in Nigeria but the </w:t>
      </w:r>
      <w:r w:rsidR="00F628FA">
        <w:rPr>
          <w:rFonts w:ascii="Book Antiqua" w:hAnsi="Book Antiqua" w:cs="Arial"/>
        </w:rPr>
        <w:t xml:space="preserve">judge’s underlying </w:t>
      </w:r>
      <w:r w:rsidR="00AA2559">
        <w:rPr>
          <w:rFonts w:ascii="Book Antiqua" w:hAnsi="Book Antiqua" w:cs="Arial"/>
        </w:rPr>
        <w:t xml:space="preserve">reasoning </w:t>
      </w:r>
      <w:r w:rsidR="00B006F6">
        <w:rPr>
          <w:rFonts w:ascii="Book Antiqua" w:hAnsi="Book Antiqua" w:cs="Arial"/>
        </w:rPr>
        <w:t>as to</w:t>
      </w:r>
      <w:r w:rsidR="00AA2559">
        <w:rPr>
          <w:rFonts w:ascii="Book Antiqua" w:hAnsi="Book Antiqua" w:cs="Arial"/>
        </w:rPr>
        <w:t xml:space="preserve"> what is possible for the appellant in the United Kingdom </w:t>
      </w:r>
      <w:r w:rsidR="00B006F6">
        <w:rPr>
          <w:rFonts w:ascii="Book Antiqua" w:hAnsi="Book Antiqua" w:cs="Arial"/>
        </w:rPr>
        <w:t xml:space="preserve">but </w:t>
      </w:r>
      <w:r w:rsidR="00AA2559">
        <w:rPr>
          <w:rFonts w:ascii="Book Antiqua" w:hAnsi="Book Antiqua" w:cs="Arial"/>
        </w:rPr>
        <w:t>is not possible for the appellant were he to return to Nigeria</w:t>
      </w:r>
      <w:r w:rsidR="00B006F6">
        <w:rPr>
          <w:rFonts w:ascii="Book Antiqua" w:hAnsi="Book Antiqua" w:cs="Arial"/>
        </w:rPr>
        <w:t>,</w:t>
      </w:r>
      <w:r w:rsidR="00AA2559">
        <w:rPr>
          <w:rFonts w:ascii="Book Antiqua" w:hAnsi="Book Antiqua" w:cs="Arial"/>
        </w:rPr>
        <w:t xml:space="preserve"> is lacking</w:t>
      </w:r>
      <w:r w:rsidR="00F628FA">
        <w:rPr>
          <w:rFonts w:ascii="Book Antiqua" w:hAnsi="Book Antiqua" w:cs="Arial"/>
        </w:rPr>
        <w:t>.  I</w:t>
      </w:r>
      <w:r w:rsidR="00AA2559">
        <w:rPr>
          <w:rFonts w:ascii="Book Antiqua" w:hAnsi="Book Antiqua" w:cs="Arial"/>
        </w:rPr>
        <w:t>t has to be said that work is available in Nigeria</w:t>
      </w:r>
      <w:r w:rsidR="00F628FA">
        <w:rPr>
          <w:rFonts w:ascii="Book Antiqua" w:hAnsi="Book Antiqua" w:cs="Arial"/>
        </w:rPr>
        <w:t>;</w:t>
      </w:r>
      <w:r w:rsidR="00AA2559">
        <w:rPr>
          <w:rFonts w:ascii="Book Antiqua" w:hAnsi="Book Antiqua" w:cs="Arial"/>
        </w:rPr>
        <w:t xml:space="preserve"> accommodation is available in Nigeria.  Of course</w:t>
      </w:r>
      <w:r w:rsidR="00F628FA">
        <w:rPr>
          <w:rFonts w:ascii="Book Antiqua" w:hAnsi="Book Antiqua" w:cs="Arial"/>
        </w:rPr>
        <w:t>,</w:t>
      </w:r>
      <w:r w:rsidR="00AA2559">
        <w:rPr>
          <w:rFonts w:ascii="Book Antiqua" w:hAnsi="Book Antiqua" w:cs="Arial"/>
        </w:rPr>
        <w:t xml:space="preserve"> the accommodation requires payment to be made but that is the reason why Nigerian men find work.  There is therefore </w:t>
      </w:r>
      <w:r w:rsidR="00F628FA">
        <w:rPr>
          <w:rFonts w:ascii="Book Antiqua" w:hAnsi="Book Antiqua" w:cs="Arial"/>
        </w:rPr>
        <w:t xml:space="preserve">no </w:t>
      </w:r>
      <w:r w:rsidR="00AA2559">
        <w:rPr>
          <w:rFonts w:ascii="Book Antiqua" w:hAnsi="Book Antiqua" w:cs="Arial"/>
        </w:rPr>
        <w:t xml:space="preserve">detailed analysis of what difficulties the appellant would face or indeed his family members would face.  </w:t>
      </w:r>
      <w:r w:rsidR="00F628FA">
        <w:rPr>
          <w:rFonts w:ascii="Book Antiqua" w:hAnsi="Book Antiqua" w:cs="Arial"/>
        </w:rPr>
        <w:t>There will be</w:t>
      </w:r>
      <w:r w:rsidR="00AA2559">
        <w:rPr>
          <w:rFonts w:ascii="Book Antiqua" w:hAnsi="Book Antiqua" w:cs="Arial"/>
        </w:rPr>
        <w:t xml:space="preserve"> disruption</w:t>
      </w:r>
      <w:r w:rsidR="00F628FA">
        <w:rPr>
          <w:rFonts w:ascii="Book Antiqua" w:hAnsi="Book Antiqua" w:cs="Arial"/>
        </w:rPr>
        <w:t>. T</w:t>
      </w:r>
      <w:r w:rsidR="00AA2559">
        <w:rPr>
          <w:rFonts w:ascii="Book Antiqua" w:hAnsi="Book Antiqua" w:cs="Arial"/>
        </w:rPr>
        <w:t>he family have been in the United Kingdom for a number of years but that does not mean that they cannot relocate to another part of Nigeria if the home area is one in which they are at risk.  Accordingly I do not consider that the judge’s reasons in paragraph 17 support her conclusion in paragraph 47 that it would be unreasonable to require them to relocate elsewhere within Nigeria without the relevant support network.  There is no authority to say that a family returning to Nigeria requires a relevant support network</w:t>
      </w:r>
      <w:r w:rsidR="00F628FA">
        <w:rPr>
          <w:rFonts w:ascii="Book Antiqua" w:hAnsi="Book Antiqua" w:cs="Arial"/>
        </w:rPr>
        <w:t>.</w:t>
      </w:r>
      <w:r w:rsidR="00AA2559">
        <w:rPr>
          <w:rFonts w:ascii="Book Antiqua" w:hAnsi="Book Antiqua" w:cs="Arial"/>
        </w:rPr>
        <w:t xml:space="preserve"> </w:t>
      </w:r>
      <w:r w:rsidR="00F628FA">
        <w:rPr>
          <w:rFonts w:ascii="Book Antiqua" w:hAnsi="Book Antiqua" w:cs="Arial"/>
        </w:rPr>
        <w:t>In</w:t>
      </w:r>
      <w:r w:rsidR="00AA2559">
        <w:rPr>
          <w:rFonts w:ascii="Book Antiqua" w:hAnsi="Book Antiqua" w:cs="Arial"/>
        </w:rPr>
        <w:t xml:space="preserve"> this case the judge identifies no further reasons than the ones that I have already pointed out.  </w:t>
      </w:r>
    </w:p>
    <w:p w:rsidR="0057609C" w:rsidRPr="00F5664C" w:rsidRDefault="00B006F6" w:rsidP="00902761">
      <w:pPr>
        <w:numPr>
          <w:ilvl w:val="0"/>
          <w:numId w:val="3"/>
        </w:numPr>
        <w:spacing w:before="240"/>
        <w:jc w:val="both"/>
        <w:rPr>
          <w:rFonts w:ascii="Book Antiqua" w:hAnsi="Book Antiqua" w:cs="Arial"/>
        </w:rPr>
      </w:pPr>
      <w:r>
        <w:rPr>
          <w:rFonts w:ascii="Book Antiqua" w:hAnsi="Book Antiqua" w:cs="Arial"/>
        </w:rPr>
        <w:t xml:space="preserve">For these reasons </w:t>
      </w:r>
      <w:r w:rsidR="00AA2559">
        <w:rPr>
          <w:rFonts w:ascii="Book Antiqua" w:hAnsi="Book Antiqua" w:cs="Arial"/>
        </w:rPr>
        <w:t xml:space="preserve">I consider that the determination of the judge is not sufficiently reasoned and amounts to an error of law.  In those circumstances I set aside the determination and require the matter to be reheard.  Since it does require a wholesale revisiting of the evidence I find that the preferable route is to place it in the First-tier Tribunal.  The matter was heard at Hatton Cross and it should be heard again there.  </w:t>
      </w:r>
      <w:r w:rsidR="00BC1E73">
        <w:rPr>
          <w:rFonts w:ascii="Book Antiqua" w:hAnsi="Book Antiqua" w:cs="Arial"/>
        </w:rPr>
        <w:t xml:space="preserve">   </w:t>
      </w:r>
      <w:r w:rsidR="00862432">
        <w:rPr>
          <w:rFonts w:ascii="Book Antiqua" w:hAnsi="Book Antiqua" w:cs="Arial"/>
        </w:rPr>
        <w:t xml:space="preserve">    </w:t>
      </w:r>
      <w:r w:rsidR="00AE0665">
        <w:rPr>
          <w:rFonts w:ascii="Book Antiqua" w:hAnsi="Book Antiqua" w:cs="Arial"/>
        </w:rPr>
        <w:t xml:space="preserve">   </w:t>
      </w:r>
    </w:p>
    <w:p w:rsidR="00463ECF" w:rsidRDefault="00463ECF" w:rsidP="00463ECF">
      <w:pPr>
        <w:jc w:val="both"/>
        <w:rPr>
          <w:rFonts w:ascii="Book Antiqua" w:hAnsi="Book Antiqua" w:cs="Arial"/>
        </w:rPr>
      </w:pPr>
    </w:p>
    <w:p w:rsidR="007B1F49" w:rsidRDefault="007B1F49" w:rsidP="00463ECF">
      <w:pPr>
        <w:jc w:val="both"/>
        <w:outlineLvl w:val="0"/>
        <w:rPr>
          <w:rFonts w:ascii="Book Antiqua" w:hAnsi="Book Antiqua" w:cs="Arial"/>
        </w:rPr>
      </w:pPr>
    </w:p>
    <w:p w:rsidR="007B1F49" w:rsidRDefault="007B1F49" w:rsidP="007B1F49">
      <w:pPr>
        <w:tabs>
          <w:tab w:val="left" w:pos="2520"/>
        </w:tabs>
        <w:jc w:val="right"/>
        <w:rPr>
          <w:rFonts w:ascii="Book Antiqua" w:hAnsi="Book Antiqua" w:cs="Arial"/>
        </w:rPr>
      </w:pPr>
      <w:r>
        <w:rPr>
          <w:rFonts w:ascii="Book Antiqua" w:hAnsi="Book Antiqua" w:cs="Arial"/>
        </w:rPr>
        <w:t>ANDREW JORDAN</w:t>
      </w:r>
    </w:p>
    <w:p w:rsidR="005B7789" w:rsidRPr="00F5664C" w:rsidRDefault="007B1F49" w:rsidP="00B86A7B">
      <w:pPr>
        <w:tabs>
          <w:tab w:val="left" w:pos="2520"/>
        </w:tabs>
        <w:jc w:val="right"/>
        <w:rPr>
          <w:rFonts w:ascii="Book Antiqua" w:hAnsi="Book Antiqua" w:cs="Arial"/>
        </w:rPr>
      </w:pPr>
      <w:r>
        <w:rPr>
          <w:rFonts w:ascii="Book Antiqua" w:hAnsi="Book Antiqua" w:cs="Arial"/>
        </w:rPr>
        <w:t>JUDGE OF THE UPPER TRIBUNAL</w:t>
      </w:r>
    </w:p>
    <w:p w:rsidR="005B7789" w:rsidRPr="00F5664C" w:rsidRDefault="00B86A7B" w:rsidP="000369F5">
      <w:pPr>
        <w:tabs>
          <w:tab w:val="left" w:pos="2520"/>
        </w:tabs>
        <w:jc w:val="both"/>
        <w:rPr>
          <w:rFonts w:ascii="Book Antiqua" w:hAnsi="Book Antiqua" w:cs="Arial"/>
        </w:rPr>
      </w:pPr>
      <w:r>
        <w:rPr>
          <w:rFonts w:ascii="Book Antiqua" w:hAnsi="Book Antiqua" w:cs="Arial"/>
        </w:rPr>
        <w:t>Date  18 September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C6A" w:rsidRDefault="00714C6A">
      <w:r>
        <w:separator/>
      </w:r>
    </w:p>
  </w:endnote>
  <w:endnote w:type="continuationSeparator" w:id="0">
    <w:p w:rsidR="00714C6A" w:rsidRDefault="0071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F4FB5">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F19E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C6A" w:rsidRDefault="00714C6A">
      <w:r>
        <w:separator/>
      </w:r>
    </w:p>
  </w:footnote>
  <w:footnote w:type="continuationSeparator" w:id="0">
    <w:p w:rsidR="00714C6A" w:rsidRDefault="00714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AE0665">
      <w:rPr>
        <w:rFonts w:ascii="Book Antiqua" w:hAnsi="Book Antiqua" w:cs="Arial"/>
        <w:sz w:val="16"/>
        <w:szCs w:val="16"/>
      </w:rPr>
      <w:t xml:space="preserve">  PA/08882/2017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65"/>
    <w:rsid w:val="00000621"/>
    <w:rsid w:val="000036C2"/>
    <w:rsid w:val="000246B5"/>
    <w:rsid w:val="00033D3D"/>
    <w:rsid w:val="000369F5"/>
    <w:rsid w:val="00071A7E"/>
    <w:rsid w:val="000746C0"/>
    <w:rsid w:val="00074D1D"/>
    <w:rsid w:val="00092580"/>
    <w:rsid w:val="000D5D94"/>
    <w:rsid w:val="000F19E2"/>
    <w:rsid w:val="001165A7"/>
    <w:rsid w:val="00151BB7"/>
    <w:rsid w:val="0016457F"/>
    <w:rsid w:val="00167D3A"/>
    <w:rsid w:val="001A1E2C"/>
    <w:rsid w:val="001F2716"/>
    <w:rsid w:val="0020133A"/>
    <w:rsid w:val="00207617"/>
    <w:rsid w:val="00237104"/>
    <w:rsid w:val="00243AE8"/>
    <w:rsid w:val="002560CA"/>
    <w:rsid w:val="00283659"/>
    <w:rsid w:val="002C4E73"/>
    <w:rsid w:val="002D68BF"/>
    <w:rsid w:val="002E3BC7"/>
    <w:rsid w:val="00321F6D"/>
    <w:rsid w:val="00336CBF"/>
    <w:rsid w:val="00340AAF"/>
    <w:rsid w:val="003534A3"/>
    <w:rsid w:val="003546C8"/>
    <w:rsid w:val="003A7CF2"/>
    <w:rsid w:val="003B0789"/>
    <w:rsid w:val="003C5CE5"/>
    <w:rsid w:val="003E267B"/>
    <w:rsid w:val="003E7CD1"/>
    <w:rsid w:val="003F4FB5"/>
    <w:rsid w:val="0040202A"/>
    <w:rsid w:val="00402B9E"/>
    <w:rsid w:val="00423932"/>
    <w:rsid w:val="004249CB"/>
    <w:rsid w:val="0044127D"/>
    <w:rsid w:val="004448DB"/>
    <w:rsid w:val="00446C9A"/>
    <w:rsid w:val="00463ECF"/>
    <w:rsid w:val="00477193"/>
    <w:rsid w:val="00494E71"/>
    <w:rsid w:val="004A1848"/>
    <w:rsid w:val="004A7C65"/>
    <w:rsid w:val="004D1A51"/>
    <w:rsid w:val="004F7249"/>
    <w:rsid w:val="00507FEC"/>
    <w:rsid w:val="00510F0E"/>
    <w:rsid w:val="005479E1"/>
    <w:rsid w:val="00556AC4"/>
    <w:rsid w:val="005570FD"/>
    <w:rsid w:val="005575EA"/>
    <w:rsid w:val="0057609C"/>
    <w:rsid w:val="0057790C"/>
    <w:rsid w:val="00593795"/>
    <w:rsid w:val="0059782E"/>
    <w:rsid w:val="005A75FF"/>
    <w:rsid w:val="005B7789"/>
    <w:rsid w:val="0060701A"/>
    <w:rsid w:val="00612787"/>
    <w:rsid w:val="00632ABE"/>
    <w:rsid w:val="0065791C"/>
    <w:rsid w:val="00690B8A"/>
    <w:rsid w:val="00693E22"/>
    <w:rsid w:val="006D1DFA"/>
    <w:rsid w:val="006D506B"/>
    <w:rsid w:val="006E3C90"/>
    <w:rsid w:val="00704B61"/>
    <w:rsid w:val="00714C6A"/>
    <w:rsid w:val="0071591B"/>
    <w:rsid w:val="00740641"/>
    <w:rsid w:val="00742A8D"/>
    <w:rsid w:val="00745BE0"/>
    <w:rsid w:val="00753993"/>
    <w:rsid w:val="007552A9"/>
    <w:rsid w:val="00761858"/>
    <w:rsid w:val="00767D59"/>
    <w:rsid w:val="00776E97"/>
    <w:rsid w:val="00780CFE"/>
    <w:rsid w:val="00780FD7"/>
    <w:rsid w:val="007912AD"/>
    <w:rsid w:val="007A1F28"/>
    <w:rsid w:val="007B0824"/>
    <w:rsid w:val="007B1F49"/>
    <w:rsid w:val="007E5A2D"/>
    <w:rsid w:val="007F5BF1"/>
    <w:rsid w:val="008070E8"/>
    <w:rsid w:val="008222C6"/>
    <w:rsid w:val="008303B8"/>
    <w:rsid w:val="00833DCE"/>
    <w:rsid w:val="00842418"/>
    <w:rsid w:val="0085376B"/>
    <w:rsid w:val="00862432"/>
    <w:rsid w:val="00871D34"/>
    <w:rsid w:val="008A1A16"/>
    <w:rsid w:val="008B270C"/>
    <w:rsid w:val="008C3D3D"/>
    <w:rsid w:val="008D30A1"/>
    <w:rsid w:val="008D4131"/>
    <w:rsid w:val="008F1932"/>
    <w:rsid w:val="008F294D"/>
    <w:rsid w:val="00902761"/>
    <w:rsid w:val="00921062"/>
    <w:rsid w:val="0093083E"/>
    <w:rsid w:val="00937986"/>
    <w:rsid w:val="00943D62"/>
    <w:rsid w:val="00966ECF"/>
    <w:rsid w:val="009727A3"/>
    <w:rsid w:val="00987774"/>
    <w:rsid w:val="009A11E8"/>
    <w:rsid w:val="009A44AE"/>
    <w:rsid w:val="009B2E11"/>
    <w:rsid w:val="009D74BF"/>
    <w:rsid w:val="009E4E62"/>
    <w:rsid w:val="009F0D99"/>
    <w:rsid w:val="009F5220"/>
    <w:rsid w:val="009F7C4D"/>
    <w:rsid w:val="00A13B39"/>
    <w:rsid w:val="00A15234"/>
    <w:rsid w:val="00A201AB"/>
    <w:rsid w:val="00A210B7"/>
    <w:rsid w:val="00A30793"/>
    <w:rsid w:val="00A31C8B"/>
    <w:rsid w:val="00A845DC"/>
    <w:rsid w:val="00A97AEE"/>
    <w:rsid w:val="00AA2559"/>
    <w:rsid w:val="00AB0298"/>
    <w:rsid w:val="00AB2ECD"/>
    <w:rsid w:val="00AC5CF6"/>
    <w:rsid w:val="00AE0665"/>
    <w:rsid w:val="00AE38E7"/>
    <w:rsid w:val="00B006F6"/>
    <w:rsid w:val="00B144FA"/>
    <w:rsid w:val="00B16F58"/>
    <w:rsid w:val="00B30648"/>
    <w:rsid w:val="00B3524D"/>
    <w:rsid w:val="00B40F69"/>
    <w:rsid w:val="00B44566"/>
    <w:rsid w:val="00B46616"/>
    <w:rsid w:val="00B610E3"/>
    <w:rsid w:val="00B61205"/>
    <w:rsid w:val="00B617C4"/>
    <w:rsid w:val="00B626FA"/>
    <w:rsid w:val="00B7040A"/>
    <w:rsid w:val="00B86A7B"/>
    <w:rsid w:val="00B96FA0"/>
    <w:rsid w:val="00BB7873"/>
    <w:rsid w:val="00BC1E73"/>
    <w:rsid w:val="00BC6062"/>
    <w:rsid w:val="00BD4196"/>
    <w:rsid w:val="00BE46AF"/>
    <w:rsid w:val="00BF22CA"/>
    <w:rsid w:val="00C0501A"/>
    <w:rsid w:val="00C26032"/>
    <w:rsid w:val="00C265B0"/>
    <w:rsid w:val="00C321B5"/>
    <w:rsid w:val="00C345E1"/>
    <w:rsid w:val="00C52B56"/>
    <w:rsid w:val="00C75079"/>
    <w:rsid w:val="00C977BA"/>
    <w:rsid w:val="00CB6E35"/>
    <w:rsid w:val="00CE1A46"/>
    <w:rsid w:val="00CE1C16"/>
    <w:rsid w:val="00CF253F"/>
    <w:rsid w:val="00CF56B4"/>
    <w:rsid w:val="00D20F09"/>
    <w:rsid w:val="00D22636"/>
    <w:rsid w:val="00D40FD9"/>
    <w:rsid w:val="00D53769"/>
    <w:rsid w:val="00D70775"/>
    <w:rsid w:val="00D75E49"/>
    <w:rsid w:val="00D85C13"/>
    <w:rsid w:val="00D91BE3"/>
    <w:rsid w:val="00D94AFC"/>
    <w:rsid w:val="00DB1177"/>
    <w:rsid w:val="00DB70AE"/>
    <w:rsid w:val="00DB7231"/>
    <w:rsid w:val="00DB7CE1"/>
    <w:rsid w:val="00DB7D8A"/>
    <w:rsid w:val="00DD28B3"/>
    <w:rsid w:val="00DD5071"/>
    <w:rsid w:val="00DD5C39"/>
    <w:rsid w:val="00DD60C7"/>
    <w:rsid w:val="00DE26AF"/>
    <w:rsid w:val="00DE7DB7"/>
    <w:rsid w:val="00E00A0A"/>
    <w:rsid w:val="00E07F57"/>
    <w:rsid w:val="00E1212D"/>
    <w:rsid w:val="00E2331C"/>
    <w:rsid w:val="00E50BCE"/>
    <w:rsid w:val="00E57504"/>
    <w:rsid w:val="00E61292"/>
    <w:rsid w:val="00E76309"/>
    <w:rsid w:val="00E77C4D"/>
    <w:rsid w:val="00E81D01"/>
    <w:rsid w:val="00EE0DB7"/>
    <w:rsid w:val="00EE45D8"/>
    <w:rsid w:val="00EE7729"/>
    <w:rsid w:val="00F004CD"/>
    <w:rsid w:val="00F22EDA"/>
    <w:rsid w:val="00F3224D"/>
    <w:rsid w:val="00F337F0"/>
    <w:rsid w:val="00F33E0E"/>
    <w:rsid w:val="00F421CF"/>
    <w:rsid w:val="00F5664C"/>
    <w:rsid w:val="00F60D99"/>
    <w:rsid w:val="00F628FA"/>
    <w:rsid w:val="00F9260B"/>
    <w:rsid w:val="00F963D2"/>
    <w:rsid w:val="00FB7E80"/>
    <w:rsid w:val="00FC0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6C19F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2062</Words>
  <Characters>11754</Characters>
  <Application>Microsoft Office Word</Application>
  <DocSecurity>0</DocSecurity>
  <Lines>97</Lines>
  <Paragraphs>27</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2018-10-08T14:23:00Z</dcterms:created>
  <dcterms:modified xsi:type="dcterms:W3CDTF">2018-10-08T14:23:00Z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