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3B78DC" w:rsidP="00C321B5">
      <w:pPr>
        <w:jc w:val="center"/>
        <w:rPr>
          <w:rFonts w:ascii="Book Antiqua" w:hAnsi="Book Antiqua" w:cs="Arial"/>
          <w:sz w:val="16"/>
          <w:szCs w:val="16"/>
        </w:rPr>
      </w:pPr>
      <w:r>
        <w:rPr>
          <w:noProof/>
        </w:rPr>
        <w:drawing>
          <wp:inline distT="0" distB="0" distL="0" distR="0">
            <wp:extent cx="1195200" cy="104040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404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CA5C34"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CA5C34">
        <w:rPr>
          <w:rFonts w:ascii="Book Antiqua" w:hAnsi="Book Antiqua" w:cs="Arial"/>
          <w:b/>
        </w:rPr>
        <w:t xml:space="preserve">   </w:t>
      </w:r>
      <w:proofErr w:type="gramEnd"/>
      <w:r w:rsidR="00CA5C34">
        <w:rPr>
          <w:rFonts w:ascii="Book Antiqua" w:hAnsi="Book Antiqua" w:cs="Arial"/>
          <w:b/>
        </w:rPr>
        <w:t xml:space="preserve">                    </w:t>
      </w:r>
      <w:r w:rsidR="00B3524D" w:rsidRPr="00CA5C34">
        <w:rPr>
          <w:rFonts w:ascii="Book Antiqua" w:hAnsi="Book Antiqua" w:cs="Arial"/>
          <w:b/>
        </w:rPr>
        <w:t>Appeal Number</w:t>
      </w:r>
      <w:r w:rsidR="00D53769" w:rsidRPr="00CA5C34">
        <w:rPr>
          <w:rFonts w:ascii="Book Antiqua" w:hAnsi="Book Antiqua" w:cs="Arial"/>
          <w:b/>
        </w:rPr>
        <w:t>:</w:t>
      </w:r>
      <w:r w:rsidR="00B3524D" w:rsidRPr="00CA5C34">
        <w:rPr>
          <w:rFonts w:ascii="Book Antiqua" w:hAnsi="Book Antiqua" w:cs="Arial"/>
          <w:b/>
        </w:rPr>
        <w:t xml:space="preserve"> </w:t>
      </w:r>
      <w:r w:rsidR="00EA33C5" w:rsidRPr="00CA5C34">
        <w:rPr>
          <w:rFonts w:ascii="Book Antiqua" w:hAnsi="Book Antiqua" w:cs="Arial"/>
          <w:b/>
          <w:caps/>
        </w:rPr>
        <w:t>PA/08909/2016</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5"/>
        <w:gridCol w:w="4763"/>
      </w:tblGrid>
      <w:tr w:rsidR="00D22636" w:rsidRPr="00F5664C" w:rsidTr="00CA5C34">
        <w:tc>
          <w:tcPr>
            <w:tcW w:w="5245"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EA33C5">
              <w:rPr>
                <w:rFonts w:ascii="Book Antiqua" w:hAnsi="Book Antiqua" w:cs="Arial"/>
                <w:b/>
              </w:rPr>
              <w:t>Centre City Tower Birmingham</w:t>
            </w:r>
          </w:p>
        </w:tc>
        <w:tc>
          <w:tcPr>
            <w:tcW w:w="4763" w:type="dxa"/>
          </w:tcPr>
          <w:p w:rsidR="00D22636" w:rsidRPr="00F5664C" w:rsidRDefault="00CA5C34" w:rsidP="004A1848">
            <w:pPr>
              <w:jc w:val="both"/>
              <w:rPr>
                <w:rFonts w:ascii="Book Antiqua" w:hAnsi="Book Antiqua" w:cs="Arial"/>
                <w:b/>
              </w:rPr>
            </w:pPr>
            <w:r>
              <w:rPr>
                <w:rFonts w:ascii="Book Antiqua" w:hAnsi="Book Antiqua" w:cs="Arial"/>
                <w:b/>
              </w:rPr>
              <w:t xml:space="preserve"> </w:t>
            </w:r>
            <w:r w:rsidR="00F13D39">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CA5C34">
        <w:tc>
          <w:tcPr>
            <w:tcW w:w="5245"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EA33C5">
              <w:rPr>
                <w:rFonts w:ascii="Book Antiqua" w:hAnsi="Book Antiqua" w:cs="Arial"/>
                <w:b/>
              </w:rPr>
              <w:t>8</w:t>
            </w:r>
            <w:r w:rsidR="00EA33C5">
              <w:rPr>
                <w:rFonts w:ascii="Book Antiqua" w:hAnsi="Book Antiqua" w:cs="Arial"/>
                <w:b/>
                <w:vertAlign w:val="superscript"/>
              </w:rPr>
              <w:t>th</w:t>
            </w:r>
            <w:r w:rsidR="00EA33C5">
              <w:rPr>
                <w:rFonts w:ascii="Book Antiqua" w:hAnsi="Book Antiqua" w:cs="Arial"/>
                <w:b/>
              </w:rPr>
              <w:t xml:space="preserve"> May 2018</w:t>
            </w:r>
          </w:p>
        </w:tc>
        <w:tc>
          <w:tcPr>
            <w:tcW w:w="4763" w:type="dxa"/>
          </w:tcPr>
          <w:p w:rsidR="00D22636" w:rsidRPr="00F5664C" w:rsidRDefault="00CA5C34" w:rsidP="004A1848">
            <w:pPr>
              <w:jc w:val="both"/>
              <w:rPr>
                <w:rFonts w:ascii="Book Antiqua" w:hAnsi="Book Antiqua" w:cs="Arial"/>
                <w:b/>
              </w:rPr>
            </w:pPr>
            <w:r>
              <w:rPr>
                <w:rFonts w:ascii="Book Antiqua" w:hAnsi="Book Antiqua" w:cs="Arial"/>
                <w:b/>
              </w:rPr>
              <w:t xml:space="preserve"> </w:t>
            </w:r>
            <w:r w:rsidR="00C2325C">
              <w:rPr>
                <w:rFonts w:ascii="Book Antiqua" w:hAnsi="Book Antiqua" w:cs="Arial"/>
                <w:b/>
              </w:rPr>
              <w:t>On 22</w:t>
            </w:r>
            <w:r w:rsidR="00C2325C" w:rsidRPr="00C2325C">
              <w:rPr>
                <w:rFonts w:ascii="Book Antiqua" w:hAnsi="Book Antiqua" w:cs="Arial"/>
                <w:b/>
                <w:vertAlign w:val="superscript"/>
              </w:rPr>
              <w:t>nd</w:t>
            </w:r>
            <w:r w:rsidR="00C2325C">
              <w:rPr>
                <w:rFonts w:ascii="Book Antiqua" w:hAnsi="Book Antiqua" w:cs="Arial"/>
                <w:b/>
              </w:rPr>
              <w:t xml:space="preserve"> May 2018</w:t>
            </w:r>
          </w:p>
        </w:tc>
      </w:tr>
      <w:tr w:rsidR="00D22636" w:rsidRPr="00F5664C" w:rsidTr="00CA5C34">
        <w:tc>
          <w:tcPr>
            <w:tcW w:w="5245" w:type="dxa"/>
          </w:tcPr>
          <w:p w:rsidR="00D22636" w:rsidRPr="00F5664C" w:rsidRDefault="00D22636" w:rsidP="004A1848">
            <w:pPr>
              <w:jc w:val="both"/>
              <w:rPr>
                <w:rFonts w:ascii="Book Antiqua" w:hAnsi="Book Antiqua" w:cs="Arial"/>
                <w:b/>
              </w:rPr>
            </w:pPr>
          </w:p>
        </w:tc>
        <w:tc>
          <w:tcPr>
            <w:tcW w:w="4763" w:type="dxa"/>
          </w:tcPr>
          <w:p w:rsidR="00D22636" w:rsidRPr="00F5664C" w:rsidRDefault="00D22636" w:rsidP="004A1848">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1A1E2C" w:rsidRPr="00F5664C" w:rsidRDefault="00255071" w:rsidP="00EA33C5">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JUDGE M A HALL</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EA33C5" w:rsidP="00742A8D">
      <w:pPr>
        <w:jc w:val="center"/>
        <w:rPr>
          <w:rFonts w:ascii="Book Antiqua" w:hAnsi="Book Antiqua" w:cs="Arial"/>
          <w:b/>
          <w:caps/>
        </w:rPr>
      </w:pPr>
      <w:r>
        <w:rPr>
          <w:rFonts w:ascii="Book Antiqua" w:hAnsi="Book Antiqua" w:cs="Arial"/>
          <w:b/>
          <w:caps/>
        </w:rPr>
        <w:t xml:space="preserve">n a </w:t>
      </w:r>
      <w:proofErr w:type="spellStart"/>
      <w:proofErr w:type="gramStart"/>
      <w:r>
        <w:rPr>
          <w:rFonts w:ascii="Book Antiqua" w:hAnsi="Book Antiqua" w:cs="Arial"/>
          <w:b/>
          <w:caps/>
        </w:rPr>
        <w:t>a</w:t>
      </w:r>
      <w:proofErr w:type="spellEnd"/>
      <w:proofErr w:type="gramEnd"/>
      <w:r>
        <w:rPr>
          <w:rFonts w:ascii="Book Antiqua" w:hAnsi="Book Antiqua" w:cs="Arial"/>
          <w:b/>
          <w:caps/>
        </w:rPr>
        <w:t xml:space="preserve"> d</w:t>
      </w:r>
    </w:p>
    <w:p w:rsidR="00F13D39" w:rsidRPr="00CA5C34" w:rsidRDefault="00F13D39" w:rsidP="00F13D39">
      <w:pPr>
        <w:jc w:val="center"/>
        <w:rPr>
          <w:rFonts w:ascii="Book Antiqua" w:hAnsi="Book Antiqua" w:cs="Arial"/>
          <w:caps/>
        </w:rPr>
      </w:pPr>
      <w:r w:rsidRPr="00CA5C34">
        <w:rPr>
          <w:rFonts w:ascii="Book Antiqua" w:hAnsi="Book Antiqua" w:cs="Arial"/>
          <w:caps/>
        </w:rPr>
        <w:t xml:space="preserve">(ANONYMITY DIRECTION </w:t>
      </w:r>
      <w:r w:rsidR="00EA33C5" w:rsidRPr="00CA5C34">
        <w:rPr>
          <w:rFonts w:ascii="Book Antiqua" w:hAnsi="Book Antiqua" w:cs="Arial"/>
          <w:caps/>
        </w:rPr>
        <w:t>made</w:t>
      </w:r>
      <w:r w:rsidRPr="00CA5C34">
        <w:rPr>
          <w:rFonts w:ascii="Book Antiqua" w:hAnsi="Book Antiqua" w:cs="Arial"/>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CA5C34" w:rsidRPr="00F5664C" w:rsidRDefault="00CA5C34"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EA33C5">
        <w:rPr>
          <w:rFonts w:ascii="Book Antiqua" w:hAnsi="Book Antiqua" w:cs="Arial"/>
        </w:rPr>
        <w:t>Mr B Bedford of Counsel instructed by Freedom Solicitors</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EA33C5">
        <w:rPr>
          <w:rFonts w:ascii="Book Antiqua" w:hAnsi="Book Antiqua" w:cs="Arial"/>
        </w:rPr>
        <w:t xml:space="preserve">Mrs H </w:t>
      </w:r>
      <w:proofErr w:type="spellStart"/>
      <w:r w:rsidR="00EA33C5">
        <w:rPr>
          <w:rFonts w:ascii="Book Antiqua" w:hAnsi="Book Antiqua" w:cs="Arial"/>
        </w:rPr>
        <w:t>Aboni</w:t>
      </w:r>
      <w:proofErr w:type="spellEnd"/>
      <w:r w:rsidR="00EA33C5">
        <w:rPr>
          <w:rFonts w:ascii="Book Antiqua" w:hAnsi="Book Antiqua" w:cs="Arial"/>
        </w:rPr>
        <w:t xml:space="preserve">, Senior Home Office Presenting Officer </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F13D3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Default="00B626FA" w:rsidP="00402B9E">
      <w:pPr>
        <w:tabs>
          <w:tab w:val="left" w:pos="2520"/>
        </w:tabs>
        <w:jc w:val="both"/>
        <w:rPr>
          <w:rFonts w:ascii="Book Antiqua" w:hAnsi="Book Antiqua" w:cs="Arial"/>
        </w:rPr>
      </w:pPr>
    </w:p>
    <w:p w:rsidR="00EA33C5" w:rsidRPr="00EA33C5" w:rsidRDefault="00EA33C5" w:rsidP="00402B9E">
      <w:pPr>
        <w:tabs>
          <w:tab w:val="left" w:pos="2520"/>
        </w:tabs>
        <w:jc w:val="both"/>
        <w:rPr>
          <w:rFonts w:ascii="Book Antiqua" w:hAnsi="Book Antiqua" w:cs="Arial"/>
          <w:b/>
        </w:rPr>
      </w:pPr>
      <w:r>
        <w:rPr>
          <w:rFonts w:ascii="Book Antiqua" w:hAnsi="Book Antiqua" w:cs="Arial"/>
          <w:b/>
        </w:rPr>
        <w:t>Introduction and Background</w:t>
      </w:r>
    </w:p>
    <w:p w:rsidR="005E5DFF" w:rsidRDefault="00EA33C5" w:rsidP="005E5DFF">
      <w:pPr>
        <w:numPr>
          <w:ilvl w:val="0"/>
          <w:numId w:val="3"/>
        </w:numPr>
        <w:spacing w:before="240"/>
        <w:jc w:val="both"/>
        <w:rPr>
          <w:rFonts w:ascii="Book Antiqua" w:hAnsi="Book Antiqua" w:cs="Arial"/>
        </w:rPr>
      </w:pPr>
      <w:r>
        <w:rPr>
          <w:rFonts w:ascii="Book Antiqua" w:hAnsi="Book Antiqua" w:cs="Arial"/>
        </w:rPr>
        <w:t xml:space="preserve">The Appellant appeals against a decision of Judge Ghani (the judge) of the First-tier Tribunal (the </w:t>
      </w:r>
      <w:proofErr w:type="spellStart"/>
      <w:r>
        <w:rPr>
          <w:rFonts w:ascii="Book Antiqua" w:hAnsi="Book Antiqua" w:cs="Arial"/>
        </w:rPr>
        <w:t>FtT</w:t>
      </w:r>
      <w:proofErr w:type="spellEnd"/>
      <w:r>
        <w:rPr>
          <w:rFonts w:ascii="Book Antiqua" w:hAnsi="Book Antiqua" w:cs="Arial"/>
        </w:rPr>
        <w:t>) promulgated on 18</w:t>
      </w:r>
      <w:r w:rsidRPr="00EA33C5">
        <w:rPr>
          <w:rFonts w:ascii="Book Antiqua" w:hAnsi="Book Antiqua" w:cs="Arial"/>
          <w:vertAlign w:val="superscript"/>
        </w:rPr>
        <w:t>th</w:t>
      </w:r>
      <w:r>
        <w:rPr>
          <w:rFonts w:ascii="Book Antiqua" w:hAnsi="Book Antiqua" w:cs="Arial"/>
        </w:rPr>
        <w:t xml:space="preserve"> April 2017.</w:t>
      </w:r>
    </w:p>
    <w:p w:rsidR="00EA33C5" w:rsidRDefault="00EA33C5" w:rsidP="005E5DFF">
      <w:pPr>
        <w:numPr>
          <w:ilvl w:val="0"/>
          <w:numId w:val="3"/>
        </w:numPr>
        <w:spacing w:before="240"/>
        <w:jc w:val="both"/>
        <w:rPr>
          <w:rFonts w:ascii="Book Antiqua" w:hAnsi="Book Antiqua" w:cs="Arial"/>
        </w:rPr>
      </w:pPr>
      <w:r>
        <w:rPr>
          <w:rFonts w:ascii="Book Antiqua" w:hAnsi="Book Antiqua" w:cs="Arial"/>
        </w:rPr>
        <w:t>The Appellant is a female citizen of Iraq born 24</w:t>
      </w:r>
      <w:r w:rsidRPr="00EA33C5">
        <w:rPr>
          <w:rFonts w:ascii="Book Antiqua" w:hAnsi="Book Antiqua" w:cs="Arial"/>
          <w:vertAlign w:val="superscript"/>
        </w:rPr>
        <w:t>th</w:t>
      </w:r>
      <w:r>
        <w:rPr>
          <w:rFonts w:ascii="Book Antiqua" w:hAnsi="Book Antiqua" w:cs="Arial"/>
        </w:rPr>
        <w:t xml:space="preserve"> March 1960.  She claimed asylum on the basis that her husband was a member of the Ba’ath Party in Iraq.  </w:t>
      </w:r>
      <w:r w:rsidR="000A7929">
        <w:rPr>
          <w:rFonts w:ascii="Book Antiqua" w:hAnsi="Book Antiqua" w:cs="Arial"/>
        </w:rPr>
        <w:t>She is separated from him</w:t>
      </w:r>
      <w:r>
        <w:rPr>
          <w:rFonts w:ascii="Book Antiqua" w:hAnsi="Book Antiqua" w:cs="Arial"/>
        </w:rPr>
        <w:t xml:space="preserve"> and if returned to Iraq she would be returned as a lone woman.  </w:t>
      </w:r>
    </w:p>
    <w:p w:rsidR="00EA33C5" w:rsidRDefault="00EA33C5" w:rsidP="00EA33C5">
      <w:pPr>
        <w:numPr>
          <w:ilvl w:val="0"/>
          <w:numId w:val="3"/>
        </w:numPr>
        <w:spacing w:before="240"/>
        <w:jc w:val="both"/>
        <w:rPr>
          <w:rFonts w:ascii="Book Antiqua" w:hAnsi="Book Antiqua" w:cs="Arial"/>
        </w:rPr>
      </w:pPr>
      <w:r>
        <w:rPr>
          <w:rFonts w:ascii="Book Antiqua" w:hAnsi="Book Antiqua" w:cs="Arial"/>
        </w:rPr>
        <w:t>The asylum and human rights claim was refused on 5</w:t>
      </w:r>
      <w:r w:rsidRPr="00EA33C5">
        <w:rPr>
          <w:rFonts w:ascii="Book Antiqua" w:hAnsi="Book Antiqua" w:cs="Arial"/>
          <w:vertAlign w:val="superscript"/>
        </w:rPr>
        <w:t>th</w:t>
      </w:r>
      <w:r>
        <w:rPr>
          <w:rFonts w:ascii="Book Antiqua" w:hAnsi="Book Antiqua" w:cs="Arial"/>
        </w:rPr>
        <w:t xml:space="preserve"> August 2016 and the appeal heard by the </w:t>
      </w:r>
      <w:proofErr w:type="spellStart"/>
      <w:r>
        <w:rPr>
          <w:rFonts w:ascii="Book Antiqua" w:hAnsi="Book Antiqua" w:cs="Arial"/>
        </w:rPr>
        <w:t>FtT</w:t>
      </w:r>
      <w:proofErr w:type="spellEnd"/>
      <w:r>
        <w:rPr>
          <w:rFonts w:ascii="Book Antiqua" w:hAnsi="Book Antiqua" w:cs="Arial"/>
        </w:rPr>
        <w:t xml:space="preserve"> on 7</w:t>
      </w:r>
      <w:r w:rsidRPr="00EA33C5">
        <w:rPr>
          <w:rFonts w:ascii="Book Antiqua" w:hAnsi="Book Antiqua" w:cs="Arial"/>
          <w:vertAlign w:val="superscript"/>
        </w:rPr>
        <w:t>th</w:t>
      </w:r>
      <w:r>
        <w:rPr>
          <w:rFonts w:ascii="Book Antiqua" w:hAnsi="Book Antiqua" w:cs="Arial"/>
        </w:rPr>
        <w:t xml:space="preserve"> March 2017.</w:t>
      </w:r>
    </w:p>
    <w:p w:rsidR="005419DD" w:rsidRDefault="005419DD" w:rsidP="00EA33C5">
      <w:pPr>
        <w:numPr>
          <w:ilvl w:val="0"/>
          <w:numId w:val="3"/>
        </w:numPr>
        <w:spacing w:before="240"/>
        <w:jc w:val="both"/>
        <w:rPr>
          <w:rFonts w:ascii="Book Antiqua" w:hAnsi="Book Antiqua" w:cs="Arial"/>
        </w:rPr>
      </w:pPr>
      <w:r>
        <w:rPr>
          <w:rFonts w:ascii="Book Antiqua" w:hAnsi="Book Antiqua" w:cs="Arial"/>
        </w:rPr>
        <w:lastRenderedPageBreak/>
        <w:t xml:space="preserve">The judge heard evidence from the Appellant and did not accept that she had given a credible account.  The </w:t>
      </w:r>
      <w:r w:rsidR="0070783C">
        <w:rPr>
          <w:rFonts w:ascii="Book Antiqua" w:hAnsi="Book Antiqua" w:cs="Arial"/>
        </w:rPr>
        <w:t xml:space="preserve">Appellant </w:t>
      </w:r>
      <w:r>
        <w:rPr>
          <w:rFonts w:ascii="Book Antiqua" w:hAnsi="Book Antiqua" w:cs="Arial"/>
        </w:rPr>
        <w:t>had claimed that she had visited Iraq in January 2016 and armed kidnappers were looking for her, but when they did not find her, they kidnapped one o</w:t>
      </w:r>
      <w:r w:rsidR="008E0930">
        <w:rPr>
          <w:rFonts w:ascii="Book Antiqua" w:hAnsi="Book Antiqua" w:cs="Arial"/>
        </w:rPr>
        <w:t>f her husband’s sisters who was</w:t>
      </w:r>
      <w:r>
        <w:rPr>
          <w:rFonts w:ascii="Book Antiqua" w:hAnsi="Book Antiqua" w:cs="Arial"/>
        </w:rPr>
        <w:t xml:space="preserve"> subsequently murdered.  The appeal was dismissed on all grounds.</w:t>
      </w:r>
    </w:p>
    <w:p w:rsidR="005419DD" w:rsidRDefault="005419DD" w:rsidP="00EA33C5">
      <w:pPr>
        <w:numPr>
          <w:ilvl w:val="0"/>
          <w:numId w:val="3"/>
        </w:numPr>
        <w:spacing w:before="240"/>
        <w:jc w:val="both"/>
        <w:rPr>
          <w:rFonts w:ascii="Book Antiqua" w:hAnsi="Book Antiqua" w:cs="Arial"/>
        </w:rPr>
      </w:pPr>
      <w:r>
        <w:rPr>
          <w:rFonts w:ascii="Book Antiqua" w:hAnsi="Book Antiqua" w:cs="Arial"/>
        </w:rPr>
        <w:t xml:space="preserve">The </w:t>
      </w:r>
      <w:r w:rsidR="002A6484">
        <w:rPr>
          <w:rFonts w:ascii="Book Antiqua" w:hAnsi="Book Antiqua" w:cs="Arial"/>
        </w:rPr>
        <w:t xml:space="preserve">Appellant </w:t>
      </w:r>
      <w:r>
        <w:rPr>
          <w:rFonts w:ascii="Book Antiqua" w:hAnsi="Book Antiqua" w:cs="Arial"/>
        </w:rPr>
        <w:t>applied for permission to appeal to the Upper Tribunal, and her initial application was refused by Judge Pedro.  The Appellant thereafter renewed her application which I summarise below.</w:t>
      </w:r>
    </w:p>
    <w:p w:rsidR="005419DD" w:rsidRDefault="005419DD" w:rsidP="00EA33C5">
      <w:pPr>
        <w:numPr>
          <w:ilvl w:val="0"/>
          <w:numId w:val="3"/>
        </w:numPr>
        <w:spacing w:before="240"/>
        <w:jc w:val="both"/>
        <w:rPr>
          <w:rFonts w:ascii="Book Antiqua" w:hAnsi="Book Antiqua" w:cs="Arial"/>
        </w:rPr>
      </w:pPr>
      <w:proofErr w:type="gramStart"/>
      <w:r>
        <w:rPr>
          <w:rFonts w:ascii="Book Antiqua" w:hAnsi="Book Antiqua" w:cs="Arial"/>
        </w:rPr>
        <w:t>Firstly</w:t>
      </w:r>
      <w:proofErr w:type="gramEnd"/>
      <w:r>
        <w:rPr>
          <w:rFonts w:ascii="Book Antiqua" w:hAnsi="Book Antiqua" w:cs="Arial"/>
        </w:rPr>
        <w:t xml:space="preserve"> the judge erred in his approach to the Appellant being at risk from family members of individuals who were victims of the Appellant’s husband when he was in the Ba’ath Party.  It was contended that the judge did not adequately consider the Appellant’s </w:t>
      </w:r>
      <w:r w:rsidR="0070783C">
        <w:rPr>
          <w:rFonts w:ascii="Book Antiqua" w:hAnsi="Book Antiqua" w:cs="Arial"/>
        </w:rPr>
        <w:t>explanation that the families of the victims were powerful in the region and would take revenge even when many years had passed.  It was submitted that the judge had failed to look at the evidence in the round.</w:t>
      </w:r>
    </w:p>
    <w:p w:rsidR="00F61A42" w:rsidRDefault="00F61A42" w:rsidP="00EA33C5">
      <w:pPr>
        <w:numPr>
          <w:ilvl w:val="0"/>
          <w:numId w:val="3"/>
        </w:numPr>
        <w:spacing w:before="240"/>
        <w:jc w:val="both"/>
        <w:rPr>
          <w:rFonts w:ascii="Book Antiqua" w:hAnsi="Book Antiqua" w:cs="Arial"/>
        </w:rPr>
      </w:pPr>
      <w:r>
        <w:rPr>
          <w:rFonts w:ascii="Book Antiqua" w:hAnsi="Book Antiqua" w:cs="Arial"/>
        </w:rPr>
        <w:t xml:space="preserve">Secondly the judge had erred by failing to consider that the Appellant would be alone if returned to Iraq.  Her parents have passed away and her elder brother is now 71 years of age and in Kirkuk, and her younger brother and his wife had passed away.  The Appellant has a sister who lives in the USA.  </w:t>
      </w:r>
    </w:p>
    <w:p w:rsidR="00F61A42" w:rsidRDefault="00F61A42" w:rsidP="00EA33C5">
      <w:pPr>
        <w:numPr>
          <w:ilvl w:val="0"/>
          <w:numId w:val="3"/>
        </w:numPr>
        <w:spacing w:before="240"/>
        <w:jc w:val="both"/>
        <w:rPr>
          <w:rFonts w:ascii="Book Antiqua" w:hAnsi="Book Antiqua" w:cs="Arial"/>
        </w:rPr>
      </w:pPr>
      <w:r>
        <w:rPr>
          <w:rFonts w:ascii="Book Antiqua" w:hAnsi="Book Antiqua" w:cs="Arial"/>
        </w:rPr>
        <w:t>Thirdly the judge erred in requiring corroborative evidence that the sister of the Appellant’s husband had been killed.  There is no requirement of corroboration.  A medical report had been submitted.</w:t>
      </w:r>
    </w:p>
    <w:p w:rsidR="00F61A42" w:rsidRDefault="00F61A42" w:rsidP="00EA33C5">
      <w:pPr>
        <w:numPr>
          <w:ilvl w:val="0"/>
          <w:numId w:val="3"/>
        </w:numPr>
        <w:spacing w:before="240"/>
        <w:jc w:val="both"/>
        <w:rPr>
          <w:rFonts w:ascii="Book Antiqua" w:hAnsi="Book Antiqua" w:cs="Arial"/>
        </w:rPr>
      </w:pPr>
      <w:r>
        <w:rPr>
          <w:rFonts w:ascii="Book Antiqua" w:hAnsi="Book Antiqua" w:cs="Arial"/>
        </w:rPr>
        <w:t xml:space="preserve">Fourthly the judge erred in making adverse credibility findings against the Appellant.  The judge failed to </w:t>
      </w:r>
      <w:proofErr w:type="gramStart"/>
      <w:r>
        <w:rPr>
          <w:rFonts w:ascii="Book Antiqua" w:hAnsi="Book Antiqua" w:cs="Arial"/>
        </w:rPr>
        <w:t>take into account</w:t>
      </w:r>
      <w:proofErr w:type="gramEnd"/>
      <w:r>
        <w:rPr>
          <w:rFonts w:ascii="Book Antiqua" w:hAnsi="Book Antiqua" w:cs="Arial"/>
        </w:rPr>
        <w:t xml:space="preserve"> what had happened to the Appellant in Iraq and her fear of return.  It was submitted that the findings made by the judge were mostly based on opinion and not fact.</w:t>
      </w:r>
    </w:p>
    <w:p w:rsidR="00F61A42" w:rsidRDefault="00F61A42" w:rsidP="00EA33C5">
      <w:pPr>
        <w:numPr>
          <w:ilvl w:val="0"/>
          <w:numId w:val="3"/>
        </w:numPr>
        <w:spacing w:before="240"/>
        <w:jc w:val="both"/>
        <w:rPr>
          <w:rFonts w:ascii="Book Antiqua" w:hAnsi="Book Antiqua" w:cs="Arial"/>
        </w:rPr>
      </w:pPr>
      <w:r>
        <w:rPr>
          <w:rFonts w:ascii="Book Antiqua" w:hAnsi="Book Antiqua" w:cs="Arial"/>
        </w:rPr>
        <w:t>Permission to appeal was granted by Upper Tribunal Judge McWilliam in the following terms;</w:t>
      </w:r>
    </w:p>
    <w:p w:rsidR="00F61A42" w:rsidRPr="00F61A42" w:rsidRDefault="00F61A42" w:rsidP="00F61A42">
      <w:pPr>
        <w:spacing w:before="240"/>
        <w:ind w:left="1134"/>
        <w:jc w:val="both"/>
        <w:rPr>
          <w:rFonts w:ascii="Book Antiqua" w:hAnsi="Book Antiqua" w:cs="Arial"/>
          <w:sz w:val="22"/>
          <w:szCs w:val="22"/>
        </w:rPr>
      </w:pPr>
      <w:r w:rsidRPr="00F61A42">
        <w:rPr>
          <w:rFonts w:ascii="Book Antiqua" w:hAnsi="Book Antiqua" w:cs="Arial"/>
          <w:sz w:val="22"/>
          <w:szCs w:val="22"/>
        </w:rPr>
        <w:t>“The Appellant is not represented.</w:t>
      </w:r>
    </w:p>
    <w:p w:rsidR="00F61A42" w:rsidRPr="00F61A42" w:rsidRDefault="00F61A42" w:rsidP="00F61A42">
      <w:pPr>
        <w:spacing w:before="240"/>
        <w:ind w:left="1134"/>
        <w:jc w:val="both"/>
        <w:rPr>
          <w:rFonts w:ascii="Book Antiqua" w:hAnsi="Book Antiqua" w:cs="Arial"/>
          <w:sz w:val="22"/>
          <w:szCs w:val="22"/>
        </w:rPr>
      </w:pPr>
      <w:r w:rsidRPr="00F61A42">
        <w:rPr>
          <w:rFonts w:ascii="Book Antiqua" w:hAnsi="Book Antiqua" w:cs="Arial"/>
          <w:sz w:val="22"/>
          <w:szCs w:val="22"/>
        </w:rPr>
        <w:t xml:space="preserve">Whilst </w:t>
      </w:r>
      <w:proofErr w:type="gramStart"/>
      <w:r w:rsidRPr="00F61A42">
        <w:rPr>
          <w:rFonts w:ascii="Book Antiqua" w:hAnsi="Book Antiqua" w:cs="Arial"/>
          <w:sz w:val="22"/>
          <w:szCs w:val="22"/>
        </w:rPr>
        <w:t>it is clear that the</w:t>
      </w:r>
      <w:proofErr w:type="gramEnd"/>
      <w:r w:rsidRPr="00F61A42">
        <w:rPr>
          <w:rFonts w:ascii="Book Antiqua" w:hAnsi="Book Antiqua" w:cs="Arial"/>
          <w:sz w:val="22"/>
          <w:szCs w:val="22"/>
        </w:rPr>
        <w:t xml:space="preserve"> judge found the Appellant’s evidence in relation to the provenance of the police letter of 26 January and the medical evidence (I believe that this is the document in the Respondent’s bundle marked ‘autopsy forensic medical report’) problematic, it is arguable that the judge did not make clear what weight she attached to the documents in the context of the evidence as a whole.”</w:t>
      </w:r>
    </w:p>
    <w:p w:rsidR="00F61A42" w:rsidRDefault="00F61A42" w:rsidP="00EA33C5">
      <w:pPr>
        <w:numPr>
          <w:ilvl w:val="0"/>
          <w:numId w:val="3"/>
        </w:numPr>
        <w:spacing w:before="240"/>
        <w:jc w:val="both"/>
        <w:rPr>
          <w:rFonts w:ascii="Book Antiqua" w:hAnsi="Book Antiqua" w:cs="Arial"/>
        </w:rPr>
      </w:pPr>
      <w:r>
        <w:rPr>
          <w:rFonts w:ascii="Book Antiqua" w:hAnsi="Book Antiqua" w:cs="Arial"/>
        </w:rPr>
        <w:t xml:space="preserve">Following the grant of </w:t>
      </w:r>
      <w:proofErr w:type="gramStart"/>
      <w:r>
        <w:rPr>
          <w:rFonts w:ascii="Book Antiqua" w:hAnsi="Book Antiqua" w:cs="Arial"/>
        </w:rPr>
        <w:t>permission</w:t>
      </w:r>
      <w:proofErr w:type="gramEnd"/>
      <w:r>
        <w:rPr>
          <w:rFonts w:ascii="Book Antiqua" w:hAnsi="Book Antiqua" w:cs="Arial"/>
        </w:rPr>
        <w:t xml:space="preserve"> the Respondent lodged a response pursuant to rule 24 of the Tribunal Procedure (Upper Tribunal) Rules 2008.  In brief it was submitted that the judge had considered all the evidence that was available to him, and the grounds had no merit and amounted to a disagreement with the adverse outcome of the appeal.  </w:t>
      </w:r>
    </w:p>
    <w:p w:rsidR="00F61A42" w:rsidRDefault="00F61A42" w:rsidP="00EA33C5">
      <w:pPr>
        <w:numPr>
          <w:ilvl w:val="0"/>
          <w:numId w:val="3"/>
        </w:numPr>
        <w:spacing w:before="240"/>
        <w:jc w:val="both"/>
        <w:rPr>
          <w:rFonts w:ascii="Book Antiqua" w:hAnsi="Book Antiqua" w:cs="Arial"/>
        </w:rPr>
      </w:pPr>
      <w:r>
        <w:rPr>
          <w:rFonts w:ascii="Book Antiqua" w:hAnsi="Book Antiqua" w:cs="Arial"/>
        </w:rPr>
        <w:t xml:space="preserve">Directions were issued that there should be a hearing before the Upper Tribunal to ascertain whether the </w:t>
      </w:r>
      <w:proofErr w:type="spellStart"/>
      <w:r>
        <w:rPr>
          <w:rFonts w:ascii="Book Antiqua" w:hAnsi="Book Antiqua" w:cs="Arial"/>
        </w:rPr>
        <w:t>FtT</w:t>
      </w:r>
      <w:proofErr w:type="spellEnd"/>
      <w:r>
        <w:rPr>
          <w:rFonts w:ascii="Book Antiqua" w:hAnsi="Book Antiqua" w:cs="Arial"/>
        </w:rPr>
        <w:t xml:space="preserve"> had erred in law such that the decision should be set aside.</w:t>
      </w:r>
    </w:p>
    <w:p w:rsidR="00F61A42" w:rsidRPr="00F61A42" w:rsidRDefault="00F61A42" w:rsidP="00F61A42">
      <w:pPr>
        <w:spacing w:before="240"/>
        <w:jc w:val="both"/>
        <w:rPr>
          <w:rFonts w:ascii="Book Antiqua" w:hAnsi="Book Antiqua" w:cs="Arial"/>
          <w:b/>
        </w:rPr>
      </w:pPr>
      <w:r>
        <w:rPr>
          <w:rFonts w:ascii="Book Antiqua" w:hAnsi="Book Antiqua" w:cs="Arial"/>
          <w:b/>
        </w:rPr>
        <w:lastRenderedPageBreak/>
        <w:t>The Upper Tribunal Hearing</w:t>
      </w:r>
    </w:p>
    <w:p w:rsidR="00F61A42" w:rsidRDefault="00F61A42" w:rsidP="00EA33C5">
      <w:pPr>
        <w:numPr>
          <w:ilvl w:val="0"/>
          <w:numId w:val="3"/>
        </w:numPr>
        <w:spacing w:before="240"/>
        <w:jc w:val="both"/>
        <w:rPr>
          <w:rFonts w:ascii="Book Antiqua" w:hAnsi="Book Antiqua" w:cs="Arial"/>
        </w:rPr>
      </w:pPr>
      <w:r>
        <w:rPr>
          <w:rFonts w:ascii="Book Antiqua" w:hAnsi="Book Antiqua" w:cs="Arial"/>
        </w:rPr>
        <w:t xml:space="preserve">Mr Bedford submitted that the Appellant’s case before the </w:t>
      </w:r>
      <w:proofErr w:type="spellStart"/>
      <w:r>
        <w:rPr>
          <w:rFonts w:ascii="Book Antiqua" w:hAnsi="Book Antiqua" w:cs="Arial"/>
        </w:rPr>
        <w:t>FtT</w:t>
      </w:r>
      <w:proofErr w:type="spellEnd"/>
      <w:r>
        <w:rPr>
          <w:rFonts w:ascii="Book Antiqua" w:hAnsi="Book Antiqua" w:cs="Arial"/>
        </w:rPr>
        <w:t xml:space="preserve"> was that she would be at risk if returned to Iraq because of her husband’s membership of the Ba’ath Party.  The death of the husband’s sister during the Appellant’s visit to Iraq in January 2016 showed that the Appellant would be at risk, as the husband’s sister had been taken by </w:t>
      </w:r>
      <w:r w:rsidR="00C07D56">
        <w:rPr>
          <w:rFonts w:ascii="Book Antiqua" w:hAnsi="Book Antiqua" w:cs="Arial"/>
        </w:rPr>
        <w:t xml:space="preserve">gunmen looking for the Appellant. </w:t>
      </w:r>
    </w:p>
    <w:p w:rsidR="00C07D56" w:rsidRDefault="00C07D56" w:rsidP="00EA33C5">
      <w:pPr>
        <w:numPr>
          <w:ilvl w:val="0"/>
          <w:numId w:val="3"/>
        </w:numPr>
        <w:spacing w:before="240"/>
        <w:jc w:val="both"/>
        <w:rPr>
          <w:rFonts w:ascii="Book Antiqua" w:hAnsi="Book Antiqua" w:cs="Arial"/>
        </w:rPr>
      </w:pPr>
      <w:r>
        <w:rPr>
          <w:rFonts w:ascii="Book Antiqua" w:hAnsi="Book Antiqua" w:cs="Arial"/>
        </w:rPr>
        <w:t xml:space="preserve">It was submitted that the judge had erred by not adequately considering the documentary evidence produced in support of the Appellant’s claim.  These documents were </w:t>
      </w:r>
      <w:proofErr w:type="gramStart"/>
      <w:r>
        <w:rPr>
          <w:rFonts w:ascii="Book Antiqua" w:hAnsi="Book Antiqua" w:cs="Arial"/>
        </w:rPr>
        <w:t>a police</w:t>
      </w:r>
      <w:proofErr w:type="gramEnd"/>
      <w:r>
        <w:rPr>
          <w:rFonts w:ascii="Book Antiqua" w:hAnsi="Book Antiqua" w:cs="Arial"/>
        </w:rPr>
        <w:t xml:space="preserve"> report the translation of which is at page 36 of the Appellant’s bundle, and an autopsy forensic medical report a translation of which starts at page 38 of the Appellant’s bundle.  Mr Bedford submitted that at paragraph 38 of the </w:t>
      </w:r>
      <w:proofErr w:type="spellStart"/>
      <w:r>
        <w:rPr>
          <w:rFonts w:ascii="Book Antiqua" w:hAnsi="Book Antiqua" w:cs="Arial"/>
        </w:rPr>
        <w:t>FtT</w:t>
      </w:r>
      <w:proofErr w:type="spellEnd"/>
      <w:r>
        <w:rPr>
          <w:rFonts w:ascii="Book Antiqua" w:hAnsi="Book Antiqua" w:cs="Arial"/>
        </w:rPr>
        <w:t xml:space="preserve"> decision, the judge when referring to </w:t>
      </w:r>
      <w:r w:rsidRPr="00C07D56">
        <w:rPr>
          <w:rFonts w:ascii="Book Antiqua" w:hAnsi="Book Antiqua" w:cs="Arial"/>
          <w:u w:val="single"/>
        </w:rPr>
        <w:t>Tanveer Ahmed</w:t>
      </w:r>
      <w:r>
        <w:rPr>
          <w:rFonts w:ascii="Book Antiqua" w:hAnsi="Book Antiqua" w:cs="Arial"/>
        </w:rPr>
        <w:t xml:space="preserve"> and documentary evidence, was in fact referring</w:t>
      </w:r>
      <w:r w:rsidR="00FC06ED">
        <w:rPr>
          <w:rFonts w:ascii="Book Antiqua" w:hAnsi="Book Antiqua" w:cs="Arial"/>
        </w:rPr>
        <w:t xml:space="preserve"> just</w:t>
      </w:r>
      <w:r>
        <w:rPr>
          <w:rFonts w:ascii="Book Antiqua" w:hAnsi="Book Antiqua" w:cs="Arial"/>
        </w:rPr>
        <w:t xml:space="preserve"> to the flight tickets to the USA</w:t>
      </w:r>
      <w:r w:rsidR="00FC06ED">
        <w:rPr>
          <w:rFonts w:ascii="Book Antiqua" w:hAnsi="Book Antiqua" w:cs="Arial"/>
        </w:rPr>
        <w:t>.</w:t>
      </w:r>
    </w:p>
    <w:p w:rsidR="00C07D56" w:rsidRDefault="00C07D56" w:rsidP="00EA33C5">
      <w:pPr>
        <w:numPr>
          <w:ilvl w:val="0"/>
          <w:numId w:val="3"/>
        </w:numPr>
        <w:spacing w:before="240"/>
        <w:jc w:val="both"/>
        <w:rPr>
          <w:rFonts w:ascii="Book Antiqua" w:hAnsi="Book Antiqua" w:cs="Arial"/>
        </w:rPr>
      </w:pPr>
      <w:r>
        <w:rPr>
          <w:rFonts w:ascii="Book Antiqua" w:hAnsi="Book Antiqua" w:cs="Arial"/>
        </w:rPr>
        <w:t xml:space="preserve">Mr Bedford relied upon European case law.  He referred to </w:t>
      </w:r>
      <w:r w:rsidRPr="00C07D56">
        <w:rPr>
          <w:rFonts w:ascii="Book Antiqua" w:hAnsi="Book Antiqua" w:cs="Arial"/>
          <w:u w:val="single"/>
        </w:rPr>
        <w:t>RC v Sweden</w:t>
      </w:r>
      <w:r>
        <w:rPr>
          <w:rFonts w:ascii="Book Antiqua" w:hAnsi="Book Antiqua" w:cs="Arial"/>
        </w:rPr>
        <w:t xml:space="preserve"> (No. 41827/07) a decision of the European Court of Human Rights dated 9</w:t>
      </w:r>
      <w:r w:rsidRPr="00C07D56">
        <w:rPr>
          <w:rFonts w:ascii="Book Antiqua" w:hAnsi="Book Antiqua" w:cs="Arial"/>
          <w:vertAlign w:val="superscript"/>
        </w:rPr>
        <w:t>th</w:t>
      </w:r>
      <w:r>
        <w:rPr>
          <w:rFonts w:ascii="Book Antiqua" w:hAnsi="Book Antiqua" w:cs="Arial"/>
        </w:rPr>
        <w:t xml:space="preserve"> March 2010.  </w:t>
      </w:r>
      <w:r w:rsidR="00F46B40">
        <w:rPr>
          <w:rFonts w:ascii="Book Antiqua" w:hAnsi="Book Antiqua" w:cs="Arial"/>
        </w:rPr>
        <w:t>Reference was made to paragraph</w:t>
      </w:r>
      <w:r w:rsidR="008E0930">
        <w:rPr>
          <w:rFonts w:ascii="Book Antiqua" w:hAnsi="Book Antiqua" w:cs="Arial"/>
        </w:rPr>
        <w:t xml:space="preserve">s </w:t>
      </w:r>
      <w:r w:rsidR="00F46B40">
        <w:rPr>
          <w:rFonts w:ascii="Book Antiqua" w:hAnsi="Book Antiqua" w:cs="Arial"/>
        </w:rPr>
        <w:t xml:space="preserve">50 and 53 and it was submitted that when documents were submitted by an asylum seeker capable of proving that there are substantial grounds for believing that he would be at risk, it is for the government to dispel any doubts about that evidence.  </w:t>
      </w:r>
    </w:p>
    <w:p w:rsidR="00702D96" w:rsidRDefault="00702D96" w:rsidP="00EA33C5">
      <w:pPr>
        <w:numPr>
          <w:ilvl w:val="0"/>
          <w:numId w:val="3"/>
        </w:numPr>
        <w:spacing w:before="240"/>
        <w:jc w:val="both"/>
        <w:rPr>
          <w:rFonts w:ascii="Book Antiqua" w:hAnsi="Book Antiqua" w:cs="Arial"/>
        </w:rPr>
      </w:pPr>
      <w:r>
        <w:rPr>
          <w:rFonts w:ascii="Book Antiqua" w:hAnsi="Book Antiqua" w:cs="Arial"/>
        </w:rPr>
        <w:t xml:space="preserve">Reference was also made to </w:t>
      </w:r>
      <w:r w:rsidRPr="00702D96">
        <w:rPr>
          <w:rFonts w:ascii="Book Antiqua" w:hAnsi="Book Antiqua" w:cs="Arial"/>
          <w:u w:val="single"/>
        </w:rPr>
        <w:t>MA v Switzerland</w:t>
      </w:r>
      <w:r>
        <w:rPr>
          <w:rFonts w:ascii="Book Antiqua" w:hAnsi="Book Antiqua" w:cs="Arial"/>
        </w:rPr>
        <w:t xml:space="preserve"> (Application No. 52589/13), another European </w:t>
      </w:r>
      <w:r w:rsidR="00145AC2">
        <w:rPr>
          <w:rFonts w:ascii="Book Antiqua" w:hAnsi="Book Antiqua" w:cs="Arial"/>
        </w:rPr>
        <w:t>Court of Human Rights decision, dated 18</w:t>
      </w:r>
      <w:r w:rsidR="00145AC2" w:rsidRPr="00145AC2">
        <w:rPr>
          <w:rFonts w:ascii="Book Antiqua" w:hAnsi="Book Antiqua" w:cs="Arial"/>
          <w:vertAlign w:val="superscript"/>
        </w:rPr>
        <w:t>th</w:t>
      </w:r>
      <w:r w:rsidR="00145AC2">
        <w:rPr>
          <w:rFonts w:ascii="Book Antiqua" w:hAnsi="Book Antiqua" w:cs="Arial"/>
        </w:rPr>
        <w:t xml:space="preserve"> February 2015.  Reference was made to paragraphs 55, 62, 64 and 65.  It was submitted that this case is authority </w:t>
      </w:r>
      <w:r w:rsidR="00984D3B">
        <w:rPr>
          <w:rFonts w:ascii="Book Antiqua" w:hAnsi="Book Antiqua" w:cs="Arial"/>
        </w:rPr>
        <w:t>that</w:t>
      </w:r>
      <w:r w:rsidR="00145AC2">
        <w:rPr>
          <w:rFonts w:ascii="Book Antiqua" w:hAnsi="Book Antiqua" w:cs="Arial"/>
        </w:rPr>
        <w:t xml:space="preserve"> in relation to the burden of proof, </w:t>
      </w:r>
      <w:r w:rsidR="00984D3B">
        <w:rPr>
          <w:rFonts w:ascii="Book Antiqua" w:hAnsi="Book Antiqua" w:cs="Arial"/>
        </w:rPr>
        <w:t>if</w:t>
      </w:r>
      <w:r w:rsidR="00145AC2">
        <w:rPr>
          <w:rFonts w:ascii="Book Antiqua" w:hAnsi="Book Antiqua" w:cs="Arial"/>
        </w:rPr>
        <w:t xml:space="preserve"> evidence is adduced capable of proving there are substantial grounds for believing that the Appellant would be at real risk, it is for the government to dispel any doubts about that evidence</w:t>
      </w:r>
      <w:r w:rsidR="00984D3B">
        <w:rPr>
          <w:rFonts w:ascii="Book Antiqua" w:hAnsi="Book Antiqua" w:cs="Arial"/>
        </w:rPr>
        <w:t xml:space="preserve"> and</w:t>
      </w:r>
      <w:r w:rsidR="00145AC2">
        <w:rPr>
          <w:rFonts w:ascii="Book Antiqua" w:hAnsi="Book Antiqua" w:cs="Arial"/>
        </w:rPr>
        <w:t xml:space="preserve"> the court must </w:t>
      </w:r>
      <w:proofErr w:type="gramStart"/>
      <w:r w:rsidR="00145AC2">
        <w:rPr>
          <w:rFonts w:ascii="Book Antiqua" w:hAnsi="Book Antiqua" w:cs="Arial"/>
        </w:rPr>
        <w:t>take into account</w:t>
      </w:r>
      <w:proofErr w:type="gramEnd"/>
      <w:r w:rsidR="00145AC2">
        <w:rPr>
          <w:rFonts w:ascii="Book Antiqua" w:hAnsi="Book Antiqua" w:cs="Arial"/>
        </w:rPr>
        <w:t xml:space="preserve"> the particular situation of asylum seekers and their special difficulties in providing full proof of persecution.</w:t>
      </w:r>
    </w:p>
    <w:p w:rsidR="003666D3" w:rsidRDefault="00145AC2" w:rsidP="00EA33C5">
      <w:pPr>
        <w:numPr>
          <w:ilvl w:val="0"/>
          <w:numId w:val="3"/>
        </w:numPr>
        <w:spacing w:before="240"/>
        <w:jc w:val="both"/>
        <w:rPr>
          <w:rFonts w:ascii="Book Antiqua" w:hAnsi="Book Antiqua" w:cs="Arial"/>
        </w:rPr>
      </w:pPr>
      <w:r>
        <w:rPr>
          <w:rFonts w:ascii="Book Antiqua" w:hAnsi="Book Antiqua" w:cs="Arial"/>
        </w:rPr>
        <w:t>Mr Bedford submitted that the judge had given no individual consideration to the document</w:t>
      </w:r>
      <w:r w:rsidR="0092239B">
        <w:rPr>
          <w:rFonts w:ascii="Book Antiqua" w:hAnsi="Book Antiqua" w:cs="Arial"/>
        </w:rPr>
        <w:t>s</w:t>
      </w:r>
      <w:r>
        <w:rPr>
          <w:rFonts w:ascii="Book Antiqua" w:hAnsi="Book Antiqua" w:cs="Arial"/>
        </w:rPr>
        <w:t xml:space="preserve"> submitted by the Appellant, and no weight had been placed on the documents simply because the judge did not find the Appellant’s account to be cre</w:t>
      </w:r>
      <w:r w:rsidR="0092239B">
        <w:rPr>
          <w:rFonts w:ascii="Book Antiqua" w:hAnsi="Book Antiqua" w:cs="Arial"/>
        </w:rPr>
        <w:t>dible.  It was submitted that this</w:t>
      </w:r>
      <w:r>
        <w:rPr>
          <w:rFonts w:ascii="Book Antiqua" w:hAnsi="Book Antiqua" w:cs="Arial"/>
        </w:rPr>
        <w:t xml:space="preserve"> is contrary to the European Court of Human Rights case law referred to above.  </w:t>
      </w:r>
    </w:p>
    <w:p w:rsidR="003666D3" w:rsidRDefault="003666D3" w:rsidP="00EA33C5">
      <w:pPr>
        <w:numPr>
          <w:ilvl w:val="0"/>
          <w:numId w:val="3"/>
        </w:numPr>
        <w:spacing w:before="240"/>
        <w:jc w:val="both"/>
        <w:rPr>
          <w:rFonts w:ascii="Book Antiqua" w:hAnsi="Book Antiqua" w:cs="Arial"/>
        </w:rPr>
      </w:pPr>
      <w:r>
        <w:rPr>
          <w:rFonts w:ascii="Book Antiqua" w:hAnsi="Book Antiqua" w:cs="Arial"/>
        </w:rPr>
        <w:t xml:space="preserve">On behalf of the Respondent Mrs </w:t>
      </w:r>
      <w:proofErr w:type="spellStart"/>
      <w:r>
        <w:rPr>
          <w:rFonts w:ascii="Book Antiqua" w:hAnsi="Book Antiqua" w:cs="Arial"/>
        </w:rPr>
        <w:t>Aboni</w:t>
      </w:r>
      <w:proofErr w:type="spellEnd"/>
      <w:r>
        <w:rPr>
          <w:rFonts w:ascii="Book Antiqua" w:hAnsi="Book Antiqua" w:cs="Arial"/>
        </w:rPr>
        <w:t xml:space="preserve"> submitted that the judge had not materially erred and had directed himself appropriately.  It was submitted that the judge had made findings which were open to him to make on the evidence, and gave adequate reasons for those findings.  The judge had </w:t>
      </w:r>
      <w:r w:rsidR="00FB0EDC">
        <w:rPr>
          <w:rFonts w:ascii="Book Antiqua" w:hAnsi="Book Antiqua" w:cs="Arial"/>
        </w:rPr>
        <w:t>high</w:t>
      </w:r>
      <w:r>
        <w:rPr>
          <w:rFonts w:ascii="Book Antiqua" w:hAnsi="Book Antiqua" w:cs="Arial"/>
        </w:rPr>
        <w:t xml:space="preserve">lighted inconsistencies in the evidence and considered the documents in the round.  </w:t>
      </w:r>
    </w:p>
    <w:p w:rsidR="00561E27" w:rsidRDefault="003666D3" w:rsidP="00EA33C5">
      <w:pPr>
        <w:numPr>
          <w:ilvl w:val="0"/>
          <w:numId w:val="3"/>
        </w:numPr>
        <w:spacing w:before="240"/>
        <w:jc w:val="both"/>
        <w:rPr>
          <w:rFonts w:ascii="Book Antiqua" w:hAnsi="Book Antiqua" w:cs="Arial"/>
        </w:rPr>
      </w:pPr>
      <w:r>
        <w:rPr>
          <w:rFonts w:ascii="Book Antiqua" w:hAnsi="Book Antiqua" w:cs="Arial"/>
        </w:rPr>
        <w:t xml:space="preserve">At the conclusion of oral </w:t>
      </w:r>
      <w:proofErr w:type="gramStart"/>
      <w:r>
        <w:rPr>
          <w:rFonts w:ascii="Book Antiqua" w:hAnsi="Book Antiqua" w:cs="Arial"/>
        </w:rPr>
        <w:t>submissions</w:t>
      </w:r>
      <w:proofErr w:type="gramEnd"/>
      <w:r>
        <w:rPr>
          <w:rFonts w:ascii="Book Antiqua" w:hAnsi="Book Antiqua" w:cs="Arial"/>
        </w:rPr>
        <w:t xml:space="preserve"> I reserved my decision.</w:t>
      </w:r>
    </w:p>
    <w:p w:rsidR="00802445" w:rsidRDefault="00802445" w:rsidP="00561E27">
      <w:pPr>
        <w:spacing w:before="240"/>
        <w:jc w:val="both"/>
        <w:rPr>
          <w:rFonts w:ascii="Book Antiqua" w:hAnsi="Book Antiqua" w:cs="Arial"/>
          <w:b/>
        </w:rPr>
      </w:pPr>
    </w:p>
    <w:p w:rsidR="00802445" w:rsidRDefault="00802445" w:rsidP="00561E27">
      <w:pPr>
        <w:spacing w:before="240"/>
        <w:jc w:val="both"/>
        <w:rPr>
          <w:rFonts w:ascii="Book Antiqua" w:hAnsi="Book Antiqua" w:cs="Arial"/>
          <w:b/>
        </w:rPr>
      </w:pPr>
    </w:p>
    <w:p w:rsidR="00561E27" w:rsidRPr="00561E27" w:rsidRDefault="00561E27" w:rsidP="00561E27">
      <w:pPr>
        <w:spacing w:before="240"/>
        <w:jc w:val="both"/>
        <w:rPr>
          <w:rFonts w:ascii="Book Antiqua" w:hAnsi="Book Antiqua" w:cs="Arial"/>
          <w:b/>
        </w:rPr>
      </w:pPr>
      <w:bookmarkStart w:id="0" w:name="_GoBack"/>
      <w:bookmarkEnd w:id="0"/>
      <w:r>
        <w:rPr>
          <w:rFonts w:ascii="Book Antiqua" w:hAnsi="Book Antiqua" w:cs="Arial"/>
          <w:b/>
        </w:rPr>
        <w:lastRenderedPageBreak/>
        <w:t>My Conclusions and Reasons</w:t>
      </w:r>
    </w:p>
    <w:p w:rsidR="00145AC2" w:rsidRDefault="00ED0DC3" w:rsidP="00EA33C5">
      <w:pPr>
        <w:numPr>
          <w:ilvl w:val="0"/>
          <w:numId w:val="3"/>
        </w:numPr>
        <w:spacing w:before="240"/>
        <w:jc w:val="both"/>
        <w:rPr>
          <w:rFonts w:ascii="Book Antiqua" w:hAnsi="Book Antiqua" w:cs="Arial"/>
        </w:rPr>
      </w:pPr>
      <w:r>
        <w:rPr>
          <w:rFonts w:ascii="Book Antiqua" w:hAnsi="Book Antiqua" w:cs="Arial"/>
        </w:rPr>
        <w:t>In my view the judge in considering the documents followed the guidance</w:t>
      </w:r>
      <w:r w:rsidR="00561E27">
        <w:rPr>
          <w:rFonts w:ascii="Book Antiqua" w:hAnsi="Book Antiqua" w:cs="Arial"/>
        </w:rPr>
        <w:t xml:space="preserve"> in </w:t>
      </w:r>
      <w:r w:rsidR="00561E27" w:rsidRPr="00561E27">
        <w:rPr>
          <w:rFonts w:ascii="Book Antiqua" w:hAnsi="Book Antiqua" w:cs="Arial"/>
          <w:u w:val="single"/>
        </w:rPr>
        <w:t>Tanveer Ahmed</w:t>
      </w:r>
      <w:r w:rsidR="00561E27">
        <w:rPr>
          <w:rFonts w:ascii="Book Antiqua" w:hAnsi="Book Antiqua" w:cs="Arial"/>
        </w:rPr>
        <w:t xml:space="preserve"> [2002] UKIAT 00439 which is that in asylum and human rights cases it is for an individual claimant to show that a document on which he seeks to rely can be relied on, and a decisionmaker should consider whether a document is one on which reliance should properly be placed after looking at all the evidence in the round.  That decision was considered and upheld by the Upper Tribunal in </w:t>
      </w:r>
      <w:r w:rsidR="00561E27" w:rsidRPr="00561E27">
        <w:rPr>
          <w:rFonts w:ascii="Book Antiqua" w:hAnsi="Book Antiqua" w:cs="Arial"/>
          <w:u w:val="single"/>
        </w:rPr>
        <w:t>MJ</w:t>
      </w:r>
      <w:r w:rsidR="00561E27">
        <w:rPr>
          <w:rFonts w:ascii="Book Antiqua" w:hAnsi="Book Antiqua" w:cs="Arial"/>
        </w:rPr>
        <w:t xml:space="preserve"> (Afghanistan) [2013] UKUT 00253 (IAC) which held </w:t>
      </w:r>
      <w:r>
        <w:rPr>
          <w:rFonts w:ascii="Book Antiqua" w:hAnsi="Book Antiqua" w:cs="Arial"/>
        </w:rPr>
        <w:t>that</w:t>
      </w:r>
      <w:r w:rsidR="00561E27">
        <w:rPr>
          <w:rFonts w:ascii="Book Antiqua" w:hAnsi="Book Antiqua" w:cs="Arial"/>
        </w:rPr>
        <w:t xml:space="preserve"> the conclusions of the European Court of Human Rights in </w:t>
      </w:r>
      <w:r w:rsidR="00561E27" w:rsidRPr="00561E27">
        <w:rPr>
          <w:rFonts w:ascii="Book Antiqua" w:hAnsi="Book Antiqua" w:cs="Arial"/>
          <w:u w:val="single"/>
        </w:rPr>
        <w:t>Singh v Belgium</w:t>
      </w:r>
      <w:r w:rsidR="00561E27">
        <w:rPr>
          <w:rFonts w:ascii="Book Antiqua" w:hAnsi="Book Antiqua" w:cs="Arial"/>
        </w:rPr>
        <w:t xml:space="preserve"> (Application No. 33210/2011) neither justify nor require any departure from the guidance set out in </w:t>
      </w:r>
      <w:r w:rsidR="00561E27" w:rsidRPr="00561E27">
        <w:rPr>
          <w:rFonts w:ascii="Book Antiqua" w:hAnsi="Book Antiqua" w:cs="Arial"/>
          <w:u w:val="single"/>
        </w:rPr>
        <w:t>Tanveer Ahmed</w:t>
      </w:r>
      <w:r w:rsidR="00561E27">
        <w:rPr>
          <w:rFonts w:ascii="Book Antiqua" w:hAnsi="Book Antiqua" w:cs="Arial"/>
        </w:rPr>
        <w:t xml:space="preserve">.  The Tribunal in </w:t>
      </w:r>
      <w:r w:rsidR="00561E27" w:rsidRPr="00561E27">
        <w:rPr>
          <w:rFonts w:ascii="Book Antiqua" w:hAnsi="Book Antiqua" w:cs="Arial"/>
          <w:u w:val="single"/>
        </w:rPr>
        <w:t>Tanveer Ahmed</w:t>
      </w:r>
      <w:r w:rsidR="00561E27">
        <w:rPr>
          <w:rFonts w:ascii="Book Antiqua" w:hAnsi="Book Antiqua" w:cs="Arial"/>
        </w:rPr>
        <w:t xml:space="preserve"> envisaged the existence of </w:t>
      </w:r>
      <w:proofErr w:type="gramStart"/>
      <w:r w:rsidR="00561E27">
        <w:rPr>
          <w:rFonts w:ascii="Book Antiqua" w:hAnsi="Book Antiqua" w:cs="Arial"/>
        </w:rPr>
        <w:t>particular cases</w:t>
      </w:r>
      <w:proofErr w:type="gramEnd"/>
      <w:r w:rsidR="00561E27">
        <w:rPr>
          <w:rFonts w:ascii="Book Antiqua" w:hAnsi="Book Antiqua" w:cs="Arial"/>
        </w:rPr>
        <w:t xml:space="preserve"> where it may be appropriate for enquiries to be made.  On its facts </w:t>
      </w:r>
      <w:r w:rsidR="00561E27" w:rsidRPr="00561E27">
        <w:rPr>
          <w:rFonts w:ascii="Book Antiqua" w:hAnsi="Book Antiqua" w:cs="Arial"/>
          <w:u w:val="single"/>
        </w:rPr>
        <w:t>Singh</w:t>
      </w:r>
      <w:r w:rsidR="00561E27">
        <w:rPr>
          <w:rFonts w:ascii="Book Antiqua" w:hAnsi="Book Antiqua" w:cs="Arial"/>
        </w:rPr>
        <w:t xml:space="preserve"> can properly be regarded as such a </w:t>
      </w:r>
      <w:proofErr w:type="gramStart"/>
      <w:r w:rsidR="00561E27">
        <w:rPr>
          <w:rFonts w:ascii="Book Antiqua" w:hAnsi="Book Antiqua" w:cs="Arial"/>
        </w:rPr>
        <w:t>particular case</w:t>
      </w:r>
      <w:proofErr w:type="gramEnd"/>
      <w:r w:rsidR="00561E27">
        <w:rPr>
          <w:rFonts w:ascii="Book Antiqua" w:hAnsi="Book Antiqua" w:cs="Arial"/>
        </w:rPr>
        <w:t xml:space="preserve">.  </w:t>
      </w:r>
      <w:r>
        <w:rPr>
          <w:rFonts w:ascii="Book Antiqua" w:hAnsi="Book Antiqua" w:cs="Arial"/>
        </w:rPr>
        <w:t xml:space="preserve">The judge did not err in applying the guidance in </w:t>
      </w:r>
      <w:r w:rsidRPr="00ED0DC3">
        <w:rPr>
          <w:rFonts w:ascii="Book Antiqua" w:hAnsi="Book Antiqua" w:cs="Arial"/>
          <w:u w:val="single"/>
        </w:rPr>
        <w:t>Tanveer Ahmed</w:t>
      </w:r>
      <w:r w:rsidR="00895611">
        <w:rPr>
          <w:rFonts w:ascii="Book Antiqua" w:hAnsi="Book Antiqua" w:cs="Arial"/>
          <w:u w:val="single"/>
        </w:rPr>
        <w:t xml:space="preserve"> </w:t>
      </w:r>
      <w:r w:rsidR="00895611">
        <w:rPr>
          <w:rFonts w:ascii="Book Antiqua" w:hAnsi="Book Antiqua" w:cs="Arial"/>
        </w:rPr>
        <w:t>and did not err by not referring to the European case law referred to by Mr Bedford.</w:t>
      </w:r>
    </w:p>
    <w:p w:rsidR="00561E27" w:rsidRDefault="00561E27" w:rsidP="00EA33C5">
      <w:pPr>
        <w:numPr>
          <w:ilvl w:val="0"/>
          <w:numId w:val="3"/>
        </w:numPr>
        <w:spacing w:before="240"/>
        <w:jc w:val="both"/>
        <w:rPr>
          <w:rFonts w:ascii="Book Antiqua" w:hAnsi="Book Antiqua" w:cs="Arial"/>
        </w:rPr>
      </w:pPr>
      <w:r>
        <w:rPr>
          <w:rFonts w:ascii="Book Antiqua" w:hAnsi="Book Antiqua" w:cs="Arial"/>
        </w:rPr>
        <w:t xml:space="preserve">In considering the appeal </w:t>
      </w:r>
      <w:proofErr w:type="gramStart"/>
      <w:r>
        <w:rPr>
          <w:rFonts w:ascii="Book Antiqua" w:hAnsi="Book Antiqua" w:cs="Arial"/>
        </w:rPr>
        <w:t>as a whole, the</w:t>
      </w:r>
      <w:proofErr w:type="gramEnd"/>
      <w:r>
        <w:rPr>
          <w:rFonts w:ascii="Book Antiqua" w:hAnsi="Book Antiqua" w:cs="Arial"/>
        </w:rPr>
        <w:t xml:space="preserve"> judge set out the correct burden and standard of proof at paragraph 4 recognising that it was for the </w:t>
      </w:r>
      <w:r w:rsidR="002A6484">
        <w:rPr>
          <w:rFonts w:ascii="Book Antiqua" w:hAnsi="Book Antiqua" w:cs="Arial"/>
        </w:rPr>
        <w:t xml:space="preserve">Appellant </w:t>
      </w:r>
      <w:r>
        <w:rPr>
          <w:rFonts w:ascii="Book Antiqua" w:hAnsi="Book Antiqua" w:cs="Arial"/>
        </w:rPr>
        <w:t xml:space="preserve">to prove he was entitled to international protection, and the standard of proof is a reasonable degree of likelihood.  This is reinforced at paragraph 30 when the judge commences his findings, as he records </w:t>
      </w:r>
      <w:r w:rsidR="005A3680">
        <w:rPr>
          <w:rFonts w:ascii="Book Antiqua" w:hAnsi="Book Antiqua" w:cs="Arial"/>
        </w:rPr>
        <w:t xml:space="preserve">that the lower standard of proof applies, and he must look at the </w:t>
      </w:r>
      <w:proofErr w:type="gramStart"/>
      <w:r w:rsidR="005A3680">
        <w:rPr>
          <w:rFonts w:ascii="Book Antiqua" w:hAnsi="Book Antiqua" w:cs="Arial"/>
        </w:rPr>
        <w:t>account as a whole</w:t>
      </w:r>
      <w:proofErr w:type="gramEnd"/>
      <w:r w:rsidR="005A3680">
        <w:rPr>
          <w:rFonts w:ascii="Book Antiqua" w:hAnsi="Book Antiqua" w:cs="Arial"/>
        </w:rPr>
        <w:t>.</w:t>
      </w:r>
    </w:p>
    <w:p w:rsidR="005A3680" w:rsidRDefault="005A3680" w:rsidP="00EA33C5">
      <w:pPr>
        <w:numPr>
          <w:ilvl w:val="0"/>
          <w:numId w:val="3"/>
        </w:numPr>
        <w:spacing w:before="240"/>
        <w:jc w:val="both"/>
        <w:rPr>
          <w:rFonts w:ascii="Book Antiqua" w:hAnsi="Book Antiqua" w:cs="Arial"/>
        </w:rPr>
      </w:pPr>
      <w:r>
        <w:rPr>
          <w:rFonts w:ascii="Book Antiqua" w:hAnsi="Book Antiqua" w:cs="Arial"/>
        </w:rPr>
        <w:t xml:space="preserve">I do not accept the submission that at paragraph 38 the judge when referring to documentation was only </w:t>
      </w:r>
      <w:proofErr w:type="gramStart"/>
      <w:r>
        <w:rPr>
          <w:rFonts w:ascii="Book Antiqua" w:hAnsi="Book Antiqua" w:cs="Arial"/>
        </w:rPr>
        <w:t>making reference</w:t>
      </w:r>
      <w:proofErr w:type="gramEnd"/>
      <w:r>
        <w:rPr>
          <w:rFonts w:ascii="Book Antiqua" w:hAnsi="Book Antiqua" w:cs="Arial"/>
        </w:rPr>
        <w:t xml:space="preserve"> to the USA flight tickets.  In my view the judge clearly considered the police report and autopsy report.</w:t>
      </w:r>
    </w:p>
    <w:p w:rsidR="002A79AF" w:rsidRPr="002A79AF" w:rsidRDefault="005A3680" w:rsidP="002A79AF">
      <w:pPr>
        <w:numPr>
          <w:ilvl w:val="0"/>
          <w:numId w:val="3"/>
        </w:numPr>
        <w:spacing w:before="240"/>
        <w:jc w:val="both"/>
        <w:rPr>
          <w:rFonts w:ascii="Book Antiqua" w:hAnsi="Book Antiqua" w:cs="Arial"/>
        </w:rPr>
      </w:pPr>
      <w:r>
        <w:rPr>
          <w:rFonts w:ascii="Book Antiqua" w:hAnsi="Book Antiqua" w:cs="Arial"/>
        </w:rPr>
        <w:t>Consideration of those documents is contained at paragraph 32, and it is evident that the judge was not satisfied that a satisfactory explanation had been given as to how the documents had been obtained and by whom, and how the Appellant knew of the existence of the documents.  The judge recorded at paragraph 31 that the Appellant had last had contact with her husband’s sister in Iraq in January</w:t>
      </w:r>
      <w:r w:rsidR="002A79AF">
        <w:rPr>
          <w:rFonts w:ascii="Book Antiqua" w:hAnsi="Book Antiqua" w:cs="Arial"/>
        </w:rPr>
        <w:t xml:space="preserve"> 2016 and had no contact since</w:t>
      </w:r>
      <w:r w:rsidR="002A79AF">
        <w:rPr>
          <w:rFonts w:ascii="Book Antiqua" w:hAnsi="Book Antiqua" w:cs="Arial"/>
          <w:sz w:val="28"/>
        </w:rPr>
        <w:t>.</w:t>
      </w:r>
    </w:p>
    <w:p w:rsidR="002A79AF" w:rsidRDefault="002A79AF" w:rsidP="002A79AF">
      <w:pPr>
        <w:numPr>
          <w:ilvl w:val="0"/>
          <w:numId w:val="3"/>
        </w:numPr>
        <w:spacing w:before="240"/>
        <w:jc w:val="both"/>
        <w:rPr>
          <w:rFonts w:ascii="Book Antiqua" w:hAnsi="Book Antiqua" w:cs="Arial"/>
        </w:rPr>
      </w:pPr>
      <w:r>
        <w:rPr>
          <w:rFonts w:ascii="Book Antiqua" w:hAnsi="Book Antiqua" w:cs="Arial"/>
        </w:rPr>
        <w:t>A First-tier Tribunal judge must make findings in a case such as this, and give reasons for those findings.  The judge must</w:t>
      </w:r>
      <w:r w:rsidR="00E75A75">
        <w:rPr>
          <w:rFonts w:ascii="Book Antiqua" w:hAnsi="Book Antiqua" w:cs="Arial"/>
        </w:rPr>
        <w:t xml:space="preserve"> comply</w:t>
      </w:r>
      <w:r>
        <w:rPr>
          <w:rFonts w:ascii="Book Antiqua" w:hAnsi="Book Antiqua" w:cs="Arial"/>
        </w:rPr>
        <w:t xml:space="preserve"> with the guidance given in </w:t>
      </w:r>
      <w:proofErr w:type="spellStart"/>
      <w:r w:rsidRPr="002A79AF">
        <w:rPr>
          <w:rFonts w:ascii="Book Antiqua" w:hAnsi="Book Antiqua" w:cs="Arial"/>
          <w:u w:val="single"/>
        </w:rPr>
        <w:t>Budhathoki</w:t>
      </w:r>
      <w:proofErr w:type="spellEnd"/>
      <w:r>
        <w:rPr>
          <w:rFonts w:ascii="Book Antiqua" w:hAnsi="Book Antiqua" w:cs="Arial"/>
        </w:rPr>
        <w:t xml:space="preserve"> (reasons for decision) [2014] UKUT 00341 (IAC) the head note of which I set out below;</w:t>
      </w:r>
    </w:p>
    <w:p w:rsidR="002A79AF" w:rsidRPr="002A79AF" w:rsidRDefault="002A79AF" w:rsidP="002A79AF">
      <w:pPr>
        <w:spacing w:before="240"/>
        <w:ind w:left="1134"/>
        <w:jc w:val="both"/>
        <w:rPr>
          <w:rFonts w:ascii="Book Antiqua" w:hAnsi="Book Antiqua" w:cs="Arial"/>
          <w:sz w:val="22"/>
          <w:szCs w:val="22"/>
        </w:rPr>
      </w:pPr>
      <w:r>
        <w:rPr>
          <w:rFonts w:ascii="Book Antiqua" w:hAnsi="Book Antiqua" w:cs="Arial"/>
          <w:sz w:val="22"/>
          <w:szCs w:val="22"/>
        </w:rPr>
        <w:t>It is generally unnecessary and unhelpful for First-tier Tribunal judgments to rehearse every detail or issue raised in a case.  This leads to judgments becoming overly long and confused and is not a proportionate approach to deciding cases.  It is, however, necessary for judges to identify and resolve key conflicts in the evidence and explain</w:t>
      </w:r>
      <w:r w:rsidR="00183E8D">
        <w:rPr>
          <w:rFonts w:ascii="Book Antiqua" w:hAnsi="Book Antiqua" w:cs="Arial"/>
          <w:sz w:val="22"/>
          <w:szCs w:val="22"/>
        </w:rPr>
        <w:t xml:space="preserve"> in</w:t>
      </w:r>
      <w:r>
        <w:rPr>
          <w:rFonts w:ascii="Book Antiqua" w:hAnsi="Book Antiqua" w:cs="Arial"/>
          <w:sz w:val="22"/>
          <w:szCs w:val="22"/>
        </w:rPr>
        <w:t xml:space="preserve"> clear and brief terms their reasons, so that the parties can understand why they have won or lost.  </w:t>
      </w:r>
    </w:p>
    <w:p w:rsidR="002A79AF" w:rsidRDefault="002A79AF" w:rsidP="002A79AF">
      <w:pPr>
        <w:numPr>
          <w:ilvl w:val="0"/>
          <w:numId w:val="3"/>
        </w:numPr>
        <w:spacing w:before="240"/>
        <w:jc w:val="both"/>
        <w:rPr>
          <w:rFonts w:ascii="Book Antiqua" w:hAnsi="Book Antiqua" w:cs="Arial"/>
        </w:rPr>
      </w:pPr>
      <w:r>
        <w:rPr>
          <w:rFonts w:ascii="Book Antiqua" w:hAnsi="Book Antiqua" w:cs="Arial"/>
        </w:rPr>
        <w:t xml:space="preserve"> </w:t>
      </w:r>
      <w:r w:rsidR="004A46BF">
        <w:rPr>
          <w:rFonts w:ascii="Book Antiqua" w:hAnsi="Book Antiqua" w:cs="Arial"/>
        </w:rPr>
        <w:t>T</w:t>
      </w:r>
      <w:r>
        <w:rPr>
          <w:rFonts w:ascii="Book Antiqua" w:hAnsi="Book Antiqua" w:cs="Arial"/>
        </w:rPr>
        <w:t xml:space="preserve">he judge complied with the duty set out above.  The judge granting permission found it arguable that the judge did not make clear what weight was attached to the documents in the context of the </w:t>
      </w:r>
      <w:proofErr w:type="gramStart"/>
      <w:r>
        <w:rPr>
          <w:rFonts w:ascii="Book Antiqua" w:hAnsi="Book Antiqua" w:cs="Arial"/>
        </w:rPr>
        <w:t>evidence as a whole</w:t>
      </w:r>
      <w:proofErr w:type="gramEnd"/>
      <w:r>
        <w:rPr>
          <w:rFonts w:ascii="Book Antiqua" w:hAnsi="Book Antiqua" w:cs="Arial"/>
        </w:rPr>
        <w:t>.  In my view the judge did make it clear that little weight should be attached to the documents, and this is recorded in the last sentence of paragraph 38.</w:t>
      </w:r>
    </w:p>
    <w:p w:rsidR="002A79AF" w:rsidRDefault="002A79AF" w:rsidP="002A79AF">
      <w:pPr>
        <w:numPr>
          <w:ilvl w:val="0"/>
          <w:numId w:val="3"/>
        </w:numPr>
        <w:spacing w:before="240"/>
        <w:jc w:val="both"/>
        <w:rPr>
          <w:rFonts w:ascii="Book Antiqua" w:hAnsi="Book Antiqua" w:cs="Arial"/>
        </w:rPr>
      </w:pPr>
      <w:r>
        <w:rPr>
          <w:rFonts w:ascii="Book Antiqua" w:hAnsi="Book Antiqua" w:cs="Arial"/>
        </w:rPr>
        <w:lastRenderedPageBreak/>
        <w:t xml:space="preserve">In my view it should be clear to the Appellant why her appeal has not been successful.  The judge considered whether she had proved her case to a reasonable degree of likelihood and found she had not.  </w:t>
      </w:r>
      <w:r w:rsidR="002A6484">
        <w:rPr>
          <w:rFonts w:ascii="Book Antiqua" w:hAnsi="Book Antiqua" w:cs="Arial"/>
        </w:rPr>
        <w:t xml:space="preserve">The judge gave sustainable reasons for that conclusion.  </w:t>
      </w:r>
    </w:p>
    <w:p w:rsidR="002A6484" w:rsidRDefault="002A6484" w:rsidP="002A79AF">
      <w:pPr>
        <w:numPr>
          <w:ilvl w:val="0"/>
          <w:numId w:val="3"/>
        </w:numPr>
        <w:spacing w:before="240"/>
        <w:jc w:val="both"/>
        <w:rPr>
          <w:rFonts w:ascii="Book Antiqua" w:hAnsi="Book Antiqua" w:cs="Arial"/>
        </w:rPr>
      </w:pPr>
      <w:r>
        <w:rPr>
          <w:rFonts w:ascii="Book Antiqua" w:hAnsi="Book Antiqua" w:cs="Arial"/>
        </w:rPr>
        <w:t>The judge at paragraph 36 accepted the evidence that the Appellant’s husband had left Iraq in 1996.  The judge did not accept that people would still be “revengeful against her husband after such a long period”.  In my view the judge was entitled to make such a finding.</w:t>
      </w:r>
    </w:p>
    <w:p w:rsidR="002A6484" w:rsidRDefault="002A6484" w:rsidP="002A79AF">
      <w:pPr>
        <w:numPr>
          <w:ilvl w:val="0"/>
          <w:numId w:val="3"/>
        </w:numPr>
        <w:spacing w:before="240"/>
        <w:jc w:val="both"/>
        <w:rPr>
          <w:rFonts w:ascii="Book Antiqua" w:hAnsi="Book Antiqua" w:cs="Arial"/>
        </w:rPr>
      </w:pPr>
      <w:r>
        <w:rPr>
          <w:rFonts w:ascii="Book Antiqua" w:hAnsi="Book Antiqua" w:cs="Arial"/>
        </w:rPr>
        <w:t xml:space="preserve">The judge gave </w:t>
      </w:r>
      <w:proofErr w:type="gramStart"/>
      <w:r>
        <w:rPr>
          <w:rFonts w:ascii="Book Antiqua" w:hAnsi="Book Antiqua" w:cs="Arial"/>
        </w:rPr>
        <w:t>a number of</w:t>
      </w:r>
      <w:proofErr w:type="gramEnd"/>
      <w:r>
        <w:rPr>
          <w:rFonts w:ascii="Book Antiqua" w:hAnsi="Book Antiqua" w:cs="Arial"/>
        </w:rPr>
        <w:t xml:space="preserve"> reasons for not accepting the Appellant </w:t>
      </w:r>
      <w:r w:rsidR="004A46BF">
        <w:rPr>
          <w:rFonts w:ascii="Book Antiqua" w:hAnsi="Book Antiqua" w:cs="Arial"/>
        </w:rPr>
        <w:t>a</w:t>
      </w:r>
      <w:r>
        <w:rPr>
          <w:rFonts w:ascii="Book Antiqua" w:hAnsi="Book Antiqua" w:cs="Arial"/>
        </w:rPr>
        <w:t xml:space="preserve">s credible.  It is noted at paragraph 33 that the Appellant accepted that she had been returning to Iraq once a year from 2005 until 2016.  Her children had accompanied her.  There was no evidence that she had accounted any difficulties.  The judge did not accept that if the Appellant’s husband believed there was a risk, he would have allowed the Appellant and his children to visit Iraq without him.  </w:t>
      </w:r>
    </w:p>
    <w:p w:rsidR="002A6484" w:rsidRDefault="002A6484" w:rsidP="002A79AF">
      <w:pPr>
        <w:numPr>
          <w:ilvl w:val="0"/>
          <w:numId w:val="3"/>
        </w:numPr>
        <w:spacing w:before="240"/>
        <w:jc w:val="both"/>
        <w:rPr>
          <w:rFonts w:ascii="Book Antiqua" w:hAnsi="Book Antiqua" w:cs="Arial"/>
        </w:rPr>
      </w:pPr>
      <w:r>
        <w:rPr>
          <w:rFonts w:ascii="Book Antiqua" w:hAnsi="Book Antiqua" w:cs="Arial"/>
        </w:rPr>
        <w:t xml:space="preserve">The judge found that the Appellant’s family members had been resident in Kirkuk and had never been at risk or encountered difficulties </w:t>
      </w:r>
      <w:proofErr w:type="gramStart"/>
      <w:r>
        <w:rPr>
          <w:rFonts w:ascii="Book Antiqua" w:hAnsi="Book Antiqua" w:cs="Arial"/>
        </w:rPr>
        <w:t>as a result of</w:t>
      </w:r>
      <w:proofErr w:type="gramEnd"/>
      <w:r>
        <w:rPr>
          <w:rFonts w:ascii="Book Antiqua" w:hAnsi="Book Antiqua" w:cs="Arial"/>
        </w:rPr>
        <w:t xml:space="preserve"> the Appellant’s husband’s involvement with the Ba’ath Party.</w:t>
      </w:r>
    </w:p>
    <w:p w:rsidR="002F64A5" w:rsidRPr="002F64A5" w:rsidRDefault="002A6484" w:rsidP="005E5DFF">
      <w:pPr>
        <w:numPr>
          <w:ilvl w:val="0"/>
          <w:numId w:val="3"/>
        </w:numPr>
        <w:spacing w:before="240"/>
        <w:jc w:val="both"/>
        <w:rPr>
          <w:rFonts w:ascii="Book Antiqua" w:hAnsi="Book Antiqua" w:cs="Arial"/>
        </w:rPr>
      </w:pPr>
      <w:r>
        <w:rPr>
          <w:rFonts w:ascii="Book Antiqua" w:hAnsi="Book Antiqua" w:cs="Arial"/>
        </w:rPr>
        <w:t xml:space="preserve"> </w:t>
      </w:r>
      <w:r w:rsidR="00A409F5">
        <w:rPr>
          <w:rFonts w:ascii="Book Antiqua" w:hAnsi="Book Antiqua" w:cs="Arial"/>
        </w:rPr>
        <w:t>T</w:t>
      </w:r>
      <w:r>
        <w:rPr>
          <w:rFonts w:ascii="Book Antiqua" w:hAnsi="Book Antiqua" w:cs="Arial"/>
        </w:rPr>
        <w:t>he judge has correctly applied the law, made findings open to him on the evidence, and given adequate reasons for those findings.</w:t>
      </w:r>
    </w:p>
    <w:p w:rsidR="007D179A" w:rsidRDefault="007D179A" w:rsidP="005E5DFF">
      <w:pPr>
        <w:spacing w:before="240"/>
        <w:jc w:val="both"/>
        <w:rPr>
          <w:rFonts w:ascii="Book Antiqua" w:hAnsi="Book Antiqua" w:cs="Arial"/>
          <w:b/>
        </w:rPr>
      </w:pPr>
    </w:p>
    <w:p w:rsidR="00F13D39" w:rsidRPr="00F13D39" w:rsidRDefault="00F13D39" w:rsidP="005E5DFF">
      <w:pPr>
        <w:spacing w:before="240"/>
        <w:jc w:val="both"/>
        <w:rPr>
          <w:rFonts w:ascii="Book Antiqua" w:hAnsi="Book Antiqua" w:cs="Arial"/>
          <w:b/>
        </w:rPr>
      </w:pPr>
      <w:r w:rsidRPr="00F13D39">
        <w:rPr>
          <w:rFonts w:ascii="Book Antiqua" w:hAnsi="Book Antiqua" w:cs="Arial"/>
          <w:b/>
        </w:rPr>
        <w:t>Notice of Decision</w:t>
      </w:r>
    </w:p>
    <w:p w:rsidR="00F13D39" w:rsidRPr="00F13D39" w:rsidRDefault="00F13D39" w:rsidP="00F13D39">
      <w:pPr>
        <w:jc w:val="both"/>
        <w:rPr>
          <w:rFonts w:ascii="Book Antiqua" w:hAnsi="Book Antiqua" w:cs="Arial"/>
        </w:rPr>
      </w:pPr>
    </w:p>
    <w:p w:rsidR="00F13D39" w:rsidRPr="00F13D39" w:rsidRDefault="00F13D39" w:rsidP="00F13D39">
      <w:pPr>
        <w:jc w:val="both"/>
        <w:rPr>
          <w:rFonts w:ascii="Book Antiqua" w:hAnsi="Book Antiqua" w:cs="Arial"/>
        </w:rPr>
      </w:pPr>
      <w:r w:rsidRPr="00F13D39">
        <w:rPr>
          <w:rFonts w:ascii="Book Antiqua" w:hAnsi="Book Antiqua" w:cs="Arial"/>
        </w:rPr>
        <w:t>The</w:t>
      </w:r>
      <w:r w:rsidR="002A6484">
        <w:rPr>
          <w:rFonts w:ascii="Book Antiqua" w:hAnsi="Book Antiqua" w:cs="Arial"/>
        </w:rPr>
        <w:t xml:space="preserve"> decision of the </w:t>
      </w:r>
      <w:proofErr w:type="spellStart"/>
      <w:r w:rsidR="002A6484">
        <w:rPr>
          <w:rFonts w:ascii="Book Antiqua" w:hAnsi="Book Antiqua" w:cs="Arial"/>
        </w:rPr>
        <w:t>FtT</w:t>
      </w:r>
      <w:proofErr w:type="spellEnd"/>
      <w:r w:rsidR="002A6484">
        <w:rPr>
          <w:rFonts w:ascii="Book Antiqua" w:hAnsi="Book Antiqua" w:cs="Arial"/>
        </w:rPr>
        <w:t xml:space="preserve"> does not disclose a material error of law.  I do not set aside the decision.  The</w:t>
      </w:r>
      <w:r w:rsidRPr="00F13D39">
        <w:rPr>
          <w:rFonts w:ascii="Book Antiqua" w:hAnsi="Book Antiqua" w:cs="Arial"/>
        </w:rPr>
        <w:t xml:space="preserve"> appeal is </w:t>
      </w:r>
      <w:r w:rsidR="002A6484">
        <w:rPr>
          <w:rFonts w:ascii="Book Antiqua" w:hAnsi="Book Antiqua" w:cs="Arial"/>
        </w:rPr>
        <w:t>dismissed.</w:t>
      </w:r>
    </w:p>
    <w:p w:rsidR="00F13D39" w:rsidRDefault="00F13D39" w:rsidP="00F13D39">
      <w:pPr>
        <w:jc w:val="both"/>
        <w:rPr>
          <w:rFonts w:ascii="Book Antiqua" w:hAnsi="Book Antiqua" w:cs="Arial"/>
        </w:rPr>
      </w:pPr>
    </w:p>
    <w:p w:rsidR="002F64A5" w:rsidRPr="00F13D39" w:rsidRDefault="002F64A5" w:rsidP="00F13D39">
      <w:pPr>
        <w:jc w:val="both"/>
        <w:rPr>
          <w:rFonts w:ascii="Book Antiqua" w:hAnsi="Book Antiqua" w:cs="Arial"/>
        </w:rPr>
      </w:pPr>
    </w:p>
    <w:p w:rsidR="00F13D39" w:rsidRPr="007D179A" w:rsidRDefault="00F13D39" w:rsidP="00F13D39">
      <w:pPr>
        <w:jc w:val="both"/>
        <w:rPr>
          <w:rFonts w:ascii="Book Antiqua" w:hAnsi="Book Antiqua" w:cs="Arial"/>
          <w:u w:val="single"/>
        </w:rPr>
      </w:pPr>
      <w:r w:rsidRPr="007D179A">
        <w:rPr>
          <w:rFonts w:ascii="Book Antiqua" w:hAnsi="Book Antiqua" w:cs="Arial"/>
          <w:b/>
          <w:u w:val="single"/>
        </w:rPr>
        <w:t>Direction Regarding Anonymity – Rule 14 of the Tribunal Procedure (Upper Tribunal) Rules 2008</w:t>
      </w:r>
    </w:p>
    <w:p w:rsidR="00F13D39" w:rsidRDefault="00F13D39" w:rsidP="00F13D39">
      <w:pPr>
        <w:jc w:val="both"/>
        <w:rPr>
          <w:rFonts w:ascii="Book Antiqua" w:hAnsi="Book Antiqua" w:cs="Arial"/>
        </w:rPr>
      </w:pPr>
    </w:p>
    <w:p w:rsidR="002F64A5" w:rsidRPr="00F13D39" w:rsidRDefault="002F64A5" w:rsidP="00F13D39">
      <w:pPr>
        <w:jc w:val="both"/>
        <w:rPr>
          <w:rFonts w:ascii="Book Antiqua" w:hAnsi="Book Antiqua" w:cs="Arial"/>
        </w:rPr>
      </w:pPr>
    </w:p>
    <w:p w:rsidR="00F13D39" w:rsidRPr="00687601" w:rsidRDefault="00F13D39" w:rsidP="00F13D39">
      <w:pPr>
        <w:jc w:val="both"/>
        <w:rPr>
          <w:rFonts w:ascii="Book Antiqua" w:hAnsi="Book Antiqua" w:cs="Arial"/>
        </w:rPr>
      </w:pPr>
      <w:r w:rsidRPr="00F13D39">
        <w:rPr>
          <w:rFonts w:ascii="Book Antiqua" w:hAnsi="Book Antiqua" w:cs="Arial"/>
        </w:rPr>
        <w:t xml:space="preserve">Unless and </w:t>
      </w:r>
      <w:r w:rsidRPr="00F13D39">
        <w:rPr>
          <w:rFonts w:ascii="Book Antiqua" w:hAnsi="Book Antiqua"/>
        </w:rPr>
        <w:t>until a Tribunal or court directs otherwise, the Appellant is granted anonymity.  No report of these proceedings shall directly or indirectly identify h</w:t>
      </w:r>
      <w:r w:rsidR="00A409F5">
        <w:rPr>
          <w:rFonts w:ascii="Book Antiqua" w:hAnsi="Book Antiqua"/>
        </w:rPr>
        <w:t>er</w:t>
      </w:r>
      <w:r w:rsidRPr="00F13D39">
        <w:rPr>
          <w:rFonts w:ascii="Book Antiqua" w:hAnsi="Book Antiqua"/>
        </w:rPr>
        <w:t xml:space="preserve"> or any member of </w:t>
      </w:r>
      <w:r w:rsidR="00A409F5">
        <w:rPr>
          <w:rFonts w:ascii="Book Antiqua" w:hAnsi="Book Antiqua"/>
        </w:rPr>
        <w:t>her</w:t>
      </w:r>
      <w:r w:rsidRPr="00F13D39">
        <w:rPr>
          <w:rFonts w:ascii="Book Antiqua" w:hAnsi="Book Antiqua"/>
        </w:rPr>
        <w:t xml:space="preserve"> family.  This direction applies both to the Appellant and to the Respondent.  Failure to comply with this direction could lead to contempt of court proceedings.</w:t>
      </w: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Default="000369F5" w:rsidP="000369F5">
      <w:pPr>
        <w:tabs>
          <w:tab w:val="left" w:pos="2520"/>
        </w:tabs>
        <w:jc w:val="both"/>
        <w:rPr>
          <w:rFonts w:ascii="Book Antiqua" w:hAnsi="Book Antiqua" w:cs="Arial"/>
        </w:rPr>
      </w:pPr>
    </w:p>
    <w:p w:rsidR="00F13D39" w:rsidRDefault="00F13D39" w:rsidP="000369F5">
      <w:pPr>
        <w:tabs>
          <w:tab w:val="left" w:pos="2520"/>
        </w:tabs>
        <w:jc w:val="both"/>
        <w:rPr>
          <w:rFonts w:ascii="Book Antiqua" w:hAnsi="Book Antiqua" w:cs="Arial"/>
        </w:rPr>
      </w:pPr>
    </w:p>
    <w:p w:rsidR="00F13D39" w:rsidRPr="00F5664C" w:rsidRDefault="00F13D39"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2A6484">
        <w:rPr>
          <w:rFonts w:ascii="Book Antiqua" w:hAnsi="Book Antiqua" w:cs="Arial"/>
        </w:rPr>
        <w:t>: 15</w:t>
      </w:r>
      <w:r w:rsidR="002A6484" w:rsidRPr="002A6484">
        <w:rPr>
          <w:rFonts w:ascii="Book Antiqua" w:hAnsi="Book Antiqua" w:cs="Arial"/>
          <w:vertAlign w:val="superscript"/>
        </w:rPr>
        <w:t>th</w:t>
      </w:r>
      <w:r w:rsidR="002A6484">
        <w:rPr>
          <w:rFonts w:ascii="Book Antiqua" w:hAnsi="Book Antiqua" w:cs="Arial"/>
        </w:rPr>
        <w:t xml:space="preserve"> May 2018</w:t>
      </w:r>
    </w:p>
    <w:p w:rsidR="001F2716" w:rsidRPr="00F5664C" w:rsidRDefault="001F2716" w:rsidP="000369F5">
      <w:pPr>
        <w:tabs>
          <w:tab w:val="left" w:pos="2520"/>
        </w:tabs>
        <w:jc w:val="both"/>
        <w:rPr>
          <w:rFonts w:ascii="Book Antiqua" w:hAnsi="Book Antiqua" w:cs="Arial"/>
        </w:rPr>
      </w:pPr>
    </w:p>
    <w:p w:rsidR="001F2716" w:rsidRPr="00F5664C" w:rsidRDefault="001F2716" w:rsidP="000369F5">
      <w:pPr>
        <w:tabs>
          <w:tab w:val="left" w:pos="2520"/>
        </w:tabs>
        <w:jc w:val="both"/>
        <w:rPr>
          <w:rFonts w:ascii="Book Antiqua" w:hAnsi="Book Antiqua" w:cs="Arial"/>
        </w:rPr>
      </w:pPr>
    </w:p>
    <w:p w:rsidR="005B7789" w:rsidRDefault="00255071" w:rsidP="000369F5">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p>
    <w:p w:rsidR="00F13D39" w:rsidRDefault="00F13D39" w:rsidP="000369F5">
      <w:pPr>
        <w:tabs>
          <w:tab w:val="left" w:pos="2520"/>
        </w:tabs>
        <w:jc w:val="both"/>
        <w:rPr>
          <w:rFonts w:ascii="Book Antiqua" w:hAnsi="Book Antiqua" w:cs="Arial"/>
        </w:rPr>
      </w:pPr>
    </w:p>
    <w:p w:rsidR="00F13D39" w:rsidRDefault="00F13D39" w:rsidP="000369F5">
      <w:pPr>
        <w:tabs>
          <w:tab w:val="left" w:pos="2520"/>
        </w:tabs>
        <w:jc w:val="both"/>
        <w:rPr>
          <w:rFonts w:ascii="Book Antiqua" w:hAnsi="Book Antiqua" w:cs="Arial"/>
        </w:rPr>
      </w:pPr>
    </w:p>
    <w:p w:rsidR="00F13D39" w:rsidRPr="00F13D39" w:rsidRDefault="00F13D39" w:rsidP="00F13D39">
      <w:pPr>
        <w:jc w:val="both"/>
        <w:rPr>
          <w:rFonts w:ascii="Book Antiqua" w:hAnsi="Book Antiqua" w:cs="Arial"/>
          <w:b/>
        </w:rPr>
      </w:pPr>
      <w:r w:rsidRPr="00F13D39">
        <w:rPr>
          <w:rFonts w:ascii="Book Antiqua" w:hAnsi="Book Antiqua" w:cs="Arial"/>
          <w:b/>
        </w:rPr>
        <w:t>TO THE RESPONDENT</w:t>
      </w:r>
    </w:p>
    <w:p w:rsidR="00F13D39" w:rsidRPr="00F13D39" w:rsidRDefault="00F13D39" w:rsidP="00F13D39">
      <w:pPr>
        <w:ind w:left="567" w:hanging="567"/>
        <w:jc w:val="both"/>
        <w:rPr>
          <w:rFonts w:ascii="Book Antiqua" w:hAnsi="Book Antiqua" w:cs="Arial"/>
        </w:rPr>
      </w:pPr>
      <w:r w:rsidRPr="00F13D39">
        <w:rPr>
          <w:rFonts w:ascii="Book Antiqua" w:hAnsi="Book Antiqua" w:cs="Arial"/>
          <w:b/>
        </w:rPr>
        <w:t>FEE AWARD</w:t>
      </w:r>
    </w:p>
    <w:p w:rsidR="00F13D39" w:rsidRPr="00F13D39" w:rsidRDefault="00F13D39" w:rsidP="00F13D39">
      <w:pPr>
        <w:ind w:left="567" w:hanging="567"/>
        <w:jc w:val="both"/>
        <w:rPr>
          <w:rFonts w:ascii="Book Antiqua" w:hAnsi="Book Antiqua" w:cs="Arial"/>
        </w:rPr>
      </w:pPr>
    </w:p>
    <w:p w:rsidR="00F13D39" w:rsidRDefault="002A6484" w:rsidP="00F13D39">
      <w:pPr>
        <w:jc w:val="both"/>
        <w:rPr>
          <w:rFonts w:ascii="Book Antiqua" w:hAnsi="Book Antiqua" w:cs="Arial"/>
        </w:rPr>
      </w:pPr>
      <w:r>
        <w:rPr>
          <w:rFonts w:ascii="Book Antiqua" w:hAnsi="Book Antiqua" w:cs="Arial"/>
        </w:rPr>
        <w:t>T</w:t>
      </w:r>
      <w:r w:rsidR="00F13D39" w:rsidRPr="00F13D39">
        <w:rPr>
          <w:rFonts w:ascii="Book Antiqua" w:hAnsi="Book Antiqua" w:cs="Arial"/>
        </w:rPr>
        <w:t xml:space="preserve">he appeal </w:t>
      </w:r>
      <w:r>
        <w:rPr>
          <w:rFonts w:ascii="Book Antiqua" w:hAnsi="Book Antiqua" w:cs="Arial"/>
        </w:rPr>
        <w:t>is dismissed.  T</w:t>
      </w:r>
      <w:r w:rsidR="00F13D39" w:rsidRPr="00F13D39">
        <w:rPr>
          <w:rFonts w:ascii="Book Antiqua" w:hAnsi="Book Antiqua" w:cs="Arial"/>
        </w:rPr>
        <w:t xml:space="preserve">here </w:t>
      </w:r>
      <w:r>
        <w:rPr>
          <w:rFonts w:ascii="Book Antiqua" w:hAnsi="Book Antiqua" w:cs="Arial"/>
        </w:rPr>
        <w:t>is</w:t>
      </w:r>
      <w:r w:rsidR="00F13D39" w:rsidRPr="00F13D39">
        <w:rPr>
          <w:rFonts w:ascii="Book Antiqua" w:hAnsi="Book Antiqua" w:cs="Arial"/>
        </w:rPr>
        <w:t xml:space="preserve"> no fee award.</w:t>
      </w:r>
    </w:p>
    <w:p w:rsidR="00F13D39" w:rsidRDefault="00F13D39" w:rsidP="00F13D39">
      <w:pPr>
        <w:jc w:val="both"/>
        <w:rPr>
          <w:rFonts w:ascii="Book Antiqua" w:hAnsi="Book Antiqua" w:cs="Arial"/>
        </w:rPr>
      </w:pPr>
    </w:p>
    <w:p w:rsidR="00F13D39" w:rsidRDefault="00F13D39" w:rsidP="00F13D39">
      <w:pPr>
        <w:jc w:val="both"/>
        <w:rPr>
          <w:rFonts w:ascii="Book Antiqua" w:hAnsi="Book Antiqua" w:cs="Arial"/>
        </w:rPr>
      </w:pPr>
    </w:p>
    <w:p w:rsidR="00F13D39" w:rsidRDefault="00F13D39" w:rsidP="00F13D39">
      <w:pPr>
        <w:jc w:val="both"/>
        <w:rPr>
          <w:rFonts w:ascii="Book Antiqua" w:hAnsi="Book Antiqua" w:cs="Arial"/>
        </w:rPr>
      </w:pPr>
    </w:p>
    <w:p w:rsidR="00F13D39" w:rsidRDefault="00F13D39" w:rsidP="00F13D39">
      <w:pPr>
        <w:jc w:val="both"/>
        <w:rPr>
          <w:rFonts w:ascii="Book Antiqua" w:hAnsi="Book Antiqua" w:cs="Arial"/>
        </w:rPr>
      </w:pPr>
    </w:p>
    <w:p w:rsidR="00F13D39" w:rsidRDefault="00F13D39" w:rsidP="00F13D39">
      <w:pPr>
        <w:jc w:val="both"/>
        <w:rPr>
          <w:rFonts w:ascii="Book Antiqua" w:hAnsi="Book Antiqua" w:cs="Arial"/>
        </w:rPr>
      </w:pPr>
    </w:p>
    <w:p w:rsidR="00F13D39" w:rsidRDefault="00F13D39" w:rsidP="00F13D39">
      <w:pPr>
        <w:jc w:val="both"/>
        <w:rPr>
          <w:rFonts w:ascii="Book Antiqua" w:hAnsi="Book Antiqua" w:cs="Arial"/>
        </w:rPr>
      </w:pPr>
    </w:p>
    <w:p w:rsidR="00F13D39" w:rsidRPr="00F5664C" w:rsidRDefault="00F13D39" w:rsidP="00F13D3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2A6484">
        <w:rPr>
          <w:rFonts w:ascii="Book Antiqua" w:hAnsi="Book Antiqua" w:cs="Arial"/>
        </w:rPr>
        <w:t>: 15</w:t>
      </w:r>
      <w:r w:rsidR="002A6484" w:rsidRPr="002A6484">
        <w:rPr>
          <w:rFonts w:ascii="Book Antiqua" w:hAnsi="Book Antiqua" w:cs="Arial"/>
          <w:vertAlign w:val="superscript"/>
        </w:rPr>
        <w:t>th</w:t>
      </w:r>
      <w:r w:rsidR="002A6484">
        <w:rPr>
          <w:rFonts w:ascii="Book Antiqua" w:hAnsi="Book Antiqua" w:cs="Arial"/>
        </w:rPr>
        <w:t xml:space="preserve"> May 2018</w:t>
      </w:r>
    </w:p>
    <w:p w:rsidR="00F13D39" w:rsidRPr="00F5664C" w:rsidRDefault="00F13D39" w:rsidP="00F13D39">
      <w:pPr>
        <w:tabs>
          <w:tab w:val="left" w:pos="2520"/>
        </w:tabs>
        <w:jc w:val="both"/>
        <w:rPr>
          <w:rFonts w:ascii="Book Antiqua" w:hAnsi="Book Antiqua" w:cs="Arial"/>
        </w:rPr>
      </w:pPr>
    </w:p>
    <w:p w:rsidR="00F13D39" w:rsidRPr="00F5664C" w:rsidRDefault="00F13D39" w:rsidP="00F13D39">
      <w:pPr>
        <w:tabs>
          <w:tab w:val="left" w:pos="2520"/>
        </w:tabs>
        <w:jc w:val="both"/>
        <w:rPr>
          <w:rFonts w:ascii="Book Antiqua" w:hAnsi="Book Antiqua" w:cs="Arial"/>
        </w:rPr>
      </w:pPr>
    </w:p>
    <w:p w:rsidR="00C321B5" w:rsidRPr="00F5664C" w:rsidRDefault="00F13D39" w:rsidP="000369F5">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p>
    <w:sectPr w:rsidR="00C321B5" w:rsidRPr="00F5664C" w:rsidSect="00CA5C34">
      <w:headerReference w:type="default" r:id="rId8"/>
      <w:footerReference w:type="default" r:id="rId9"/>
      <w:footerReference w:type="first" r:id="rId10"/>
      <w:pgSz w:w="11906" w:h="16838" w:code="9"/>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3EF4" w:rsidRDefault="00273EF4">
      <w:r>
        <w:separator/>
      </w:r>
    </w:p>
  </w:endnote>
  <w:endnote w:type="continuationSeparator" w:id="0">
    <w:p w:rsidR="00273EF4" w:rsidRDefault="00273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7015172"/>
      <w:docPartObj>
        <w:docPartGallery w:val="Page Numbers (Bottom of Page)"/>
        <w:docPartUnique/>
      </w:docPartObj>
    </w:sdtPr>
    <w:sdtEndPr>
      <w:rPr>
        <w:noProof/>
      </w:rPr>
    </w:sdtEndPr>
    <w:sdtContent>
      <w:p w:rsidR="00CA5C34" w:rsidRDefault="00CA5C34">
        <w:pPr>
          <w:pStyle w:val="Footer"/>
          <w:jc w:val="center"/>
        </w:pPr>
        <w:r>
          <w:fldChar w:fldCharType="begin"/>
        </w:r>
        <w:r>
          <w:instrText xml:space="preserve"> PAGE   \* MERGEFORMAT </w:instrText>
        </w:r>
        <w:r>
          <w:fldChar w:fldCharType="separate"/>
        </w:r>
        <w:r w:rsidR="001D7145">
          <w:rPr>
            <w:noProof/>
          </w:rPr>
          <w:t>6</w:t>
        </w:r>
        <w:r>
          <w:rPr>
            <w:noProof/>
          </w:rPr>
          <w:fldChar w:fldCharType="end"/>
        </w:r>
      </w:p>
    </w:sdtContent>
  </w:sdt>
  <w:p w:rsidR="00CA5C34" w:rsidRDefault="00CA5C34" w:rsidP="00CA5C3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C34" w:rsidRPr="00650AC8" w:rsidRDefault="00CA5C34" w:rsidP="00CA5C34">
    <w:pPr>
      <w:pStyle w:val="Footer"/>
      <w:jc w:val="center"/>
      <w:rPr>
        <w:rFonts w:ascii="Book Antiqua" w:hAnsi="Book Antiqua"/>
        <w:b/>
      </w:rPr>
    </w:pPr>
    <w:r w:rsidRPr="00650AC8">
      <w:rPr>
        <w:rFonts w:ascii="Book Antiqua" w:hAnsi="Book Antiqua"/>
        <w:b/>
      </w:rPr>
      <w:t>© CROWN COPYRIGHT 2018</w:t>
    </w:r>
  </w:p>
  <w:p w:rsidR="00CA5C34" w:rsidRDefault="00CA5C34" w:rsidP="00CA5C3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3EF4" w:rsidRDefault="00273EF4">
      <w:r>
        <w:separator/>
      </w:r>
    </w:p>
  </w:footnote>
  <w:footnote w:type="continuationSeparator" w:id="0">
    <w:p w:rsidR="00273EF4" w:rsidRDefault="00273E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C34" w:rsidRDefault="00CA5C34" w:rsidP="00CA5C34">
    <w:pPr>
      <w:pStyle w:val="Header"/>
      <w:jc w:val="right"/>
      <w:rPr>
        <w:rFonts w:ascii="Book Antiqua" w:hAnsi="Book Antiqua"/>
        <w:sz w:val="16"/>
        <w:szCs w:val="16"/>
      </w:rPr>
    </w:pPr>
    <w:r>
      <w:rPr>
        <w:rFonts w:ascii="Book Antiqua" w:hAnsi="Book Antiqua"/>
        <w:sz w:val="16"/>
        <w:szCs w:val="16"/>
      </w:rPr>
      <w:t>Appeal Number: PA/08909/2016</w:t>
    </w:r>
  </w:p>
  <w:p w:rsidR="00CA5C34" w:rsidRPr="00CA5C34" w:rsidRDefault="00CA5C34" w:rsidP="00CA5C34">
    <w:pPr>
      <w:pStyle w:val="Header"/>
      <w:jc w:val="right"/>
      <w:rPr>
        <w:rFonts w:ascii="Book Antiqua" w:hAnsi="Book Antiqua"/>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FF43DB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7CD426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DB31720"/>
    <w:multiLevelType w:val="multilevel"/>
    <w:tmpl w:val="F1D64DB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BD71ED63-2387-4B12-84A0-ABFE45077458}"/>
    <w:docVar w:name="dgnword-eventsink" w:val="251376936"/>
  </w:docVars>
  <w:rsids>
    <w:rsidRoot w:val="003B78DC"/>
    <w:rsid w:val="00000621"/>
    <w:rsid w:val="000036C2"/>
    <w:rsid w:val="00030C00"/>
    <w:rsid w:val="00033D3D"/>
    <w:rsid w:val="000369F5"/>
    <w:rsid w:val="00047F27"/>
    <w:rsid w:val="00071A7E"/>
    <w:rsid w:val="000746C0"/>
    <w:rsid w:val="00074D1D"/>
    <w:rsid w:val="00092580"/>
    <w:rsid w:val="000A7929"/>
    <w:rsid w:val="000D01C9"/>
    <w:rsid w:val="000D5D94"/>
    <w:rsid w:val="000E0CD7"/>
    <w:rsid w:val="00114F8B"/>
    <w:rsid w:val="001165A7"/>
    <w:rsid w:val="00145AC2"/>
    <w:rsid w:val="00151BB7"/>
    <w:rsid w:val="00167D3A"/>
    <w:rsid w:val="00183E8D"/>
    <w:rsid w:val="001A1E2C"/>
    <w:rsid w:val="001D7145"/>
    <w:rsid w:val="001F2716"/>
    <w:rsid w:val="0020133A"/>
    <w:rsid w:val="00207617"/>
    <w:rsid w:val="00244BC9"/>
    <w:rsid w:val="00255071"/>
    <w:rsid w:val="00273EF4"/>
    <w:rsid w:val="00283659"/>
    <w:rsid w:val="002A6484"/>
    <w:rsid w:val="002A79AF"/>
    <w:rsid w:val="002C4E73"/>
    <w:rsid w:val="002D68BF"/>
    <w:rsid w:val="002F64A5"/>
    <w:rsid w:val="00336CBF"/>
    <w:rsid w:val="003546C8"/>
    <w:rsid w:val="00360BF4"/>
    <w:rsid w:val="003666D3"/>
    <w:rsid w:val="003A7CF2"/>
    <w:rsid w:val="003B78DC"/>
    <w:rsid w:val="003C49CE"/>
    <w:rsid w:val="003C5CE5"/>
    <w:rsid w:val="003E267B"/>
    <w:rsid w:val="003E7CD1"/>
    <w:rsid w:val="00402B9E"/>
    <w:rsid w:val="00423932"/>
    <w:rsid w:val="004249CB"/>
    <w:rsid w:val="0044127D"/>
    <w:rsid w:val="004448DB"/>
    <w:rsid w:val="00446C9A"/>
    <w:rsid w:val="00465F8E"/>
    <w:rsid w:val="00477193"/>
    <w:rsid w:val="004A1848"/>
    <w:rsid w:val="004A46BF"/>
    <w:rsid w:val="005008D8"/>
    <w:rsid w:val="00507FEC"/>
    <w:rsid w:val="00510F0E"/>
    <w:rsid w:val="005419DD"/>
    <w:rsid w:val="005479E1"/>
    <w:rsid w:val="005502DA"/>
    <w:rsid w:val="005570FD"/>
    <w:rsid w:val="005575EA"/>
    <w:rsid w:val="00561E27"/>
    <w:rsid w:val="0057790C"/>
    <w:rsid w:val="00593795"/>
    <w:rsid w:val="005A3680"/>
    <w:rsid w:val="005A75FF"/>
    <w:rsid w:val="005B7789"/>
    <w:rsid w:val="005E5DFF"/>
    <w:rsid w:val="005F7DB4"/>
    <w:rsid w:val="0065791C"/>
    <w:rsid w:val="00690B8A"/>
    <w:rsid w:val="006D1DFA"/>
    <w:rsid w:val="006D506B"/>
    <w:rsid w:val="006E3C90"/>
    <w:rsid w:val="00702D96"/>
    <w:rsid w:val="00704B61"/>
    <w:rsid w:val="0070783C"/>
    <w:rsid w:val="00707DB1"/>
    <w:rsid w:val="007353BB"/>
    <w:rsid w:val="00742A8D"/>
    <w:rsid w:val="00752359"/>
    <w:rsid w:val="007552A9"/>
    <w:rsid w:val="00761858"/>
    <w:rsid w:val="00767D59"/>
    <w:rsid w:val="00776E97"/>
    <w:rsid w:val="00780FD7"/>
    <w:rsid w:val="007912AD"/>
    <w:rsid w:val="007A1F28"/>
    <w:rsid w:val="007B0824"/>
    <w:rsid w:val="007C0CD9"/>
    <w:rsid w:val="007D179A"/>
    <w:rsid w:val="00802445"/>
    <w:rsid w:val="008120D4"/>
    <w:rsid w:val="00823516"/>
    <w:rsid w:val="008303B8"/>
    <w:rsid w:val="00833DCE"/>
    <w:rsid w:val="00842418"/>
    <w:rsid w:val="008634DB"/>
    <w:rsid w:val="00871D34"/>
    <w:rsid w:val="00887842"/>
    <w:rsid w:val="008901DD"/>
    <w:rsid w:val="0089528C"/>
    <w:rsid w:val="00895611"/>
    <w:rsid w:val="008B270C"/>
    <w:rsid w:val="008C2ED5"/>
    <w:rsid w:val="008C3D3D"/>
    <w:rsid w:val="008D4131"/>
    <w:rsid w:val="008D5128"/>
    <w:rsid w:val="008E0930"/>
    <w:rsid w:val="008F1932"/>
    <w:rsid w:val="008F294D"/>
    <w:rsid w:val="00921062"/>
    <w:rsid w:val="0092239B"/>
    <w:rsid w:val="0092618D"/>
    <w:rsid w:val="0093083E"/>
    <w:rsid w:val="00966ECF"/>
    <w:rsid w:val="009727A3"/>
    <w:rsid w:val="00984D3B"/>
    <w:rsid w:val="00987774"/>
    <w:rsid w:val="009A11E8"/>
    <w:rsid w:val="009D0C2C"/>
    <w:rsid w:val="009E4E62"/>
    <w:rsid w:val="009F5220"/>
    <w:rsid w:val="009F7C4D"/>
    <w:rsid w:val="00A123EF"/>
    <w:rsid w:val="00A15234"/>
    <w:rsid w:val="00A201AB"/>
    <w:rsid w:val="00A31C8B"/>
    <w:rsid w:val="00A409F5"/>
    <w:rsid w:val="00A75965"/>
    <w:rsid w:val="00A845DC"/>
    <w:rsid w:val="00A90C98"/>
    <w:rsid w:val="00A97AEE"/>
    <w:rsid w:val="00AC5CF6"/>
    <w:rsid w:val="00AF5A03"/>
    <w:rsid w:val="00B144FA"/>
    <w:rsid w:val="00B16F58"/>
    <w:rsid w:val="00B30648"/>
    <w:rsid w:val="00B337AA"/>
    <w:rsid w:val="00B3524D"/>
    <w:rsid w:val="00B40F69"/>
    <w:rsid w:val="00B4659E"/>
    <w:rsid w:val="00B46616"/>
    <w:rsid w:val="00B610E3"/>
    <w:rsid w:val="00B61205"/>
    <w:rsid w:val="00B617C4"/>
    <w:rsid w:val="00B626FA"/>
    <w:rsid w:val="00B7040A"/>
    <w:rsid w:val="00B96FA0"/>
    <w:rsid w:val="00BD4196"/>
    <w:rsid w:val="00BE31CE"/>
    <w:rsid w:val="00BF22CA"/>
    <w:rsid w:val="00C07D56"/>
    <w:rsid w:val="00C2325C"/>
    <w:rsid w:val="00C26032"/>
    <w:rsid w:val="00C265B0"/>
    <w:rsid w:val="00C321B5"/>
    <w:rsid w:val="00C345E1"/>
    <w:rsid w:val="00C977BA"/>
    <w:rsid w:val="00CA5C34"/>
    <w:rsid w:val="00CB6E35"/>
    <w:rsid w:val="00CE1A46"/>
    <w:rsid w:val="00CE26B2"/>
    <w:rsid w:val="00CF253F"/>
    <w:rsid w:val="00CF56B4"/>
    <w:rsid w:val="00D20F09"/>
    <w:rsid w:val="00D22636"/>
    <w:rsid w:val="00D40FD9"/>
    <w:rsid w:val="00D45764"/>
    <w:rsid w:val="00D45A31"/>
    <w:rsid w:val="00D53769"/>
    <w:rsid w:val="00D61D0C"/>
    <w:rsid w:val="00D65912"/>
    <w:rsid w:val="00D85C13"/>
    <w:rsid w:val="00D91BE3"/>
    <w:rsid w:val="00D94AFC"/>
    <w:rsid w:val="00DA4B3F"/>
    <w:rsid w:val="00DB70AE"/>
    <w:rsid w:val="00DB7231"/>
    <w:rsid w:val="00DC1C00"/>
    <w:rsid w:val="00DD327A"/>
    <w:rsid w:val="00DD5071"/>
    <w:rsid w:val="00DD5C39"/>
    <w:rsid w:val="00DE26AF"/>
    <w:rsid w:val="00DE7DB7"/>
    <w:rsid w:val="00E00A0A"/>
    <w:rsid w:val="00E07F57"/>
    <w:rsid w:val="00E1040E"/>
    <w:rsid w:val="00E50BCE"/>
    <w:rsid w:val="00E61292"/>
    <w:rsid w:val="00E75A75"/>
    <w:rsid w:val="00E76309"/>
    <w:rsid w:val="00E77C4D"/>
    <w:rsid w:val="00E81D01"/>
    <w:rsid w:val="00E905C1"/>
    <w:rsid w:val="00EA33C5"/>
    <w:rsid w:val="00EC3DB1"/>
    <w:rsid w:val="00ED0DC3"/>
    <w:rsid w:val="00EE45D8"/>
    <w:rsid w:val="00F004CD"/>
    <w:rsid w:val="00F13D39"/>
    <w:rsid w:val="00F22A22"/>
    <w:rsid w:val="00F22EDA"/>
    <w:rsid w:val="00F3224D"/>
    <w:rsid w:val="00F33E0E"/>
    <w:rsid w:val="00F46B40"/>
    <w:rsid w:val="00F5664C"/>
    <w:rsid w:val="00F61A42"/>
    <w:rsid w:val="00FA2560"/>
    <w:rsid w:val="00FB0EDC"/>
    <w:rsid w:val="00FB7E80"/>
    <w:rsid w:val="00FC06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A67CA8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character" w:customStyle="1" w:styleId="FooterChar">
    <w:name w:val="Footer Char"/>
    <w:basedOn w:val="DefaultParagraphFont"/>
    <w:link w:val="Footer"/>
    <w:uiPriority w:val="99"/>
    <w:rsid w:val="00CA5C3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2104</Words>
  <Characters>10165</Characters>
  <Application>Microsoft Office Word</Application>
  <DocSecurity>0</DocSecurity>
  <Lines>84</Lines>
  <Paragraphs>24</Paragraphs>
  <ScaleCrop>false</ScaleCrop>
  <Company/>
  <LinksUpToDate>false</LinksUpToDate>
  <CharactersWithSpaces>12245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2018-06-15T15:09:00Z</dcterms:created>
  <dcterms:modified xsi:type="dcterms:W3CDTF">2018-06-15T15:09:00Z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