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520108" w:rsidRDefault="00520108" w:rsidP="00933B65">
      <w:pPr>
        <w:jc w:val="center"/>
      </w:pPr>
    </w:p>
    <w:p w:rsidR="00933B65" w:rsidRDefault="00D62635" w:rsidP="00933B65">
      <w:pPr>
        <w:jc w:val="center"/>
        <w:rPr>
          <w:rFonts w:ascii="Book Antiqua" w:hAnsi="Book Antiqua" w:cs="Arial"/>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2pt;height:86.4pt">
            <v:imagedata r:id="rId7" o:title="Asylum and Immigration tribunal-b&amp;w-tiff" cropbottom="-4971f" cropright="53402f"/>
          </v:shape>
        </w:pict>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D62635"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D62635">
        <w:rPr>
          <w:rFonts w:ascii="Book Antiqua" w:hAnsi="Book Antiqua" w:cs="Arial"/>
          <w:b/>
          <w:color w:val="000000"/>
        </w:rPr>
        <w:t xml:space="preserve">   </w:t>
      </w:r>
      <w:proofErr w:type="gramEnd"/>
      <w:r w:rsidR="00D62635">
        <w:rPr>
          <w:rFonts w:ascii="Book Antiqua" w:hAnsi="Book Antiqua" w:cs="Arial"/>
          <w:b/>
          <w:color w:val="000000"/>
        </w:rPr>
        <w:t xml:space="preserve">                      </w:t>
      </w:r>
      <w:r w:rsidRPr="00D62635">
        <w:rPr>
          <w:rFonts w:ascii="Book Antiqua" w:hAnsi="Book Antiqua" w:cs="Arial"/>
          <w:b/>
          <w:color w:val="000000"/>
        </w:rPr>
        <w:t xml:space="preserve">Appeal Number: </w:t>
      </w:r>
      <w:r w:rsidR="008C5F2E" w:rsidRPr="00D62635">
        <w:rPr>
          <w:rFonts w:ascii="Book Antiqua" w:hAnsi="Book Antiqua" w:cs="Arial"/>
          <w:b/>
          <w:color w:val="000000"/>
        </w:rPr>
        <w:t>PA/08965/2017</w:t>
      </w: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405694" w:rsidRPr="00F97703" w:rsidRDefault="00405694" w:rsidP="00405694">
      <w:pPr>
        <w:jc w:val="center"/>
        <w:rPr>
          <w:rFonts w:ascii="Book Antiqua" w:hAnsi="Book Antiqua" w:cs="Arial"/>
          <w:b/>
          <w:u w:val="single"/>
        </w:rPr>
      </w:pPr>
    </w:p>
    <w:tbl>
      <w:tblPr>
        <w:tblW w:w="0" w:type="auto"/>
        <w:tblLook w:val="01E0" w:firstRow="1" w:lastRow="1" w:firstColumn="1" w:lastColumn="1" w:noHBand="0" w:noVBand="0"/>
      </w:tblPr>
      <w:tblGrid>
        <w:gridCol w:w="5495"/>
        <w:gridCol w:w="4333"/>
      </w:tblGrid>
      <w:tr w:rsidR="00405694" w:rsidRPr="00AB1DC6" w:rsidTr="00D62635">
        <w:tc>
          <w:tcPr>
            <w:tcW w:w="5495"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4333" w:type="dxa"/>
            <w:shd w:val="clear" w:color="auto" w:fill="auto"/>
          </w:tcPr>
          <w:p w:rsidR="00405694" w:rsidRPr="00AB1DC6" w:rsidRDefault="00D62635" w:rsidP="00AB1DC6">
            <w:pPr>
              <w:jc w:val="both"/>
              <w:rPr>
                <w:rFonts w:ascii="Book Antiqua" w:hAnsi="Book Antiqua" w:cs="Arial"/>
                <w:b/>
                <w:color w:val="000000"/>
              </w:rPr>
            </w:pPr>
            <w:r>
              <w:rPr>
                <w:rFonts w:ascii="Book Antiqua" w:hAnsi="Book Antiqua" w:cs="Arial"/>
                <w:b/>
                <w:color w:val="000000"/>
              </w:rPr>
              <w:t xml:space="preserve"> </w:t>
            </w:r>
            <w:r w:rsidR="00405694" w:rsidRPr="00AB1DC6">
              <w:rPr>
                <w:rFonts w:ascii="Book Antiqua" w:hAnsi="Book Antiqua" w:cs="Arial"/>
                <w:b/>
                <w:color w:val="000000"/>
              </w:rPr>
              <w:t>Decision Promulgated</w:t>
            </w:r>
          </w:p>
        </w:tc>
      </w:tr>
      <w:tr w:rsidR="00405694" w:rsidRPr="00AB1DC6" w:rsidTr="00D62635">
        <w:tc>
          <w:tcPr>
            <w:tcW w:w="5495"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8C5F2E">
              <w:rPr>
                <w:rFonts w:ascii="Book Antiqua" w:hAnsi="Book Antiqua" w:cs="Arial"/>
                <w:b/>
              </w:rPr>
              <w:t>23 April 2018</w:t>
            </w:r>
          </w:p>
        </w:tc>
        <w:tc>
          <w:tcPr>
            <w:tcW w:w="4333" w:type="dxa"/>
            <w:shd w:val="clear" w:color="auto" w:fill="auto"/>
          </w:tcPr>
          <w:p w:rsidR="00405694" w:rsidRPr="00AB1DC6" w:rsidRDefault="00D62635" w:rsidP="00AB1DC6">
            <w:pPr>
              <w:jc w:val="both"/>
              <w:rPr>
                <w:rFonts w:ascii="Book Antiqua" w:hAnsi="Book Antiqua" w:cs="Arial"/>
                <w:b/>
              </w:rPr>
            </w:pPr>
            <w:r>
              <w:rPr>
                <w:rFonts w:ascii="Book Antiqua" w:hAnsi="Book Antiqua" w:cs="Arial"/>
                <w:b/>
              </w:rPr>
              <w:t xml:space="preserve"> </w:t>
            </w:r>
            <w:r w:rsidR="005957E3">
              <w:rPr>
                <w:rFonts w:ascii="Book Antiqua" w:hAnsi="Book Antiqua" w:cs="Arial"/>
                <w:b/>
              </w:rPr>
              <w:t>On 12</w:t>
            </w:r>
            <w:r w:rsidR="005957E3">
              <w:rPr>
                <w:rFonts w:ascii="Book Antiqua" w:hAnsi="Book Antiqua" w:cs="Arial"/>
                <w:b/>
                <w:vertAlign w:val="superscript"/>
              </w:rPr>
              <w:t xml:space="preserve"> </w:t>
            </w:r>
            <w:r w:rsidR="005957E3">
              <w:rPr>
                <w:rFonts w:ascii="Book Antiqua" w:hAnsi="Book Antiqua" w:cs="Arial"/>
                <w:b/>
              </w:rPr>
              <w:t xml:space="preserve">June 2018 </w:t>
            </w:r>
          </w:p>
        </w:tc>
      </w:tr>
      <w:tr w:rsidR="00405694" w:rsidRPr="00AB1DC6" w:rsidTr="00D62635">
        <w:tc>
          <w:tcPr>
            <w:tcW w:w="5495" w:type="dxa"/>
            <w:shd w:val="clear" w:color="auto" w:fill="auto"/>
          </w:tcPr>
          <w:p w:rsidR="00405694" w:rsidRPr="00AB1DC6" w:rsidRDefault="00405694" w:rsidP="00AB1DC6">
            <w:pPr>
              <w:jc w:val="both"/>
              <w:rPr>
                <w:rFonts w:ascii="Book Antiqua" w:hAnsi="Book Antiqua" w:cs="Arial"/>
                <w:b/>
              </w:rPr>
            </w:pPr>
          </w:p>
        </w:tc>
        <w:tc>
          <w:tcPr>
            <w:tcW w:w="4333" w:type="dxa"/>
            <w:shd w:val="clear" w:color="auto" w:fill="auto"/>
          </w:tcPr>
          <w:p w:rsidR="00405694" w:rsidRPr="00AB1DC6" w:rsidRDefault="00405694" w:rsidP="00AB1DC6">
            <w:pPr>
              <w:jc w:val="both"/>
              <w:rPr>
                <w:rFonts w:ascii="Book Antiqua" w:hAnsi="Book Antiqua" w:cs="Arial"/>
                <w:b/>
              </w:rPr>
            </w:pPr>
          </w:p>
        </w:tc>
      </w:tr>
    </w:tbl>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294F41" w:rsidRPr="00F97703" w:rsidRDefault="00294F41"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294F41" w:rsidRDefault="00294F41" w:rsidP="00933B65">
      <w:pPr>
        <w:jc w:val="center"/>
        <w:rPr>
          <w:rFonts w:ascii="Book Antiqua" w:hAnsi="Book Antiqua" w:cs="Arial"/>
          <w:b/>
        </w:rPr>
      </w:pPr>
    </w:p>
    <w:p w:rsidR="00933B65" w:rsidRDefault="008C5F2E" w:rsidP="00933B65">
      <w:pPr>
        <w:jc w:val="center"/>
        <w:rPr>
          <w:rFonts w:ascii="Book Antiqua" w:hAnsi="Book Antiqua" w:cs="Arial"/>
          <w:b/>
        </w:rPr>
      </w:pPr>
      <w:r>
        <w:rPr>
          <w:rFonts w:ascii="Book Antiqua" w:hAnsi="Book Antiqua" w:cs="Arial"/>
          <w:b/>
        </w:rPr>
        <w:t>M L</w:t>
      </w:r>
    </w:p>
    <w:p w:rsidR="00D62635" w:rsidRPr="00D62635" w:rsidRDefault="00D62635" w:rsidP="00D62635">
      <w:pPr>
        <w:jc w:val="center"/>
        <w:rPr>
          <w:rFonts w:ascii="Book Antiqua" w:hAnsi="Book Antiqua" w:cs="Arial"/>
        </w:rPr>
      </w:pPr>
      <w:r w:rsidRPr="00D62635">
        <w:rPr>
          <w:rFonts w:ascii="Book Antiqua" w:hAnsi="Book Antiqua" w:cs="Arial"/>
        </w:rPr>
        <w:t>(ANONYMITY DIRECTION MADE)</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294F41" w:rsidRPr="00F97703" w:rsidRDefault="00294F41" w:rsidP="00933B65">
      <w:pPr>
        <w:jc w:val="right"/>
        <w:rPr>
          <w:rFonts w:ascii="Book Antiqua" w:hAnsi="Book Antiqua" w:cs="Arial"/>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294F41" w:rsidRPr="00F97703" w:rsidRDefault="00D62635" w:rsidP="00933B65">
      <w:pPr>
        <w:jc w:val="center"/>
        <w:rPr>
          <w:rFonts w:ascii="Book Antiqua" w:hAnsi="Book Antiqua" w:cs="Arial"/>
          <w:b/>
        </w:rPr>
      </w:pPr>
      <w:r>
        <w:rPr>
          <w:rFonts w:ascii="Book Antiqua" w:hAnsi="Book Antiqua" w:cs="Arial"/>
          <w:b/>
        </w:rPr>
        <w:t>THE SECRETARY OF STATE FOR THE HOME DEPARTMENT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405694" w:rsidRDefault="00405694" w:rsidP="003B36AE">
      <w:pPr>
        <w:tabs>
          <w:tab w:val="left" w:pos="2520"/>
        </w:tabs>
        <w:rPr>
          <w:rFonts w:ascii="Book Antiqua" w:hAnsi="Book Antiqua" w:cs="Arial"/>
          <w:b/>
          <w:sz w:val="20"/>
          <w:szCs w:val="20"/>
          <w:u w:val="single"/>
        </w:rPr>
      </w:pPr>
    </w:p>
    <w:p w:rsidR="003B36AE" w:rsidRPr="00010B88" w:rsidRDefault="003B36AE" w:rsidP="003B36AE">
      <w:pPr>
        <w:tabs>
          <w:tab w:val="left" w:pos="2520"/>
        </w:tabs>
        <w:rPr>
          <w:rFonts w:ascii="Book Antiqua" w:hAnsi="Book Antiqua" w:cs="Arial"/>
          <w:b/>
          <w:u w:val="single"/>
        </w:rPr>
      </w:pPr>
      <w:r w:rsidRPr="00010B88">
        <w:rPr>
          <w:rFonts w:ascii="Book Antiqua" w:hAnsi="Book Antiqua" w:cs="Arial"/>
          <w:b/>
          <w:u w:val="single"/>
        </w:rPr>
        <w:t>Anonymity</w:t>
      </w:r>
    </w:p>
    <w:p w:rsidR="003B36AE" w:rsidRPr="00010B88" w:rsidRDefault="003B36AE" w:rsidP="003B36AE">
      <w:pPr>
        <w:tabs>
          <w:tab w:val="left" w:pos="2520"/>
        </w:tabs>
        <w:rPr>
          <w:rFonts w:ascii="Book Antiqua" w:hAnsi="Book Antiqua" w:cs="Arial"/>
          <w:i/>
        </w:rPr>
      </w:pPr>
      <w:r w:rsidRPr="00010B88">
        <w:rPr>
          <w:rFonts w:ascii="Book Antiqua" w:hAnsi="Book Antiqua" w:cs="Arial"/>
          <w:i/>
        </w:rPr>
        <w:t xml:space="preserve">Rule 14: The Tribunal Procedure (Upper Tribunal) Rules 2008 </w:t>
      </w:r>
    </w:p>
    <w:p w:rsidR="003B36AE" w:rsidRPr="00010B88" w:rsidRDefault="003B36AE" w:rsidP="003B36AE">
      <w:pPr>
        <w:widowControl w:val="0"/>
        <w:tabs>
          <w:tab w:val="left" w:pos="0"/>
        </w:tabs>
        <w:jc w:val="both"/>
        <w:rPr>
          <w:rFonts w:ascii="Book Antiqua" w:hAnsi="Book Antiqua" w:cs="Arial"/>
        </w:rPr>
      </w:pPr>
      <w:r w:rsidRPr="00010B88">
        <w:rPr>
          <w:rFonts w:ascii="Book Antiqua" w:hAnsi="Book Antiqua" w:cs="Arial"/>
        </w:rPr>
        <w:t xml:space="preserve">Anonymity was granted at an earlier stage of the proceedings because the case involves </w:t>
      </w:r>
      <w:r w:rsidR="00405694" w:rsidRPr="00010B88">
        <w:rPr>
          <w:rFonts w:ascii="Book Antiqua" w:hAnsi="Book Antiqua" w:cs="Arial"/>
        </w:rPr>
        <w:t xml:space="preserve">protection </w:t>
      </w:r>
      <w:r w:rsidR="00010B88" w:rsidRPr="00010B88">
        <w:rPr>
          <w:rFonts w:ascii="Book Antiqua" w:hAnsi="Book Antiqua" w:cs="Arial"/>
        </w:rPr>
        <w:t>issues. I</w:t>
      </w:r>
      <w:r w:rsidRPr="00010B88">
        <w:rPr>
          <w:rFonts w:ascii="Book Antiqua" w:hAnsi="Book Antiqua" w:cs="Arial"/>
        </w:rPr>
        <w:t xml:space="preserve"> find that it is appropriate to continue the order. Unless and until a tribunal or court directs otherwise, the appellant is granted anonymity. No report of these proceedings shall directly or indirectly identify him or any member of his family. This direction applies both to the appellant and to the respondent. </w:t>
      </w:r>
    </w:p>
    <w:p w:rsidR="003B36AE" w:rsidRDefault="003B36AE"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933B65">
      <w:pPr>
        <w:rPr>
          <w:rFonts w:ascii="Book Antiqua" w:hAnsi="Book Antiqua" w:cs="Arial"/>
        </w:rPr>
      </w:pP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8C5F2E">
        <w:rPr>
          <w:rFonts w:ascii="Book Antiqua" w:hAnsi="Book Antiqua" w:cs="Arial"/>
        </w:rPr>
        <w:t>Ms E. Sanders, Counsel instructed by Elder Rahimi Solicitors</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8C5F2E">
        <w:rPr>
          <w:rFonts w:ascii="Book Antiqua" w:hAnsi="Book Antiqua" w:cs="Arial"/>
        </w:rPr>
        <w:t xml:space="preserve">Mr I. Jarvis, Senior Home Office Presenting Officer </w:t>
      </w:r>
    </w:p>
    <w:p w:rsidR="00D62635" w:rsidRPr="00405694" w:rsidRDefault="00D62635" w:rsidP="00933B65">
      <w:pPr>
        <w:rPr>
          <w:rFonts w:ascii="Book Antiqua" w:hAnsi="Book Antiqua" w:cs="Arial"/>
        </w:rPr>
      </w:pPr>
    </w:p>
    <w:p w:rsidR="00520108" w:rsidRDefault="00520108" w:rsidP="00405694">
      <w:pPr>
        <w:tabs>
          <w:tab w:val="left" w:pos="2520"/>
        </w:tabs>
        <w:jc w:val="center"/>
        <w:rPr>
          <w:rFonts w:ascii="Book Antiqua" w:hAnsi="Book Antiqua" w:cs="Arial"/>
          <w:b/>
          <w:u w:val="single"/>
        </w:rPr>
      </w:pPr>
    </w:p>
    <w:p w:rsidR="00520108" w:rsidRDefault="00520108" w:rsidP="00405694">
      <w:pPr>
        <w:tabs>
          <w:tab w:val="left" w:pos="2520"/>
        </w:tabs>
        <w:jc w:val="center"/>
        <w:rPr>
          <w:rFonts w:ascii="Book Antiqua" w:hAnsi="Book Antiqua" w:cs="Arial"/>
          <w:b/>
          <w:u w:val="single"/>
        </w:rPr>
      </w:pPr>
    </w:p>
    <w:p w:rsidR="00520108" w:rsidRDefault="00520108" w:rsidP="00405694">
      <w:pPr>
        <w:tabs>
          <w:tab w:val="left" w:pos="2520"/>
        </w:tabs>
        <w:jc w:val="center"/>
        <w:rPr>
          <w:rFonts w:ascii="Book Antiqua" w:hAnsi="Book Antiqua" w:cs="Arial"/>
          <w:b/>
          <w:u w:val="single"/>
        </w:rPr>
      </w:pPr>
    </w:p>
    <w:p w:rsidR="00056E7C" w:rsidRDefault="00405694" w:rsidP="00405694">
      <w:pPr>
        <w:tabs>
          <w:tab w:val="left" w:pos="2520"/>
        </w:tabs>
        <w:jc w:val="center"/>
        <w:rPr>
          <w:rFonts w:ascii="Book Antiqua" w:hAnsi="Book Antiqua" w:cs="Arial"/>
          <w:b/>
          <w:u w:val="single"/>
        </w:rPr>
      </w:pPr>
      <w:r>
        <w:rPr>
          <w:rFonts w:ascii="Book Antiqua" w:hAnsi="Book Antiqua" w:cs="Arial"/>
          <w:b/>
          <w:u w:val="single"/>
        </w:rPr>
        <w:t>DECISION</w:t>
      </w:r>
      <w:r w:rsidRPr="00F97703">
        <w:rPr>
          <w:rFonts w:ascii="Book Antiqua" w:hAnsi="Book Antiqua" w:cs="Arial"/>
          <w:b/>
          <w:u w:val="single"/>
        </w:rPr>
        <w:t xml:space="preserve"> AND REASONS</w:t>
      </w:r>
    </w:p>
    <w:p w:rsidR="00520108" w:rsidRDefault="00520108" w:rsidP="00405694">
      <w:pPr>
        <w:tabs>
          <w:tab w:val="left" w:pos="2520"/>
        </w:tabs>
        <w:jc w:val="center"/>
        <w:rPr>
          <w:rFonts w:ascii="Book Antiqua" w:hAnsi="Book Antiqua" w:cs="Arial"/>
        </w:rPr>
      </w:pPr>
    </w:p>
    <w:p w:rsidR="00056E7C" w:rsidRDefault="00056E7C" w:rsidP="00933B65">
      <w:pPr>
        <w:tabs>
          <w:tab w:val="left" w:pos="567"/>
        </w:tabs>
        <w:jc w:val="both"/>
        <w:rPr>
          <w:rFonts w:ascii="Book Antiqua" w:hAnsi="Book Antiqua" w:cs="Arial"/>
        </w:rPr>
      </w:pPr>
    </w:p>
    <w:p w:rsidR="005B34D7" w:rsidRPr="00D9322B" w:rsidRDefault="005B34D7" w:rsidP="005B34D7">
      <w:pPr>
        <w:pStyle w:val="NormalWeb"/>
        <w:spacing w:before="2" w:after="2"/>
        <w:ind w:left="720" w:hanging="720"/>
        <w:jc w:val="both"/>
        <w:rPr>
          <w:rFonts w:ascii="Book Antiqua" w:hAnsi="Book Antiqua"/>
          <w:color w:val="000000"/>
          <w:sz w:val="24"/>
        </w:rPr>
      </w:pPr>
      <w:r w:rsidRPr="00D9322B">
        <w:rPr>
          <w:rFonts w:ascii="Book Antiqua" w:hAnsi="Book Antiqua"/>
          <w:color w:val="000000"/>
          <w:sz w:val="24"/>
        </w:rPr>
        <w:t xml:space="preserve">1. </w:t>
      </w:r>
      <w:r>
        <w:rPr>
          <w:rFonts w:ascii="Book Antiqua" w:hAnsi="Book Antiqua"/>
          <w:color w:val="000000"/>
          <w:sz w:val="24"/>
        </w:rPr>
        <w:tab/>
      </w:r>
      <w:r w:rsidRPr="00D9322B">
        <w:rPr>
          <w:rFonts w:ascii="Book Antiqua" w:hAnsi="Book Antiqua"/>
          <w:color w:val="000000"/>
          <w:sz w:val="24"/>
        </w:rPr>
        <w:t>The appellant appealed the respondent’s decision dated 04 September 2017 to refuse a protection and human rights claim.</w:t>
      </w:r>
      <w:r w:rsidRPr="00D9322B">
        <w:rPr>
          <w:rStyle w:val="apple-converted-space"/>
          <w:rFonts w:ascii="Book Antiqua" w:hAnsi="Book Antiqua"/>
          <w:color w:val="000000"/>
          <w:sz w:val="24"/>
        </w:rPr>
        <w:t> </w:t>
      </w:r>
    </w:p>
    <w:p w:rsidR="005B34D7" w:rsidRDefault="005B34D7" w:rsidP="005B34D7">
      <w:pPr>
        <w:pStyle w:val="NormalWeb"/>
        <w:spacing w:before="2" w:after="2"/>
        <w:jc w:val="both"/>
        <w:rPr>
          <w:rFonts w:ascii="Book Antiqua" w:hAnsi="Book Antiqua"/>
          <w:color w:val="000000"/>
          <w:sz w:val="24"/>
        </w:rPr>
      </w:pPr>
    </w:p>
    <w:p w:rsidR="005B34D7" w:rsidRPr="00D9322B" w:rsidRDefault="005B34D7" w:rsidP="005B34D7">
      <w:pPr>
        <w:pStyle w:val="NormalWeb"/>
        <w:spacing w:before="2" w:after="2"/>
        <w:ind w:left="720" w:hanging="720"/>
        <w:jc w:val="both"/>
        <w:rPr>
          <w:rFonts w:ascii="Book Antiqua" w:hAnsi="Book Antiqua"/>
          <w:color w:val="000000"/>
          <w:sz w:val="24"/>
        </w:rPr>
      </w:pPr>
      <w:r w:rsidRPr="00D9322B">
        <w:rPr>
          <w:rFonts w:ascii="Book Antiqua" w:hAnsi="Book Antiqua"/>
          <w:color w:val="000000"/>
          <w:sz w:val="24"/>
        </w:rPr>
        <w:t xml:space="preserve">2. </w:t>
      </w:r>
      <w:r>
        <w:rPr>
          <w:rFonts w:ascii="Book Antiqua" w:hAnsi="Book Antiqua"/>
          <w:color w:val="000000"/>
          <w:sz w:val="24"/>
        </w:rPr>
        <w:tab/>
      </w:r>
      <w:r w:rsidRPr="00D9322B">
        <w:rPr>
          <w:rFonts w:ascii="Book Antiqua" w:hAnsi="Book Antiqua"/>
          <w:color w:val="000000"/>
          <w:sz w:val="24"/>
        </w:rPr>
        <w:t xml:space="preserve">First-tier Tribunal Judge </w:t>
      </w:r>
      <w:proofErr w:type="spellStart"/>
      <w:r w:rsidRPr="00D9322B">
        <w:rPr>
          <w:rFonts w:ascii="Book Antiqua" w:hAnsi="Book Antiqua"/>
          <w:color w:val="000000"/>
          <w:sz w:val="24"/>
        </w:rPr>
        <w:t>Housego</w:t>
      </w:r>
      <w:proofErr w:type="spellEnd"/>
      <w:r w:rsidRPr="00D9322B">
        <w:rPr>
          <w:rFonts w:ascii="Book Antiqua" w:hAnsi="Book Antiqua"/>
          <w:color w:val="000000"/>
          <w:sz w:val="24"/>
        </w:rPr>
        <w:t xml:space="preserve"> (“the judge”) dismissed the appeal in a decision promulgated on 17 October 2017.</w:t>
      </w:r>
      <w:r w:rsidRPr="00D9322B">
        <w:rPr>
          <w:rStyle w:val="apple-converted-space"/>
          <w:rFonts w:ascii="Book Antiqua" w:hAnsi="Book Antiqua"/>
          <w:color w:val="000000"/>
          <w:sz w:val="24"/>
        </w:rPr>
        <w:t> </w:t>
      </w:r>
    </w:p>
    <w:p w:rsidR="005B34D7" w:rsidRDefault="005B34D7" w:rsidP="005B34D7">
      <w:pPr>
        <w:pStyle w:val="NormalWeb"/>
        <w:spacing w:before="2" w:after="2"/>
        <w:jc w:val="both"/>
        <w:rPr>
          <w:rFonts w:ascii="Book Antiqua" w:hAnsi="Book Antiqua"/>
          <w:color w:val="000000"/>
          <w:sz w:val="24"/>
        </w:rPr>
      </w:pPr>
    </w:p>
    <w:p w:rsidR="005B34D7" w:rsidRPr="00D9322B" w:rsidRDefault="005B34D7" w:rsidP="005B34D7">
      <w:pPr>
        <w:pStyle w:val="NormalWeb"/>
        <w:spacing w:before="2" w:after="2"/>
        <w:ind w:left="720" w:hanging="720"/>
        <w:jc w:val="both"/>
        <w:rPr>
          <w:rFonts w:ascii="Book Antiqua" w:hAnsi="Book Antiqua"/>
          <w:color w:val="000000"/>
          <w:sz w:val="24"/>
        </w:rPr>
      </w:pPr>
      <w:r w:rsidRPr="00D9322B">
        <w:rPr>
          <w:rFonts w:ascii="Book Antiqua" w:hAnsi="Book Antiqua"/>
          <w:color w:val="000000"/>
          <w:sz w:val="24"/>
        </w:rPr>
        <w:t xml:space="preserve">3. </w:t>
      </w:r>
      <w:r>
        <w:rPr>
          <w:rFonts w:ascii="Book Antiqua" w:hAnsi="Book Antiqua"/>
          <w:color w:val="000000"/>
          <w:sz w:val="24"/>
        </w:rPr>
        <w:tab/>
      </w:r>
      <w:r w:rsidRPr="00D9322B">
        <w:rPr>
          <w:rFonts w:ascii="Book Antiqua" w:hAnsi="Book Antiqua"/>
          <w:color w:val="000000"/>
          <w:sz w:val="24"/>
        </w:rPr>
        <w:t xml:space="preserve">The appellant appeals the </w:t>
      </w:r>
      <w:r>
        <w:rPr>
          <w:rFonts w:ascii="Book Antiqua" w:hAnsi="Book Antiqua"/>
          <w:color w:val="000000"/>
          <w:sz w:val="24"/>
        </w:rPr>
        <w:t xml:space="preserve">First-tier Tribunal </w:t>
      </w:r>
      <w:r w:rsidRPr="00D9322B">
        <w:rPr>
          <w:rFonts w:ascii="Book Antiqua" w:hAnsi="Book Antiqua"/>
          <w:color w:val="000000"/>
          <w:sz w:val="24"/>
        </w:rPr>
        <w:t>decision on the following grounds:</w:t>
      </w:r>
    </w:p>
    <w:p w:rsidR="005B34D7" w:rsidRDefault="005B34D7" w:rsidP="005B34D7">
      <w:pPr>
        <w:jc w:val="both"/>
        <w:rPr>
          <w:rFonts w:ascii="Book Antiqua" w:hAnsi="Book Antiqua"/>
        </w:rPr>
      </w:pPr>
    </w:p>
    <w:p w:rsidR="005B34D7" w:rsidRDefault="005B34D7" w:rsidP="005B34D7">
      <w:pPr>
        <w:pStyle w:val="ListParagraph"/>
        <w:numPr>
          <w:ilvl w:val="0"/>
          <w:numId w:val="6"/>
        </w:numPr>
        <w:contextualSpacing/>
        <w:jc w:val="both"/>
        <w:rPr>
          <w:rFonts w:ascii="Book Antiqua" w:hAnsi="Book Antiqua"/>
        </w:rPr>
      </w:pPr>
      <w:r w:rsidRPr="00590C2B">
        <w:rPr>
          <w:rFonts w:ascii="Book Antiqua" w:hAnsi="Book Antiqua"/>
        </w:rPr>
        <w:t xml:space="preserve">The judge failed to provide adequate reasons for his adverse credibility findings. </w:t>
      </w:r>
    </w:p>
    <w:p w:rsidR="005B34D7" w:rsidRDefault="005B34D7" w:rsidP="005B34D7">
      <w:pPr>
        <w:pStyle w:val="ListParagraph"/>
        <w:ind w:left="1440"/>
        <w:jc w:val="both"/>
        <w:rPr>
          <w:rFonts w:ascii="Book Antiqua" w:hAnsi="Book Antiqua"/>
        </w:rPr>
      </w:pPr>
    </w:p>
    <w:p w:rsidR="005B34D7" w:rsidRDefault="005B34D7" w:rsidP="005B34D7">
      <w:pPr>
        <w:pStyle w:val="ListParagraph"/>
        <w:numPr>
          <w:ilvl w:val="0"/>
          <w:numId w:val="6"/>
        </w:numPr>
        <w:contextualSpacing/>
        <w:jc w:val="both"/>
        <w:rPr>
          <w:rFonts w:ascii="Book Antiqua" w:hAnsi="Book Antiqua"/>
        </w:rPr>
      </w:pPr>
      <w:r>
        <w:rPr>
          <w:rFonts w:ascii="Book Antiqua" w:hAnsi="Book Antiqua"/>
        </w:rPr>
        <w:t xml:space="preserve">The judge failed to place any weight on the fact that the appellant had been attending church on a regular basis. </w:t>
      </w:r>
    </w:p>
    <w:p w:rsidR="005B34D7" w:rsidRPr="0075040D" w:rsidRDefault="005B34D7" w:rsidP="005B34D7">
      <w:pPr>
        <w:jc w:val="both"/>
        <w:rPr>
          <w:rFonts w:ascii="Book Antiqua" w:hAnsi="Book Antiqua"/>
        </w:rPr>
      </w:pPr>
    </w:p>
    <w:p w:rsidR="005B34D7" w:rsidRDefault="005B34D7" w:rsidP="005B34D7">
      <w:pPr>
        <w:pStyle w:val="ListParagraph"/>
        <w:numPr>
          <w:ilvl w:val="0"/>
          <w:numId w:val="6"/>
        </w:numPr>
        <w:contextualSpacing/>
        <w:jc w:val="both"/>
        <w:rPr>
          <w:rFonts w:ascii="Book Antiqua" w:hAnsi="Book Antiqua"/>
        </w:rPr>
      </w:pPr>
      <w:r w:rsidRPr="00590C2B">
        <w:rPr>
          <w:rFonts w:ascii="Book Antiqua" w:hAnsi="Book Antiqua"/>
        </w:rPr>
        <w:t>The judge placed undue weight on his own view of t</w:t>
      </w:r>
      <w:r>
        <w:rPr>
          <w:rFonts w:ascii="Book Antiqua" w:hAnsi="Book Antiqua"/>
        </w:rPr>
        <w:t>he plausibility of the account</w:t>
      </w:r>
      <w:r w:rsidR="00DC6FB0">
        <w:rPr>
          <w:rFonts w:ascii="Book Antiqua" w:hAnsi="Book Antiqua"/>
        </w:rPr>
        <w:t xml:space="preserve">. </w:t>
      </w:r>
    </w:p>
    <w:p w:rsidR="005B34D7" w:rsidRDefault="005B34D7" w:rsidP="005B34D7">
      <w:pPr>
        <w:jc w:val="both"/>
        <w:rPr>
          <w:rFonts w:ascii="Book Antiqua" w:hAnsi="Book Antiqua"/>
        </w:rPr>
      </w:pPr>
    </w:p>
    <w:p w:rsidR="005B34D7" w:rsidRPr="00163CE8" w:rsidRDefault="005B34D7" w:rsidP="005B34D7">
      <w:pPr>
        <w:jc w:val="both"/>
        <w:rPr>
          <w:rFonts w:ascii="Book Antiqua" w:hAnsi="Book Antiqua"/>
          <w:b/>
          <w:u w:val="single"/>
        </w:rPr>
      </w:pPr>
      <w:r w:rsidRPr="00163CE8">
        <w:rPr>
          <w:rFonts w:ascii="Book Antiqua" w:hAnsi="Book Antiqua"/>
          <w:b/>
          <w:u w:val="single"/>
        </w:rPr>
        <w:t>Legal framework</w:t>
      </w:r>
    </w:p>
    <w:p w:rsidR="005B34D7" w:rsidRDefault="005B34D7" w:rsidP="005B34D7">
      <w:pPr>
        <w:jc w:val="both"/>
        <w:rPr>
          <w:rFonts w:ascii="Book Antiqua" w:hAnsi="Book Antiqua"/>
        </w:rPr>
      </w:pPr>
    </w:p>
    <w:p w:rsidR="005B34D7" w:rsidRDefault="005B34D7" w:rsidP="005B34D7">
      <w:pPr>
        <w:ind w:left="720" w:hanging="720"/>
        <w:jc w:val="both"/>
        <w:rPr>
          <w:rFonts w:ascii="Book Antiqua" w:hAnsi="Book Antiqua"/>
        </w:rPr>
      </w:pPr>
      <w:r>
        <w:rPr>
          <w:rFonts w:ascii="Book Antiqua" w:hAnsi="Book Antiqua"/>
        </w:rPr>
        <w:t>4.</w:t>
      </w:r>
      <w:r>
        <w:rPr>
          <w:rFonts w:ascii="Book Antiqua" w:hAnsi="Book Antiqua"/>
        </w:rPr>
        <w:tab/>
        <w:t xml:space="preserve">In </w:t>
      </w:r>
      <w:r w:rsidRPr="00163CE8">
        <w:rPr>
          <w:rFonts w:ascii="Book Antiqua" w:hAnsi="Book Antiqua"/>
          <w:i/>
        </w:rPr>
        <w:t>HK v SSHD</w:t>
      </w:r>
      <w:r>
        <w:rPr>
          <w:rFonts w:ascii="Book Antiqua" w:hAnsi="Book Antiqua"/>
        </w:rPr>
        <w:t xml:space="preserve"> [2006] EWCA </w:t>
      </w:r>
      <w:proofErr w:type="spellStart"/>
      <w:r>
        <w:rPr>
          <w:rFonts w:ascii="Book Antiqua" w:hAnsi="Book Antiqua"/>
        </w:rPr>
        <w:t>Civ</w:t>
      </w:r>
      <w:proofErr w:type="spellEnd"/>
      <w:r>
        <w:rPr>
          <w:rFonts w:ascii="Book Antiqua" w:hAnsi="Book Antiqua"/>
        </w:rPr>
        <w:t xml:space="preserve"> 1037 Lord Justice Neuberger gave the following guidance about the role of plausibility in assessing the credibility of an asylum claim:</w:t>
      </w:r>
    </w:p>
    <w:p w:rsidR="005B34D7" w:rsidRPr="0075040D" w:rsidRDefault="005B34D7" w:rsidP="005B34D7">
      <w:pPr>
        <w:widowControl w:val="0"/>
        <w:tabs>
          <w:tab w:val="right" w:pos="720"/>
        </w:tabs>
        <w:autoSpaceDE w:val="0"/>
        <w:autoSpaceDN w:val="0"/>
        <w:adjustRightInd w:val="0"/>
        <w:spacing w:before="240" w:after="240"/>
        <w:ind w:left="1440" w:right="-57" w:hanging="720"/>
        <w:jc w:val="both"/>
        <w:rPr>
          <w:rFonts w:ascii="Book Antiqua" w:hAnsi="Book Antiqua"/>
          <w:spacing w:val="-3"/>
          <w:kern w:val="1"/>
          <w:sz w:val="20"/>
        </w:rPr>
      </w:pPr>
      <w:r>
        <w:rPr>
          <w:rFonts w:ascii="Book Antiqua" w:hAnsi="Book Antiqua"/>
          <w:sz w:val="20"/>
        </w:rPr>
        <w:t>“</w:t>
      </w:r>
      <w:r w:rsidRPr="0075040D">
        <w:rPr>
          <w:rFonts w:ascii="Book Antiqua" w:hAnsi="Book Antiqua"/>
          <w:sz w:val="20"/>
        </w:rPr>
        <w:t>27.</w:t>
      </w:r>
      <w:r w:rsidRPr="0075040D">
        <w:rPr>
          <w:rFonts w:ascii="Book Antiqua" w:hAnsi="Book Antiqua"/>
          <w:sz w:val="20"/>
        </w:rPr>
        <w:tab/>
      </w:r>
      <w:r w:rsidRPr="0075040D">
        <w:rPr>
          <w:rFonts w:ascii="Book Antiqua" w:hAnsi="Book Antiqua"/>
          <w:spacing w:val="-3"/>
          <w:kern w:val="1"/>
          <w:sz w:val="20"/>
        </w:rPr>
        <w:t>The difficulty of the fact-finding exercise is particularly acute in asylum cases, as has been said on more than one occasion in this court</w:t>
      </w:r>
      <w:r>
        <w:rPr>
          <w:rFonts w:ascii="Book Antiqua" w:hAnsi="Book Antiqua"/>
          <w:spacing w:val="-3"/>
          <w:kern w:val="1"/>
          <w:sz w:val="20"/>
        </w:rPr>
        <w:t xml:space="preserve"> …. </w:t>
      </w:r>
      <w:r w:rsidRPr="0075040D">
        <w:rPr>
          <w:rFonts w:ascii="Book Antiqua" w:hAnsi="Book Antiqua"/>
          <w:spacing w:val="-3"/>
          <w:kern w:val="1"/>
          <w:sz w:val="20"/>
        </w:rPr>
        <w:t xml:space="preserve">The standard of proof to be applied </w:t>
      </w:r>
      <w:proofErr w:type="gramStart"/>
      <w:r w:rsidRPr="0075040D">
        <w:rPr>
          <w:rFonts w:ascii="Book Antiqua" w:hAnsi="Book Antiqua"/>
          <w:spacing w:val="-3"/>
          <w:kern w:val="1"/>
          <w:sz w:val="20"/>
        </w:rPr>
        <w:t>for the purpose of</w:t>
      </w:r>
      <w:proofErr w:type="gramEnd"/>
      <w:r w:rsidRPr="0075040D">
        <w:rPr>
          <w:rFonts w:ascii="Book Antiqua" w:hAnsi="Book Antiqua"/>
          <w:spacing w:val="-3"/>
          <w:kern w:val="1"/>
          <w:sz w:val="20"/>
        </w:rPr>
        <w:t xml:space="preserve"> assessing the appellant’s fear of persecution is low. The choice is not normally which of two parties to believe, but </w:t>
      </w:r>
      <w:proofErr w:type="gramStart"/>
      <w:r w:rsidRPr="0075040D">
        <w:rPr>
          <w:rFonts w:ascii="Book Antiqua" w:hAnsi="Book Antiqua"/>
          <w:spacing w:val="-3"/>
          <w:kern w:val="1"/>
          <w:sz w:val="20"/>
        </w:rPr>
        <w:t>whether or not</w:t>
      </w:r>
      <w:proofErr w:type="gramEnd"/>
      <w:r w:rsidRPr="0075040D">
        <w:rPr>
          <w:rFonts w:ascii="Book Antiqua" w:hAnsi="Book Antiqua"/>
          <w:spacing w:val="-3"/>
          <w:kern w:val="1"/>
          <w:sz w:val="20"/>
        </w:rPr>
        <w:t xml:space="preserve"> to believe the appellant. Relatively unusually for an English Judge, an Immigration Judge has an almost inquisitorial function, although he has none of the evidence-gathering or other investigatory powers of an inquisitorial Judge. That is a particularly acute problem in cases where the evidence is </w:t>
      </w:r>
      <w:proofErr w:type="gramStart"/>
      <w:r w:rsidRPr="0075040D">
        <w:rPr>
          <w:rFonts w:ascii="Book Antiqua" w:hAnsi="Book Antiqua"/>
          <w:spacing w:val="-3"/>
          <w:kern w:val="1"/>
          <w:sz w:val="20"/>
        </w:rPr>
        <w:t>pretty unsatisfactory</w:t>
      </w:r>
      <w:proofErr w:type="gramEnd"/>
      <w:r w:rsidRPr="0075040D">
        <w:rPr>
          <w:rFonts w:ascii="Book Antiqua" w:hAnsi="Book Antiqua"/>
          <w:spacing w:val="-3"/>
          <w:kern w:val="1"/>
          <w:sz w:val="20"/>
        </w:rPr>
        <w:t xml:space="preserve"> in extent, quality and presentation, which is particularly true of asylum cases. That is normally through nobody’s fault: it is the nature of the beast. </w:t>
      </w:r>
    </w:p>
    <w:p w:rsidR="005B34D7" w:rsidRPr="0075040D" w:rsidRDefault="005B34D7" w:rsidP="005B34D7">
      <w:pPr>
        <w:widowControl w:val="0"/>
        <w:tabs>
          <w:tab w:val="right" w:pos="720"/>
        </w:tabs>
        <w:autoSpaceDE w:val="0"/>
        <w:autoSpaceDN w:val="0"/>
        <w:adjustRightInd w:val="0"/>
        <w:spacing w:before="240" w:after="240"/>
        <w:ind w:left="1440" w:right="-57" w:hanging="720"/>
        <w:jc w:val="both"/>
        <w:rPr>
          <w:rFonts w:ascii="Book Antiqua" w:hAnsi="Book Antiqua"/>
          <w:spacing w:val="-3"/>
          <w:kern w:val="1"/>
          <w:sz w:val="20"/>
        </w:rPr>
      </w:pPr>
      <w:r w:rsidRPr="0075040D">
        <w:rPr>
          <w:rFonts w:ascii="Book Antiqua" w:hAnsi="Book Antiqua"/>
          <w:kern w:val="1"/>
          <w:sz w:val="20"/>
        </w:rPr>
        <w:t>28.</w:t>
      </w:r>
      <w:r w:rsidRPr="0075040D">
        <w:rPr>
          <w:rFonts w:ascii="Book Antiqua" w:hAnsi="Book Antiqua"/>
          <w:kern w:val="1"/>
          <w:sz w:val="20"/>
        </w:rPr>
        <w:tab/>
      </w:r>
      <w:r w:rsidRPr="0075040D">
        <w:rPr>
          <w:rFonts w:ascii="Book Antiqua" w:hAnsi="Book Antiqua"/>
          <w:spacing w:val="-3"/>
          <w:kern w:val="1"/>
          <w:sz w:val="20"/>
        </w:rPr>
        <w:t xml:space="preserve">Further, in many asylum cases, some, even most, of the appellant’s story may seem inherently unlikely but that does not mean that it is untrue. The ingredients of the story, and the story </w:t>
      </w:r>
      <w:proofErr w:type="gramStart"/>
      <w:r w:rsidRPr="0075040D">
        <w:rPr>
          <w:rFonts w:ascii="Book Antiqua" w:hAnsi="Book Antiqua"/>
          <w:spacing w:val="-3"/>
          <w:kern w:val="1"/>
          <w:sz w:val="20"/>
        </w:rPr>
        <w:t>as a whole, have</w:t>
      </w:r>
      <w:proofErr w:type="gramEnd"/>
      <w:r w:rsidRPr="0075040D">
        <w:rPr>
          <w:rFonts w:ascii="Book Antiqua" w:hAnsi="Book Antiqua"/>
          <w:spacing w:val="-3"/>
          <w:kern w:val="1"/>
          <w:sz w:val="20"/>
        </w:rPr>
        <w:t xml:space="preserve"> to be considered against the available country evidence and reliable expert evidence, and other familiar factors, such as consistency with what the appellant has said before, and with other factual evidence (where there is any).</w:t>
      </w:r>
    </w:p>
    <w:p w:rsidR="005B34D7" w:rsidRPr="0075040D" w:rsidRDefault="005B34D7" w:rsidP="005B34D7">
      <w:pPr>
        <w:widowControl w:val="0"/>
        <w:tabs>
          <w:tab w:val="right" w:pos="720"/>
        </w:tabs>
        <w:autoSpaceDE w:val="0"/>
        <w:autoSpaceDN w:val="0"/>
        <w:adjustRightInd w:val="0"/>
        <w:spacing w:before="240" w:after="240"/>
        <w:ind w:left="1418" w:right="-57" w:hanging="698"/>
        <w:jc w:val="both"/>
        <w:rPr>
          <w:rFonts w:ascii="Book Antiqua" w:hAnsi="Book Antiqua"/>
          <w:spacing w:val="-3"/>
          <w:kern w:val="1"/>
          <w:sz w:val="20"/>
        </w:rPr>
      </w:pPr>
      <w:r w:rsidRPr="0075040D">
        <w:rPr>
          <w:rFonts w:ascii="Book Antiqua" w:hAnsi="Book Antiqua"/>
          <w:kern w:val="1"/>
          <w:sz w:val="20"/>
        </w:rPr>
        <w:t>29.</w:t>
      </w:r>
      <w:r w:rsidRPr="0075040D">
        <w:rPr>
          <w:rFonts w:ascii="Book Antiqua" w:hAnsi="Book Antiqua"/>
          <w:kern w:val="1"/>
          <w:sz w:val="20"/>
        </w:rPr>
        <w:tab/>
      </w:r>
      <w:r w:rsidRPr="0075040D">
        <w:rPr>
          <w:rFonts w:ascii="Book Antiqua" w:hAnsi="Book Antiqua"/>
          <w:spacing w:val="-3"/>
          <w:kern w:val="1"/>
          <w:sz w:val="20"/>
        </w:rPr>
        <w:t xml:space="preserve">Inherent probability, which may be helpful in many domestic cases, can be a dangerous, even a wholly inappropriate, factor to rely on in some asylum cases. Much of the evidence will be </w:t>
      </w:r>
      <w:proofErr w:type="spellStart"/>
      <w:r w:rsidRPr="0075040D">
        <w:rPr>
          <w:rFonts w:ascii="Book Antiqua" w:hAnsi="Book Antiqua"/>
          <w:spacing w:val="-3"/>
          <w:kern w:val="1"/>
          <w:sz w:val="20"/>
        </w:rPr>
        <w:t>referable</w:t>
      </w:r>
      <w:proofErr w:type="spellEnd"/>
      <w:r w:rsidRPr="0075040D">
        <w:rPr>
          <w:rFonts w:ascii="Book Antiqua" w:hAnsi="Book Antiqua"/>
          <w:spacing w:val="-3"/>
          <w:kern w:val="1"/>
          <w:sz w:val="20"/>
        </w:rPr>
        <w:t xml:space="preserve"> to societies with customs and circumstances which are very different from those of which the members of the fact-finding tribunal have any (even second-hand) experience. Indeed, it is likely that the country which an asylum-seeker has left will be suffering from the sort of problems and dislocations with which </w:t>
      </w:r>
      <w:proofErr w:type="gramStart"/>
      <w:r w:rsidRPr="0075040D">
        <w:rPr>
          <w:rFonts w:ascii="Book Antiqua" w:hAnsi="Book Antiqua"/>
          <w:spacing w:val="-3"/>
          <w:kern w:val="1"/>
          <w:sz w:val="20"/>
        </w:rPr>
        <w:t>the overwhelming majority of</w:t>
      </w:r>
      <w:proofErr w:type="gramEnd"/>
      <w:r w:rsidRPr="0075040D">
        <w:rPr>
          <w:rFonts w:ascii="Book Antiqua" w:hAnsi="Book Antiqua"/>
          <w:spacing w:val="-3"/>
          <w:kern w:val="1"/>
          <w:sz w:val="20"/>
        </w:rPr>
        <w:t xml:space="preserve"> residents of this country will be wholly unfamiliar. The point is well made in </w:t>
      </w:r>
      <w:r w:rsidRPr="0075040D">
        <w:rPr>
          <w:rFonts w:ascii="Book Antiqua" w:hAnsi="Book Antiqua"/>
          <w:i/>
          <w:iCs/>
          <w:spacing w:val="-3"/>
          <w:kern w:val="1"/>
          <w:sz w:val="20"/>
        </w:rPr>
        <w:t xml:space="preserve">Hathaway on Law of Refugee Status </w:t>
      </w:r>
      <w:r w:rsidRPr="0075040D">
        <w:rPr>
          <w:rFonts w:ascii="Book Antiqua" w:hAnsi="Book Antiqua"/>
          <w:spacing w:val="-3"/>
          <w:kern w:val="1"/>
          <w:sz w:val="20"/>
        </w:rPr>
        <w:t xml:space="preserve">(1991) at </w:t>
      </w:r>
      <w:r w:rsidRPr="0075040D">
        <w:rPr>
          <w:rFonts w:ascii="Book Antiqua" w:hAnsi="Book Antiqua"/>
          <w:spacing w:val="-3"/>
          <w:kern w:val="1"/>
          <w:sz w:val="20"/>
        </w:rPr>
        <w:lastRenderedPageBreak/>
        <w:t>page 81:</w:t>
      </w:r>
    </w:p>
    <w:p w:rsidR="005B34D7" w:rsidRPr="0075040D" w:rsidRDefault="005B34D7" w:rsidP="005B34D7">
      <w:pPr>
        <w:widowControl w:val="0"/>
        <w:autoSpaceDE w:val="0"/>
        <w:autoSpaceDN w:val="0"/>
        <w:adjustRightInd w:val="0"/>
        <w:spacing w:before="240" w:after="240"/>
        <w:ind w:left="2160" w:right="-57"/>
        <w:jc w:val="both"/>
        <w:rPr>
          <w:rFonts w:ascii="Book Antiqua" w:hAnsi="Book Antiqua"/>
          <w:spacing w:val="-3"/>
          <w:kern w:val="1"/>
          <w:sz w:val="20"/>
        </w:rPr>
      </w:pPr>
      <w:r w:rsidRPr="0075040D">
        <w:rPr>
          <w:rFonts w:ascii="Book Antiqua" w:hAnsi="Book Antiqua"/>
          <w:spacing w:val="-3"/>
          <w:kern w:val="1"/>
          <w:sz w:val="20"/>
        </w:rPr>
        <w:t>“In assessing the general human rights information, decision-makers must constantly be on guard to avoid implicitly recharacterizing the nature of the risk based on their own perceptions of reasonability.”</w:t>
      </w:r>
    </w:p>
    <w:p w:rsidR="005B34D7" w:rsidRPr="0075040D" w:rsidRDefault="005B34D7" w:rsidP="005B34D7">
      <w:pPr>
        <w:ind w:left="1418" w:right="-57" w:hanging="698"/>
        <w:jc w:val="both"/>
        <w:rPr>
          <w:rFonts w:ascii="Book Antiqua" w:hAnsi="Book Antiqua"/>
          <w:sz w:val="20"/>
        </w:rPr>
      </w:pPr>
      <w:r w:rsidRPr="0075040D">
        <w:rPr>
          <w:rFonts w:ascii="Book Antiqua" w:hAnsi="Book Antiqua"/>
          <w:kern w:val="1"/>
          <w:sz w:val="20"/>
        </w:rPr>
        <w:t>30.</w:t>
      </w:r>
      <w:r w:rsidRPr="0075040D">
        <w:rPr>
          <w:rFonts w:ascii="Book Antiqua" w:hAnsi="Book Antiqua"/>
          <w:kern w:val="1"/>
          <w:sz w:val="20"/>
        </w:rPr>
        <w:tab/>
      </w:r>
      <w:r w:rsidRPr="0075040D">
        <w:rPr>
          <w:rFonts w:ascii="Book Antiqua" w:hAnsi="Book Antiqua"/>
          <w:spacing w:val="-3"/>
          <w:kern w:val="1"/>
          <w:sz w:val="20"/>
        </w:rPr>
        <w:t xml:space="preserve">Inherent improbability in the context of asylum cases was discussed at some length by Lord Brodie in </w:t>
      </w:r>
      <w:proofErr w:type="spellStart"/>
      <w:r w:rsidRPr="0075040D">
        <w:rPr>
          <w:rFonts w:ascii="Book Antiqua" w:hAnsi="Book Antiqua"/>
          <w:i/>
          <w:iCs/>
          <w:spacing w:val="-3"/>
          <w:kern w:val="1"/>
          <w:sz w:val="20"/>
        </w:rPr>
        <w:t>Awala</w:t>
      </w:r>
      <w:proofErr w:type="spellEnd"/>
      <w:r w:rsidRPr="0075040D">
        <w:rPr>
          <w:rFonts w:ascii="Book Antiqua" w:hAnsi="Book Antiqua"/>
          <w:i/>
          <w:iCs/>
          <w:spacing w:val="-3"/>
          <w:kern w:val="1"/>
          <w:sz w:val="20"/>
        </w:rPr>
        <w:t xml:space="preserve"> –v- Secretary of State </w:t>
      </w:r>
      <w:r w:rsidRPr="0075040D">
        <w:rPr>
          <w:rFonts w:ascii="Book Antiqua" w:hAnsi="Book Antiqua"/>
          <w:spacing w:val="-3"/>
          <w:kern w:val="1"/>
          <w:sz w:val="20"/>
        </w:rPr>
        <w:t xml:space="preserve">[2005] CSOH 73. At paragraph 22, he pointed out that it was “not proper to reject an applicant’s account </w:t>
      </w:r>
      <w:r w:rsidRPr="0075040D">
        <w:rPr>
          <w:rFonts w:ascii="Book Antiqua" w:hAnsi="Book Antiqua"/>
          <w:i/>
          <w:iCs/>
          <w:spacing w:val="-3"/>
          <w:kern w:val="1"/>
          <w:sz w:val="20"/>
        </w:rPr>
        <w:t xml:space="preserve">merely </w:t>
      </w:r>
      <w:r w:rsidRPr="0075040D">
        <w:rPr>
          <w:rFonts w:ascii="Book Antiqua" w:hAnsi="Book Antiqua"/>
          <w:spacing w:val="-3"/>
          <w:kern w:val="1"/>
          <w:sz w:val="20"/>
        </w:rPr>
        <w:t xml:space="preserve">on the basis that it is not credible or not plausible. To say that an applicant’s account is not credible is to state a conclusion” (emphasis added). At paragraph 24, he said that rejection of a story on grounds of implausibility must be done “on reasonably drawn inferences and not simply on conjecture or speculation”. He went on to emphasise, as did Pill LJ in </w:t>
      </w:r>
      <w:proofErr w:type="spellStart"/>
      <w:r w:rsidRPr="0075040D">
        <w:rPr>
          <w:rFonts w:ascii="Book Antiqua" w:hAnsi="Book Antiqua"/>
          <w:i/>
          <w:iCs/>
          <w:spacing w:val="-3"/>
          <w:kern w:val="1"/>
          <w:sz w:val="20"/>
        </w:rPr>
        <w:t>Ghaisari</w:t>
      </w:r>
      <w:proofErr w:type="spellEnd"/>
      <w:r w:rsidRPr="0075040D">
        <w:rPr>
          <w:rFonts w:ascii="Book Antiqua" w:hAnsi="Book Antiqua"/>
          <w:spacing w:val="-3"/>
          <w:kern w:val="1"/>
          <w:sz w:val="20"/>
        </w:rPr>
        <w:t>, the entitlement of the fact-finder to rely “on his common sense and his ability, as a practical and informed person, to identify what is or is not plausible”. However, he accepted that “there will be cases where actions which may appear implausible if judged by…Scottish standards, might be plausible when considered within the context of the applicant’s social and cultural background”.</w:t>
      </w:r>
      <w:r>
        <w:rPr>
          <w:rFonts w:ascii="Book Antiqua" w:hAnsi="Book Antiqua"/>
          <w:spacing w:val="-3"/>
          <w:kern w:val="1"/>
          <w:sz w:val="20"/>
        </w:rPr>
        <w:t>”</w:t>
      </w:r>
    </w:p>
    <w:p w:rsidR="005B34D7" w:rsidRDefault="005B34D7" w:rsidP="005B34D7">
      <w:pPr>
        <w:jc w:val="both"/>
        <w:rPr>
          <w:rFonts w:ascii="Book Antiqua" w:hAnsi="Book Antiqua"/>
        </w:rPr>
      </w:pPr>
    </w:p>
    <w:p w:rsidR="005B34D7" w:rsidRDefault="005B34D7" w:rsidP="005B34D7">
      <w:pPr>
        <w:ind w:left="720" w:hanging="720"/>
        <w:jc w:val="both"/>
        <w:rPr>
          <w:rFonts w:ascii="Book Antiqua" w:hAnsi="Book Antiqua"/>
        </w:rPr>
      </w:pPr>
      <w:r>
        <w:rPr>
          <w:rFonts w:ascii="Book Antiqua" w:hAnsi="Book Antiqua"/>
        </w:rPr>
        <w:t>5.</w:t>
      </w:r>
      <w:r>
        <w:rPr>
          <w:rFonts w:ascii="Book Antiqua" w:hAnsi="Book Antiqua"/>
        </w:rPr>
        <w:tab/>
        <w:t xml:space="preserve">In </w:t>
      </w:r>
      <w:r w:rsidRPr="00ED4B77">
        <w:rPr>
          <w:rFonts w:ascii="Book Antiqua" w:hAnsi="Book Antiqua"/>
          <w:i/>
        </w:rPr>
        <w:t>Y v SSHD</w:t>
      </w:r>
      <w:r>
        <w:rPr>
          <w:rFonts w:ascii="Book Antiqua" w:hAnsi="Book Antiqua"/>
        </w:rPr>
        <w:t xml:space="preserve"> [2006] EWCA </w:t>
      </w:r>
      <w:proofErr w:type="spellStart"/>
      <w:r>
        <w:rPr>
          <w:rFonts w:ascii="Book Antiqua" w:hAnsi="Book Antiqua"/>
        </w:rPr>
        <w:t>Civ</w:t>
      </w:r>
      <w:proofErr w:type="spellEnd"/>
      <w:r>
        <w:rPr>
          <w:rFonts w:ascii="Book Antiqua" w:hAnsi="Book Antiqua"/>
        </w:rPr>
        <w:t xml:space="preserve"> 1223 Lord Justice Keene made the following findings:</w:t>
      </w:r>
    </w:p>
    <w:p w:rsidR="005B34D7" w:rsidRDefault="005B34D7" w:rsidP="005B34D7">
      <w:pPr>
        <w:widowControl w:val="0"/>
        <w:autoSpaceDE w:val="0"/>
        <w:autoSpaceDN w:val="0"/>
        <w:adjustRightInd w:val="0"/>
        <w:ind w:right="-57"/>
        <w:jc w:val="both"/>
      </w:pPr>
    </w:p>
    <w:p w:rsidR="005B34D7" w:rsidRPr="00ED4B77" w:rsidRDefault="005B34D7" w:rsidP="005B34D7">
      <w:pPr>
        <w:widowControl w:val="0"/>
        <w:tabs>
          <w:tab w:val="left" w:pos="720"/>
        </w:tabs>
        <w:autoSpaceDE w:val="0"/>
        <w:autoSpaceDN w:val="0"/>
        <w:adjustRightInd w:val="0"/>
        <w:ind w:left="1440" w:right="-57" w:hanging="720"/>
        <w:jc w:val="both"/>
        <w:rPr>
          <w:rFonts w:ascii="Book Antiqua" w:hAnsi="Book Antiqua"/>
          <w:sz w:val="20"/>
        </w:rPr>
      </w:pPr>
      <w:r w:rsidRPr="00ED4B77">
        <w:rPr>
          <w:rFonts w:ascii="Book Antiqua" w:hAnsi="Book Antiqua"/>
          <w:sz w:val="20"/>
        </w:rPr>
        <w:t>“25.</w:t>
      </w:r>
      <w:r w:rsidRPr="00ED4B77">
        <w:rPr>
          <w:rFonts w:ascii="Book Antiqua" w:hAnsi="Book Antiqua"/>
          <w:sz w:val="20"/>
        </w:rPr>
        <w:tab/>
        <w:t xml:space="preserve">There seems to me to be very little dispute between the parties as to the legal principles applicable to the approach which an adjudicator, now known as an immigration judge, should adopt towards issues of credibility.  The fundamental one is that he should be cautious before finding an account to be inherently incredible, because there is a considerable risk that he will be over influenced by his own views on what is or is not plausible, and those views will have inevitably been influenced by his own background in this country and by the customs and ways of our own society.  It is therefore important that he should seek to view an appellant’s account of events, as Mr Singh rightly argues, in the context of conditions in the country from which the appellant comes.  The dangers were well described in an article by Sir Thomas Bingham, as he then was, in 1985 in a passage quoted by the IAT in </w:t>
      </w:r>
      <w:proofErr w:type="spellStart"/>
      <w:r w:rsidRPr="00ED4B77">
        <w:rPr>
          <w:rFonts w:ascii="Book Antiqua" w:hAnsi="Book Antiqua"/>
          <w:sz w:val="20"/>
          <w:u w:val="single"/>
        </w:rPr>
        <w:t>Kasolo</w:t>
      </w:r>
      <w:proofErr w:type="spellEnd"/>
      <w:r w:rsidRPr="00ED4B77">
        <w:rPr>
          <w:rFonts w:ascii="Book Antiqua" w:hAnsi="Book Antiqua"/>
          <w:sz w:val="20"/>
          <w:u w:val="single"/>
        </w:rPr>
        <w:t> v SSHD</w:t>
      </w:r>
      <w:r w:rsidRPr="00ED4B77">
        <w:rPr>
          <w:rFonts w:ascii="Book Antiqua" w:hAnsi="Book Antiqua"/>
          <w:sz w:val="20"/>
        </w:rPr>
        <w:t xml:space="preserve"> 13190, the passage being taken from an article in Current Legal Problems.  Sir Thomas Bingham said this: </w:t>
      </w:r>
    </w:p>
    <w:p w:rsidR="005B34D7" w:rsidRPr="00ED4B77" w:rsidRDefault="005B34D7" w:rsidP="005B34D7">
      <w:pPr>
        <w:widowControl w:val="0"/>
        <w:autoSpaceDE w:val="0"/>
        <w:autoSpaceDN w:val="0"/>
        <w:adjustRightInd w:val="0"/>
        <w:ind w:right="-57"/>
        <w:jc w:val="both"/>
        <w:rPr>
          <w:rFonts w:ascii="Book Antiqua" w:hAnsi="Book Antiqua"/>
          <w:sz w:val="20"/>
        </w:rPr>
      </w:pPr>
    </w:p>
    <w:p w:rsidR="005B34D7" w:rsidRPr="00ED4B77" w:rsidRDefault="005B34D7" w:rsidP="005B34D7">
      <w:pPr>
        <w:widowControl w:val="0"/>
        <w:autoSpaceDE w:val="0"/>
        <w:autoSpaceDN w:val="0"/>
        <w:adjustRightInd w:val="0"/>
        <w:ind w:left="1980" w:right="-57"/>
        <w:jc w:val="both"/>
        <w:rPr>
          <w:rFonts w:ascii="Book Antiqua" w:hAnsi="Book Antiqua"/>
          <w:sz w:val="20"/>
        </w:rPr>
      </w:pPr>
      <w:r w:rsidRPr="00ED4B77">
        <w:rPr>
          <w:rFonts w:ascii="Book Antiqua" w:hAnsi="Book Antiqua"/>
          <w:sz w:val="20"/>
        </w:rPr>
        <w:t xml:space="preserve">“‘An English judge may have, or think that he has, a shrewd idea of how a Lloyds Broker or a Bristol wholesaler, or a Norfolk farmer, might react in some situation which is canvassed </w:t>
      </w:r>
      <w:proofErr w:type="gramStart"/>
      <w:r w:rsidRPr="00ED4B77">
        <w:rPr>
          <w:rFonts w:ascii="Book Antiqua" w:hAnsi="Book Antiqua"/>
          <w:sz w:val="20"/>
        </w:rPr>
        <w:t>in the course of</w:t>
      </w:r>
      <w:proofErr w:type="gramEnd"/>
      <w:r w:rsidRPr="00ED4B77">
        <w:rPr>
          <w:rFonts w:ascii="Book Antiqua" w:hAnsi="Book Antiqua"/>
          <w:sz w:val="20"/>
        </w:rPr>
        <w:t xml:space="preserve"> a case but he may, and I think should, feel very much more uncertain about the reactions of a Nigerian merchant, or an Indian ships’ engineer, or a Yugoslav banker.  Or even, to take a </w:t>
      </w:r>
      <w:proofErr w:type="gramStart"/>
      <w:r w:rsidRPr="00ED4B77">
        <w:rPr>
          <w:rFonts w:ascii="Book Antiqua" w:hAnsi="Book Antiqua"/>
          <w:sz w:val="20"/>
        </w:rPr>
        <w:t>more homely</w:t>
      </w:r>
      <w:proofErr w:type="gramEnd"/>
      <w:r w:rsidRPr="00ED4B77">
        <w:rPr>
          <w:rFonts w:ascii="Book Antiqua" w:hAnsi="Book Antiqua"/>
          <w:sz w:val="20"/>
        </w:rPr>
        <w:t xml:space="preserve"> example, a Sikh shopkeeper trading in Bradford. No judge worth his salt could </w:t>
      </w:r>
      <w:proofErr w:type="spellStart"/>
      <w:r w:rsidRPr="00ED4B77">
        <w:rPr>
          <w:rFonts w:ascii="Book Antiqua" w:hAnsi="Book Antiqua"/>
          <w:sz w:val="20"/>
        </w:rPr>
        <w:t>possibl</w:t>
      </w:r>
      <w:proofErr w:type="spellEnd"/>
      <w:r w:rsidRPr="00ED4B77">
        <w:rPr>
          <w:rFonts w:ascii="Book Antiqua" w:hAnsi="Book Antiqua"/>
          <w:sz w:val="20"/>
        </w:rPr>
        <w:t>[y] assume that men of different nationalities, educations, trades, experience, creeds and temperaments would act as he might think he would have done or even - which may be quite different - in accordance with his concept of what a reasonable man would have done.”</w:t>
      </w:r>
    </w:p>
    <w:p w:rsidR="005B34D7" w:rsidRPr="00ED4B77" w:rsidRDefault="005B34D7" w:rsidP="005B34D7">
      <w:pPr>
        <w:widowControl w:val="0"/>
        <w:autoSpaceDE w:val="0"/>
        <w:autoSpaceDN w:val="0"/>
        <w:adjustRightInd w:val="0"/>
        <w:ind w:left="1440" w:right="-57"/>
        <w:jc w:val="both"/>
        <w:rPr>
          <w:rFonts w:ascii="Book Antiqua" w:hAnsi="Book Antiqua"/>
          <w:sz w:val="20"/>
        </w:rPr>
      </w:pPr>
    </w:p>
    <w:p w:rsidR="005B34D7" w:rsidRPr="00ED4B77" w:rsidRDefault="005B34D7" w:rsidP="005B34D7">
      <w:pPr>
        <w:widowControl w:val="0"/>
        <w:tabs>
          <w:tab w:val="left" w:pos="720"/>
        </w:tabs>
        <w:autoSpaceDE w:val="0"/>
        <w:autoSpaceDN w:val="0"/>
        <w:adjustRightInd w:val="0"/>
        <w:ind w:left="1440" w:right="-57" w:hanging="720"/>
        <w:jc w:val="both"/>
        <w:rPr>
          <w:rFonts w:ascii="Book Antiqua" w:hAnsi="Book Antiqua"/>
          <w:sz w:val="20"/>
        </w:rPr>
      </w:pPr>
      <w:r w:rsidRPr="00ED4B77">
        <w:rPr>
          <w:rFonts w:ascii="Book Antiqua" w:hAnsi="Book Antiqua"/>
          <w:sz w:val="20"/>
        </w:rPr>
        <w:t>26.</w:t>
      </w:r>
      <w:r w:rsidRPr="00ED4B77">
        <w:rPr>
          <w:rFonts w:ascii="Book Antiqua" w:hAnsi="Book Antiqua"/>
          <w:sz w:val="20"/>
        </w:rPr>
        <w:tab/>
        <w:t xml:space="preserve">None of this, however, means that an adjudicator is required to take at face value an account of facts proffered by an appellant, no matter how contrary to common sense and experience of human </w:t>
      </w:r>
      <w:proofErr w:type="spellStart"/>
      <w:r w:rsidRPr="00ED4B77">
        <w:rPr>
          <w:rFonts w:ascii="Book Antiqua" w:hAnsi="Book Antiqua"/>
          <w:sz w:val="20"/>
        </w:rPr>
        <w:t>behavior</w:t>
      </w:r>
      <w:proofErr w:type="spellEnd"/>
      <w:r w:rsidRPr="00ED4B77">
        <w:rPr>
          <w:rFonts w:ascii="Book Antiqua" w:hAnsi="Book Antiqua"/>
          <w:sz w:val="20"/>
        </w:rPr>
        <w:t xml:space="preserve"> the account may be.  The decision maker is not expected to suspend his own judgment, nor does Mr Singh contend that he should.  In appropriate cases, he is entitled to find that an account of events is so far-fetched and contrary to reason as to be incapable of belief.  The point was well put in the </w:t>
      </w:r>
      <w:proofErr w:type="spellStart"/>
      <w:r w:rsidRPr="00ED4B77">
        <w:rPr>
          <w:rFonts w:ascii="Book Antiqua" w:hAnsi="Book Antiqua"/>
          <w:sz w:val="20"/>
          <w:u w:val="single"/>
        </w:rPr>
        <w:t>Awala</w:t>
      </w:r>
      <w:proofErr w:type="spellEnd"/>
      <w:r w:rsidRPr="00ED4B77">
        <w:rPr>
          <w:rFonts w:ascii="Book Antiqua" w:hAnsi="Book Antiqua"/>
          <w:sz w:val="20"/>
        </w:rPr>
        <w:t xml:space="preserve"> case by Lord Brodie at paragraph 24 when he said this: </w:t>
      </w:r>
    </w:p>
    <w:p w:rsidR="005B34D7" w:rsidRPr="00ED4B77" w:rsidRDefault="005B34D7" w:rsidP="005B34D7">
      <w:pPr>
        <w:widowControl w:val="0"/>
        <w:autoSpaceDE w:val="0"/>
        <w:autoSpaceDN w:val="0"/>
        <w:adjustRightInd w:val="0"/>
        <w:ind w:right="-57"/>
        <w:jc w:val="both"/>
        <w:rPr>
          <w:rFonts w:ascii="Book Antiqua" w:hAnsi="Book Antiqua"/>
          <w:sz w:val="20"/>
        </w:rPr>
      </w:pPr>
    </w:p>
    <w:p w:rsidR="005B34D7" w:rsidRPr="00ED4B77" w:rsidRDefault="005B34D7" w:rsidP="005B34D7">
      <w:pPr>
        <w:widowControl w:val="0"/>
        <w:autoSpaceDE w:val="0"/>
        <w:autoSpaceDN w:val="0"/>
        <w:adjustRightInd w:val="0"/>
        <w:ind w:left="1980" w:right="-57"/>
        <w:jc w:val="both"/>
        <w:rPr>
          <w:rFonts w:ascii="Book Antiqua" w:hAnsi="Book Antiqua"/>
          <w:sz w:val="20"/>
        </w:rPr>
      </w:pPr>
      <w:r w:rsidRPr="00ED4B77">
        <w:rPr>
          <w:rFonts w:ascii="Book Antiqua" w:hAnsi="Book Antiqua"/>
          <w:sz w:val="20"/>
        </w:rPr>
        <w:t xml:space="preserve">“… the tribunal of fact need not necessarily accept an applicant’s account simply because it is not contradicted at the relevant hearing.  The tribunal of fact is entitled to make reasonable findings based on </w:t>
      </w:r>
      <w:proofErr w:type="spellStart"/>
      <w:r w:rsidRPr="00ED4B77">
        <w:rPr>
          <w:rFonts w:ascii="Book Antiqua" w:hAnsi="Book Antiqua"/>
          <w:sz w:val="20"/>
        </w:rPr>
        <w:t>implausibilities</w:t>
      </w:r>
      <w:proofErr w:type="spellEnd"/>
      <w:r w:rsidRPr="00ED4B77">
        <w:rPr>
          <w:rFonts w:ascii="Book Antiqua" w:hAnsi="Book Antiqua"/>
          <w:sz w:val="20"/>
        </w:rPr>
        <w:t xml:space="preserve">, common sense and rationality, and may reject evidence if it is not consistent with the probabilities affecting the case as </w:t>
      </w:r>
      <w:r w:rsidRPr="00ED4B77">
        <w:rPr>
          <w:rFonts w:ascii="Book Antiqua" w:hAnsi="Book Antiqua"/>
          <w:sz w:val="20"/>
        </w:rPr>
        <w:lastRenderedPageBreak/>
        <w:t>a whole”.</w:t>
      </w:r>
    </w:p>
    <w:p w:rsidR="005B34D7" w:rsidRPr="00ED4B77" w:rsidRDefault="005B34D7" w:rsidP="005B34D7">
      <w:pPr>
        <w:widowControl w:val="0"/>
        <w:autoSpaceDE w:val="0"/>
        <w:autoSpaceDN w:val="0"/>
        <w:adjustRightInd w:val="0"/>
        <w:ind w:left="1440" w:right="-57"/>
        <w:jc w:val="both"/>
        <w:rPr>
          <w:rFonts w:ascii="Book Antiqua" w:hAnsi="Book Antiqua"/>
          <w:sz w:val="20"/>
        </w:rPr>
      </w:pPr>
    </w:p>
    <w:p w:rsidR="005B34D7" w:rsidRPr="00ED4B77" w:rsidRDefault="005B34D7" w:rsidP="005B34D7">
      <w:pPr>
        <w:widowControl w:val="0"/>
        <w:autoSpaceDE w:val="0"/>
        <w:autoSpaceDN w:val="0"/>
        <w:adjustRightInd w:val="0"/>
        <w:ind w:left="1429" w:right="-57" w:firstLine="11"/>
        <w:jc w:val="both"/>
        <w:rPr>
          <w:rFonts w:ascii="Book Antiqua" w:hAnsi="Book Antiqua"/>
          <w:sz w:val="20"/>
        </w:rPr>
      </w:pPr>
      <w:r w:rsidRPr="00ED4B77">
        <w:rPr>
          <w:rFonts w:ascii="Book Antiqua" w:hAnsi="Book Antiqua"/>
          <w:sz w:val="20"/>
        </w:rPr>
        <w:t xml:space="preserve">He then added a little later: </w:t>
      </w:r>
    </w:p>
    <w:p w:rsidR="005B34D7" w:rsidRPr="00ED4B77" w:rsidRDefault="005B34D7" w:rsidP="005B34D7">
      <w:pPr>
        <w:widowControl w:val="0"/>
        <w:autoSpaceDE w:val="0"/>
        <w:autoSpaceDN w:val="0"/>
        <w:adjustRightInd w:val="0"/>
        <w:ind w:right="-57"/>
        <w:jc w:val="both"/>
        <w:rPr>
          <w:rFonts w:ascii="Book Antiqua" w:hAnsi="Book Antiqua"/>
          <w:sz w:val="20"/>
        </w:rPr>
      </w:pPr>
    </w:p>
    <w:p w:rsidR="005B34D7" w:rsidRPr="00ED4B77" w:rsidRDefault="005B34D7" w:rsidP="005B34D7">
      <w:pPr>
        <w:widowControl w:val="0"/>
        <w:autoSpaceDE w:val="0"/>
        <w:autoSpaceDN w:val="0"/>
        <w:adjustRightInd w:val="0"/>
        <w:ind w:left="1980" w:right="-57"/>
        <w:jc w:val="both"/>
        <w:rPr>
          <w:rFonts w:ascii="Book Antiqua" w:hAnsi="Book Antiqua"/>
          <w:sz w:val="20"/>
        </w:rPr>
      </w:pPr>
      <w:r w:rsidRPr="00ED4B77">
        <w:rPr>
          <w:rFonts w:ascii="Book Antiqua" w:hAnsi="Book Antiqua"/>
          <w:sz w:val="20"/>
        </w:rPr>
        <w:t>“… while a decision on credibility must be reached rationally, in doing so the decision maker is entitled to draw on his common sense and his ability, as a practical and informed person, to identify what is or is not plausible”.</w:t>
      </w:r>
    </w:p>
    <w:p w:rsidR="005B34D7" w:rsidRPr="00ED4B77" w:rsidRDefault="005B34D7" w:rsidP="005B34D7">
      <w:pPr>
        <w:widowControl w:val="0"/>
        <w:autoSpaceDE w:val="0"/>
        <w:autoSpaceDN w:val="0"/>
        <w:adjustRightInd w:val="0"/>
        <w:ind w:left="1440" w:right="-57"/>
        <w:jc w:val="both"/>
        <w:rPr>
          <w:rFonts w:ascii="Book Antiqua" w:hAnsi="Book Antiqua"/>
          <w:sz w:val="20"/>
        </w:rPr>
      </w:pPr>
    </w:p>
    <w:p w:rsidR="005B34D7" w:rsidRDefault="005B34D7" w:rsidP="005B34D7">
      <w:pPr>
        <w:widowControl w:val="0"/>
        <w:tabs>
          <w:tab w:val="left" w:pos="720"/>
        </w:tabs>
        <w:autoSpaceDE w:val="0"/>
        <w:autoSpaceDN w:val="0"/>
        <w:adjustRightInd w:val="0"/>
        <w:ind w:left="1440" w:right="-57" w:hanging="720"/>
        <w:jc w:val="both"/>
      </w:pPr>
      <w:r w:rsidRPr="00ED4B77">
        <w:rPr>
          <w:rFonts w:ascii="Book Antiqua" w:hAnsi="Book Antiqua"/>
          <w:sz w:val="20"/>
        </w:rPr>
        <w:t>27.</w:t>
      </w:r>
      <w:r w:rsidRPr="00ED4B77">
        <w:rPr>
          <w:rFonts w:ascii="Book Antiqua" w:hAnsi="Book Antiqua"/>
          <w:sz w:val="20"/>
        </w:rPr>
        <w:tab/>
        <w:t xml:space="preserve">I agree.  A decision maker is entitled to regard an account as incredible by such standards, but he must take care not to do so merely because it would not seem reasonable if it had happened in this country.  </w:t>
      </w:r>
      <w:proofErr w:type="gramStart"/>
      <w:r w:rsidRPr="00ED4B77">
        <w:rPr>
          <w:rFonts w:ascii="Book Antiqua" w:hAnsi="Book Antiqua"/>
          <w:sz w:val="20"/>
        </w:rPr>
        <w:t>In essence, he</w:t>
      </w:r>
      <w:proofErr w:type="gramEnd"/>
      <w:r w:rsidRPr="00ED4B77">
        <w:rPr>
          <w:rFonts w:ascii="Book Antiqua" w:hAnsi="Book Antiqua"/>
          <w:sz w:val="20"/>
        </w:rPr>
        <w:t xml:space="preserve"> must look through the spectacles provided by the information he has about conditions in the country in question.  That is, in effect, what Neuberger LJ was saying in the case of </w:t>
      </w:r>
      <w:r w:rsidRPr="00ED4B77">
        <w:rPr>
          <w:rFonts w:ascii="Book Antiqua" w:hAnsi="Book Antiqua"/>
          <w:sz w:val="20"/>
          <w:u w:val="single"/>
        </w:rPr>
        <w:t>HK</w:t>
      </w:r>
      <w:r w:rsidRPr="00ED4B77">
        <w:rPr>
          <w:rFonts w:ascii="Book Antiqua" w:hAnsi="Book Antiqua"/>
          <w:sz w:val="20"/>
        </w:rPr>
        <w:t xml:space="preserve"> and I do not regard Chadwick LJ in the passage referred to as seeking to disagree.”</w:t>
      </w:r>
      <w:r>
        <w:t xml:space="preserve"> </w:t>
      </w:r>
    </w:p>
    <w:p w:rsidR="005B34D7" w:rsidRDefault="005B34D7" w:rsidP="005B34D7">
      <w:pPr>
        <w:jc w:val="both"/>
        <w:rPr>
          <w:rFonts w:ascii="Book Antiqua" w:hAnsi="Book Antiqua"/>
        </w:rPr>
      </w:pPr>
    </w:p>
    <w:p w:rsidR="005B34D7" w:rsidRPr="00163CE8" w:rsidRDefault="005B34D7" w:rsidP="005B34D7">
      <w:pPr>
        <w:ind w:left="567" w:hanging="567"/>
        <w:jc w:val="both"/>
        <w:rPr>
          <w:rFonts w:ascii="Times" w:hAnsi="Times"/>
          <w:szCs w:val="20"/>
        </w:rPr>
      </w:pPr>
      <w:r>
        <w:rPr>
          <w:rFonts w:ascii="Book Antiqua" w:hAnsi="Book Antiqua"/>
          <w:color w:val="000000"/>
          <w:szCs w:val="16"/>
        </w:rPr>
        <w:t>6.</w:t>
      </w:r>
      <w:r>
        <w:rPr>
          <w:rFonts w:ascii="Book Antiqua" w:hAnsi="Book Antiqua"/>
          <w:color w:val="000000"/>
          <w:szCs w:val="16"/>
        </w:rPr>
        <w:tab/>
        <w:t>I</w:t>
      </w:r>
      <w:r w:rsidRPr="00163CE8">
        <w:rPr>
          <w:rFonts w:ascii="Book Antiqua" w:hAnsi="Book Antiqua"/>
          <w:color w:val="000000"/>
          <w:szCs w:val="16"/>
        </w:rPr>
        <w:t xml:space="preserve">n </w:t>
      </w:r>
      <w:r w:rsidRPr="00163CE8">
        <w:rPr>
          <w:rFonts w:ascii="Book Antiqua" w:hAnsi="Book Antiqua"/>
          <w:i/>
          <w:color w:val="000000"/>
          <w:szCs w:val="16"/>
        </w:rPr>
        <w:t>KB &amp; AH (credibility-structured approach) Pakistan</w:t>
      </w:r>
      <w:r w:rsidRPr="00163CE8">
        <w:rPr>
          <w:rFonts w:ascii="Book Antiqua" w:hAnsi="Book Antiqua"/>
          <w:color w:val="000000"/>
          <w:szCs w:val="16"/>
        </w:rPr>
        <w:t xml:space="preserve"> [2017] UKUT 491</w:t>
      </w:r>
      <w:r w:rsidRPr="00163CE8">
        <w:rPr>
          <w:rFonts w:ascii="Book Antiqua" w:hAnsi="Book Antiqua"/>
          <w:color w:val="000000"/>
        </w:rPr>
        <w:t> </w:t>
      </w:r>
      <w:r>
        <w:rPr>
          <w:rFonts w:ascii="Book Antiqua" w:hAnsi="Book Antiqua"/>
          <w:color w:val="000000"/>
        </w:rPr>
        <w:t>the Upper Tribunal outlined the following guidance in the headnote:</w:t>
      </w:r>
    </w:p>
    <w:p w:rsidR="005B34D7" w:rsidRDefault="005B34D7" w:rsidP="005B34D7">
      <w:pPr>
        <w:jc w:val="both"/>
        <w:rPr>
          <w:rFonts w:ascii="Book Antiqua" w:hAnsi="Book Antiqua"/>
        </w:rPr>
      </w:pPr>
    </w:p>
    <w:p w:rsidR="005B34D7" w:rsidRPr="00163CE8" w:rsidRDefault="005B34D7" w:rsidP="005B34D7">
      <w:pPr>
        <w:ind w:left="1440" w:hanging="873"/>
        <w:jc w:val="both"/>
        <w:rPr>
          <w:rFonts w:ascii="Book Antiqua" w:hAnsi="Book Antiqua"/>
          <w:color w:val="000000"/>
          <w:sz w:val="20"/>
          <w:szCs w:val="27"/>
        </w:rPr>
      </w:pPr>
      <w:r w:rsidRPr="00163CE8">
        <w:rPr>
          <w:rFonts w:ascii="Book Antiqua" w:hAnsi="Book Antiqua"/>
          <w:color w:val="000000"/>
          <w:sz w:val="20"/>
          <w:szCs w:val="27"/>
        </w:rPr>
        <w:t xml:space="preserve">“1. </w:t>
      </w:r>
      <w:r w:rsidRPr="00163CE8">
        <w:rPr>
          <w:rFonts w:ascii="Book Antiqua" w:hAnsi="Book Antiqua"/>
          <w:color w:val="000000"/>
          <w:sz w:val="20"/>
          <w:szCs w:val="27"/>
        </w:rPr>
        <w:tab/>
        <w:t>The 'Credibility Indicators' identified in the Home Office Asylum Policy Instruction,</w:t>
      </w:r>
      <w:r w:rsidRPr="00163CE8">
        <w:rPr>
          <w:rFonts w:ascii="Book Antiqua" w:hAnsi="Book Antiqua"/>
          <w:color w:val="000000"/>
          <w:sz w:val="20"/>
        </w:rPr>
        <w:t> </w:t>
      </w:r>
      <w:proofErr w:type="gramStart"/>
      <w:r w:rsidRPr="00163CE8">
        <w:rPr>
          <w:rFonts w:ascii="Book Antiqua" w:hAnsi="Book Antiqua"/>
          <w:color w:val="000000"/>
          <w:sz w:val="20"/>
          <w:szCs w:val="27"/>
          <w:u w:val="single"/>
        </w:rPr>
        <w:t>Assessing</w:t>
      </w:r>
      <w:proofErr w:type="gramEnd"/>
      <w:r w:rsidRPr="00163CE8">
        <w:rPr>
          <w:rFonts w:ascii="Book Antiqua" w:hAnsi="Book Antiqua"/>
          <w:color w:val="000000"/>
          <w:sz w:val="20"/>
          <w:szCs w:val="27"/>
          <w:u w:val="single"/>
        </w:rPr>
        <w:t xml:space="preserve"> credibility and refugee status</w:t>
      </w:r>
      <w:r w:rsidRPr="00163CE8">
        <w:rPr>
          <w:rFonts w:ascii="Book Antiqua" w:hAnsi="Book Antiqua"/>
          <w:color w:val="000000"/>
          <w:sz w:val="20"/>
        </w:rPr>
        <w:t> </w:t>
      </w:r>
      <w:r w:rsidRPr="00163CE8">
        <w:rPr>
          <w:rFonts w:ascii="Book Antiqua" w:hAnsi="Book Antiqua"/>
          <w:color w:val="000000"/>
          <w:sz w:val="20"/>
          <w:szCs w:val="27"/>
        </w:rPr>
        <w:t>Version 3.0, 6 January 2015 (which can be summarised as comprising sufficiency of detail; internal consistency; external consistency; and plausibility), provide a helpful framework within which to conduct a credibility assessment. They facilitate a more structured approach apt to help judges avoid the temptation to look at the evidence in a one-dimensional way or to focus in an ad hoc way solely on whichever indicator or factor appears foremost or opportune.</w:t>
      </w:r>
      <w:r w:rsidRPr="00163CE8">
        <w:rPr>
          <w:rFonts w:ascii="Book Antiqua" w:hAnsi="Book Antiqua"/>
          <w:color w:val="000000"/>
          <w:sz w:val="20"/>
        </w:rPr>
        <w:t> </w:t>
      </w:r>
    </w:p>
    <w:p w:rsidR="005B34D7" w:rsidRPr="00163CE8" w:rsidRDefault="005B34D7" w:rsidP="005B34D7">
      <w:pPr>
        <w:ind w:left="567"/>
        <w:jc w:val="both"/>
        <w:rPr>
          <w:rFonts w:ascii="Book Antiqua" w:hAnsi="Book Antiqua"/>
          <w:color w:val="000000"/>
          <w:sz w:val="20"/>
          <w:szCs w:val="27"/>
        </w:rPr>
      </w:pPr>
      <w:r w:rsidRPr="00163CE8">
        <w:rPr>
          <w:rFonts w:ascii="Book Antiqua" w:hAnsi="Book Antiqua"/>
          <w:color w:val="000000"/>
          <w:sz w:val="20"/>
          <w:szCs w:val="27"/>
        </w:rPr>
        <w:t> </w:t>
      </w:r>
    </w:p>
    <w:p w:rsidR="005B34D7" w:rsidRPr="00163CE8" w:rsidRDefault="005B34D7" w:rsidP="005B34D7">
      <w:pPr>
        <w:ind w:left="1440" w:hanging="873"/>
        <w:jc w:val="both"/>
        <w:rPr>
          <w:rFonts w:ascii="Book Antiqua" w:hAnsi="Book Antiqua"/>
          <w:color w:val="000000"/>
          <w:sz w:val="20"/>
          <w:szCs w:val="27"/>
        </w:rPr>
      </w:pPr>
      <w:r w:rsidRPr="00163CE8">
        <w:rPr>
          <w:rFonts w:ascii="Book Antiqua" w:hAnsi="Book Antiqua"/>
          <w:color w:val="000000"/>
          <w:sz w:val="20"/>
          <w:szCs w:val="27"/>
        </w:rPr>
        <w:t xml:space="preserve">2. </w:t>
      </w:r>
      <w:r w:rsidRPr="00163CE8">
        <w:rPr>
          <w:rFonts w:ascii="Book Antiqua" w:hAnsi="Book Antiqua"/>
          <w:color w:val="000000"/>
          <w:sz w:val="20"/>
          <w:szCs w:val="27"/>
        </w:rPr>
        <w:tab/>
        <w:t xml:space="preserve">However, any reference to a structured approach in relation to the subject matter of credibility assessment must carry </w:t>
      </w:r>
      <w:proofErr w:type="gramStart"/>
      <w:r w:rsidRPr="00163CE8">
        <w:rPr>
          <w:rFonts w:ascii="Book Antiqua" w:hAnsi="Book Antiqua"/>
          <w:color w:val="000000"/>
          <w:sz w:val="20"/>
          <w:szCs w:val="27"/>
        </w:rPr>
        <w:t>a number of</w:t>
      </w:r>
      <w:proofErr w:type="gramEnd"/>
      <w:r w:rsidRPr="00163CE8">
        <w:rPr>
          <w:rFonts w:ascii="Book Antiqua" w:hAnsi="Book Antiqua"/>
          <w:color w:val="000000"/>
          <w:sz w:val="20"/>
          <w:szCs w:val="27"/>
        </w:rPr>
        <w:t xml:space="preserve"> important (interrelated) caveats, among which are the following:</w:t>
      </w:r>
      <w:r w:rsidRPr="00163CE8">
        <w:rPr>
          <w:rFonts w:ascii="Book Antiqua" w:hAnsi="Book Antiqua"/>
          <w:color w:val="000000"/>
          <w:sz w:val="20"/>
        </w:rPr>
        <w:t> </w:t>
      </w:r>
    </w:p>
    <w:p w:rsidR="005B34D7" w:rsidRPr="00163CE8" w:rsidRDefault="005B34D7" w:rsidP="005B34D7">
      <w:pPr>
        <w:ind w:left="567"/>
        <w:jc w:val="both"/>
        <w:rPr>
          <w:rFonts w:ascii="Book Antiqua" w:hAnsi="Book Antiqua"/>
          <w:color w:val="000000"/>
          <w:sz w:val="20"/>
          <w:szCs w:val="27"/>
        </w:rPr>
      </w:pPr>
      <w:r w:rsidRPr="00163CE8">
        <w:rPr>
          <w:rFonts w:ascii="Book Antiqua" w:hAnsi="Book Antiqua"/>
          <w:color w:val="000000"/>
          <w:sz w:val="20"/>
          <w:szCs w:val="27"/>
        </w:rPr>
        <w:t> </w:t>
      </w:r>
    </w:p>
    <w:p w:rsidR="005B34D7" w:rsidRPr="00163CE8" w:rsidRDefault="005B34D7" w:rsidP="005B34D7">
      <w:pPr>
        <w:pStyle w:val="ListParagraph"/>
        <w:numPr>
          <w:ilvl w:val="0"/>
          <w:numId w:val="7"/>
        </w:numPr>
        <w:contextualSpacing/>
        <w:jc w:val="both"/>
        <w:rPr>
          <w:rFonts w:ascii="Book Antiqua" w:hAnsi="Book Antiqua"/>
          <w:color w:val="000000"/>
          <w:sz w:val="20"/>
          <w:szCs w:val="27"/>
        </w:rPr>
      </w:pPr>
      <w:r w:rsidRPr="00163CE8">
        <w:rPr>
          <w:rFonts w:ascii="Book Antiqua" w:hAnsi="Book Antiqua"/>
          <w:color w:val="000000"/>
          <w:sz w:val="20"/>
          <w:szCs w:val="27"/>
        </w:rPr>
        <w:t xml:space="preserve">the </w:t>
      </w:r>
      <w:proofErr w:type="gramStart"/>
      <w:r w:rsidRPr="00163CE8">
        <w:rPr>
          <w:rFonts w:ascii="Book Antiqua" w:hAnsi="Book Antiqua"/>
          <w:color w:val="000000"/>
          <w:sz w:val="20"/>
          <w:szCs w:val="27"/>
        </w:rPr>
        <w:t>aforementioned indicators</w:t>
      </w:r>
      <w:proofErr w:type="gramEnd"/>
      <w:r w:rsidRPr="00163CE8">
        <w:rPr>
          <w:rFonts w:ascii="Book Antiqua" w:hAnsi="Book Antiqua"/>
          <w:color w:val="000000"/>
          <w:sz w:val="20"/>
          <w:szCs w:val="27"/>
        </w:rPr>
        <w:t xml:space="preserve"> are merely indicators, not necessary conditions;</w:t>
      </w:r>
      <w:r w:rsidRPr="00163CE8">
        <w:rPr>
          <w:rFonts w:ascii="Book Antiqua" w:hAnsi="Book Antiqua"/>
          <w:color w:val="000000"/>
          <w:sz w:val="20"/>
        </w:rPr>
        <w:t> </w:t>
      </w:r>
    </w:p>
    <w:p w:rsidR="005B34D7" w:rsidRPr="00163CE8" w:rsidRDefault="005B34D7" w:rsidP="005B34D7">
      <w:pPr>
        <w:pStyle w:val="ListParagraph"/>
        <w:numPr>
          <w:ilvl w:val="0"/>
          <w:numId w:val="7"/>
        </w:numPr>
        <w:contextualSpacing/>
        <w:jc w:val="both"/>
        <w:rPr>
          <w:rFonts w:ascii="Book Antiqua" w:hAnsi="Book Antiqua"/>
          <w:color w:val="000000"/>
          <w:sz w:val="20"/>
          <w:szCs w:val="27"/>
        </w:rPr>
      </w:pPr>
      <w:r w:rsidRPr="00163CE8">
        <w:rPr>
          <w:rFonts w:ascii="Book Antiqua" w:hAnsi="Book Antiqua"/>
          <w:color w:val="000000"/>
          <w:sz w:val="20"/>
          <w:szCs w:val="27"/>
        </w:rPr>
        <w:t>they are not an exhaustive list;</w:t>
      </w:r>
      <w:r w:rsidRPr="00163CE8">
        <w:rPr>
          <w:rFonts w:ascii="Book Antiqua" w:hAnsi="Book Antiqua"/>
          <w:color w:val="000000"/>
          <w:sz w:val="20"/>
        </w:rPr>
        <w:t> </w:t>
      </w:r>
    </w:p>
    <w:p w:rsidR="005B34D7" w:rsidRPr="00163CE8" w:rsidRDefault="005B34D7" w:rsidP="005B34D7">
      <w:pPr>
        <w:pStyle w:val="ListParagraph"/>
        <w:numPr>
          <w:ilvl w:val="0"/>
          <w:numId w:val="7"/>
        </w:numPr>
        <w:contextualSpacing/>
        <w:jc w:val="both"/>
        <w:rPr>
          <w:rFonts w:ascii="Book Antiqua" w:hAnsi="Book Antiqua"/>
          <w:color w:val="000000"/>
          <w:sz w:val="20"/>
          <w:szCs w:val="27"/>
        </w:rPr>
      </w:pPr>
      <w:r w:rsidRPr="00163CE8">
        <w:rPr>
          <w:rFonts w:ascii="Book Antiqua" w:hAnsi="Book Antiqua"/>
          <w:color w:val="000000"/>
          <w:sz w:val="20"/>
          <w:szCs w:val="27"/>
        </w:rPr>
        <w:t xml:space="preserve">assessment of credibility being a highly fact-sensitive affair, their main role is to help make sure, where relevant, that the evidence is considered in </w:t>
      </w:r>
      <w:proofErr w:type="gramStart"/>
      <w:r w:rsidRPr="00163CE8">
        <w:rPr>
          <w:rFonts w:ascii="Book Antiqua" w:hAnsi="Book Antiqua"/>
          <w:color w:val="000000"/>
          <w:sz w:val="20"/>
          <w:szCs w:val="27"/>
        </w:rPr>
        <w:t>a number of</w:t>
      </w:r>
      <w:proofErr w:type="gramEnd"/>
      <w:r w:rsidRPr="00163CE8">
        <w:rPr>
          <w:rFonts w:ascii="Book Antiqua" w:hAnsi="Book Antiqua"/>
          <w:color w:val="000000"/>
          <w:sz w:val="20"/>
          <w:szCs w:val="27"/>
        </w:rPr>
        <w:t xml:space="preserve"> well-recognised respects;</w:t>
      </w:r>
    </w:p>
    <w:p w:rsidR="005B34D7" w:rsidRPr="00163CE8" w:rsidRDefault="005B34D7" w:rsidP="005B34D7">
      <w:pPr>
        <w:pStyle w:val="ListParagraph"/>
        <w:numPr>
          <w:ilvl w:val="0"/>
          <w:numId w:val="7"/>
        </w:numPr>
        <w:contextualSpacing/>
        <w:jc w:val="both"/>
        <w:rPr>
          <w:rFonts w:ascii="Book Antiqua" w:hAnsi="Book Antiqua"/>
          <w:color w:val="000000"/>
          <w:sz w:val="20"/>
          <w:szCs w:val="27"/>
        </w:rPr>
      </w:pPr>
      <w:r w:rsidRPr="00163CE8">
        <w:rPr>
          <w:rFonts w:ascii="Book Antiqua" w:hAnsi="Book Antiqua"/>
          <w:color w:val="000000"/>
          <w:sz w:val="20"/>
          <w:szCs w:val="27"/>
        </w:rPr>
        <w:t xml:space="preserve">making use of these indicators is not a substitute for the requirement to consider the evidence </w:t>
      </w:r>
      <w:proofErr w:type="gramStart"/>
      <w:r w:rsidRPr="00163CE8">
        <w:rPr>
          <w:rFonts w:ascii="Book Antiqua" w:hAnsi="Book Antiqua"/>
          <w:color w:val="000000"/>
          <w:sz w:val="20"/>
          <w:szCs w:val="27"/>
        </w:rPr>
        <w:t>as a whole or</w:t>
      </w:r>
      <w:proofErr w:type="gramEnd"/>
      <w:r w:rsidRPr="00163CE8">
        <w:rPr>
          <w:rFonts w:ascii="Book Antiqua" w:hAnsi="Book Antiqua"/>
          <w:color w:val="000000"/>
          <w:sz w:val="20"/>
          <w:szCs w:val="27"/>
        </w:rPr>
        <w:t xml:space="preserve"> 'in the round';</w:t>
      </w:r>
      <w:r w:rsidRPr="00163CE8">
        <w:rPr>
          <w:rFonts w:ascii="Book Antiqua" w:hAnsi="Book Antiqua"/>
          <w:color w:val="000000"/>
          <w:sz w:val="20"/>
        </w:rPr>
        <w:t> </w:t>
      </w:r>
    </w:p>
    <w:p w:rsidR="005B34D7" w:rsidRPr="00163CE8" w:rsidRDefault="005B34D7" w:rsidP="005B34D7">
      <w:pPr>
        <w:pStyle w:val="ListParagraph"/>
        <w:numPr>
          <w:ilvl w:val="0"/>
          <w:numId w:val="7"/>
        </w:numPr>
        <w:contextualSpacing/>
        <w:jc w:val="both"/>
        <w:rPr>
          <w:rFonts w:ascii="Book Antiqua" w:hAnsi="Book Antiqua"/>
          <w:color w:val="000000"/>
          <w:sz w:val="20"/>
          <w:szCs w:val="27"/>
        </w:rPr>
      </w:pPr>
      <w:r w:rsidRPr="00163CE8">
        <w:rPr>
          <w:rFonts w:ascii="Book Antiqua" w:hAnsi="Book Antiqua"/>
          <w:color w:val="000000"/>
          <w:sz w:val="20"/>
          <w:szCs w:val="27"/>
        </w:rPr>
        <w:t>it remains that credibility assessment is only part of evidence assessment and, as Lord Dyson reminded decision-makers in</w:t>
      </w:r>
      <w:r w:rsidRPr="00163CE8">
        <w:rPr>
          <w:rFonts w:ascii="Book Antiqua" w:hAnsi="Book Antiqua"/>
          <w:color w:val="000000"/>
          <w:sz w:val="20"/>
        </w:rPr>
        <w:t> </w:t>
      </w:r>
      <w:r w:rsidRPr="00163CE8">
        <w:rPr>
          <w:rFonts w:ascii="Book Antiqua" w:hAnsi="Book Antiqua"/>
          <w:i/>
          <w:sz w:val="20"/>
          <w:szCs w:val="27"/>
        </w:rPr>
        <w:t>MA (Somalia) v Secretary of State for the Home Department</w:t>
      </w:r>
      <w:r w:rsidRPr="00163CE8">
        <w:rPr>
          <w:rFonts w:ascii="Book Antiqua" w:hAnsi="Book Antiqua"/>
          <w:sz w:val="20"/>
        </w:rPr>
        <w:t> </w:t>
      </w:r>
      <w:hyperlink r:id="rId8" w:history="1">
        <w:r w:rsidRPr="00163CE8">
          <w:rPr>
            <w:rFonts w:ascii="Book Antiqua" w:hAnsi="Book Antiqua"/>
            <w:sz w:val="20"/>
          </w:rPr>
          <w:t>[2010] UKSC 49</w:t>
        </w:r>
      </w:hyperlink>
      <w:r w:rsidRPr="00163CE8">
        <w:rPr>
          <w:rFonts w:ascii="Book Antiqua" w:hAnsi="Book Antiqua"/>
          <w:color w:val="000000"/>
          <w:sz w:val="20"/>
        </w:rPr>
        <w:t> </w:t>
      </w:r>
      <w:r w:rsidRPr="00163CE8">
        <w:rPr>
          <w:rFonts w:ascii="Book Antiqua" w:hAnsi="Book Antiqua"/>
          <w:color w:val="000000"/>
          <w:sz w:val="20"/>
          <w:szCs w:val="27"/>
        </w:rPr>
        <w:t>at [33], 'the significance of lies will vary from case to case';</w:t>
      </w:r>
      <w:r w:rsidRPr="00163CE8">
        <w:rPr>
          <w:rFonts w:ascii="Book Antiqua" w:hAnsi="Book Antiqua"/>
          <w:color w:val="000000"/>
          <w:sz w:val="20"/>
        </w:rPr>
        <w:t> </w:t>
      </w:r>
    </w:p>
    <w:p w:rsidR="005B34D7" w:rsidRPr="00163CE8" w:rsidRDefault="005B34D7" w:rsidP="005B34D7">
      <w:pPr>
        <w:pStyle w:val="ListParagraph"/>
        <w:numPr>
          <w:ilvl w:val="0"/>
          <w:numId w:val="7"/>
        </w:numPr>
        <w:contextualSpacing/>
        <w:jc w:val="both"/>
        <w:rPr>
          <w:rFonts w:ascii="Book Antiqua" w:hAnsi="Book Antiqua"/>
          <w:color w:val="000000"/>
          <w:sz w:val="20"/>
          <w:szCs w:val="27"/>
        </w:rPr>
      </w:pPr>
      <w:r w:rsidRPr="00163CE8">
        <w:rPr>
          <w:rFonts w:ascii="Book Antiqua" w:hAnsi="Book Antiqua"/>
          <w:color w:val="000000"/>
          <w:sz w:val="20"/>
          <w:szCs w:val="27"/>
        </w:rPr>
        <w:t>in the UK context, use of such a structured approach must take place within the framework of EU law governing credibility assessment, Article 4 of the Qualification Directive in particular; and,</w:t>
      </w:r>
      <w:r w:rsidRPr="00163CE8">
        <w:rPr>
          <w:rFonts w:ascii="Book Antiqua" w:hAnsi="Book Antiqua"/>
          <w:color w:val="000000"/>
          <w:sz w:val="20"/>
        </w:rPr>
        <w:t> </w:t>
      </w:r>
    </w:p>
    <w:p w:rsidR="005B34D7" w:rsidRPr="00163CE8" w:rsidRDefault="005B34D7" w:rsidP="005B34D7">
      <w:pPr>
        <w:pStyle w:val="ListParagraph"/>
        <w:numPr>
          <w:ilvl w:val="0"/>
          <w:numId w:val="7"/>
        </w:numPr>
        <w:contextualSpacing/>
        <w:jc w:val="both"/>
        <w:rPr>
          <w:rFonts w:ascii="Book Antiqua" w:hAnsi="Book Antiqua"/>
          <w:color w:val="000000"/>
          <w:sz w:val="20"/>
          <w:szCs w:val="27"/>
        </w:rPr>
      </w:pPr>
      <w:r w:rsidRPr="00163CE8">
        <w:rPr>
          <w:rFonts w:ascii="Book Antiqua" w:hAnsi="Book Antiqua"/>
          <w:color w:val="000000"/>
          <w:sz w:val="20"/>
          <w:szCs w:val="27"/>
        </w:rPr>
        <w:t>also in the context of UK law, decision-makers (including judges)</w:t>
      </w:r>
      <w:r w:rsidRPr="00163CE8">
        <w:rPr>
          <w:rFonts w:ascii="Book Antiqua" w:hAnsi="Book Antiqua"/>
          <w:color w:val="000000"/>
          <w:sz w:val="20"/>
        </w:rPr>
        <w:t> </w:t>
      </w:r>
      <w:r w:rsidRPr="00163CE8">
        <w:rPr>
          <w:rFonts w:ascii="Book Antiqua" w:hAnsi="Book Antiqua"/>
          <w:color w:val="000000"/>
          <w:sz w:val="20"/>
          <w:szCs w:val="27"/>
        </w:rPr>
        <w:t>by s. 8 of the Asylum and Immigration (Treatment of Claimants, etc.) Act 2004 are statutorily obliged to consider certain types of behaviour as damaging to credibility.</w:t>
      </w:r>
    </w:p>
    <w:p w:rsidR="005B34D7" w:rsidRPr="00163CE8" w:rsidRDefault="005B34D7" w:rsidP="005B34D7">
      <w:pPr>
        <w:ind w:left="1134" w:hanging="567"/>
        <w:jc w:val="both"/>
        <w:rPr>
          <w:rFonts w:ascii="Book Antiqua" w:hAnsi="Book Antiqua"/>
          <w:color w:val="000000"/>
          <w:sz w:val="20"/>
          <w:szCs w:val="27"/>
        </w:rPr>
      </w:pPr>
      <w:r w:rsidRPr="00163CE8">
        <w:rPr>
          <w:rFonts w:ascii="Book Antiqua" w:hAnsi="Book Antiqua"/>
          <w:color w:val="000000"/>
          <w:sz w:val="20"/>
          <w:szCs w:val="27"/>
        </w:rPr>
        <w:t> </w:t>
      </w:r>
    </w:p>
    <w:p w:rsidR="005B34D7" w:rsidRPr="00163CE8" w:rsidRDefault="005B34D7" w:rsidP="005B34D7">
      <w:pPr>
        <w:ind w:left="1440" w:hanging="873"/>
        <w:jc w:val="both"/>
        <w:rPr>
          <w:rFonts w:ascii="Book Antiqua" w:hAnsi="Book Antiqua"/>
          <w:color w:val="000000"/>
          <w:sz w:val="20"/>
          <w:szCs w:val="27"/>
        </w:rPr>
      </w:pPr>
      <w:r w:rsidRPr="00163CE8">
        <w:rPr>
          <w:rFonts w:ascii="Book Antiqua" w:hAnsi="Book Antiqua"/>
          <w:color w:val="000000"/>
          <w:sz w:val="20"/>
          <w:szCs w:val="27"/>
        </w:rPr>
        <w:t xml:space="preserve">3. </w:t>
      </w:r>
      <w:r w:rsidRPr="00163CE8">
        <w:rPr>
          <w:rFonts w:ascii="Book Antiqua" w:hAnsi="Book Antiqua"/>
          <w:color w:val="000000"/>
          <w:sz w:val="20"/>
          <w:szCs w:val="27"/>
        </w:rPr>
        <w:tab/>
        <w:t>Consideration of credibility in light of such indicators, if approached subject to the aforementioned caveats, is a valid and useful exercise, based squarely on existing learning.”</w:t>
      </w:r>
    </w:p>
    <w:p w:rsidR="005B34D7" w:rsidRPr="00590C2B" w:rsidRDefault="005B34D7" w:rsidP="005B34D7">
      <w:pPr>
        <w:jc w:val="both"/>
        <w:rPr>
          <w:rFonts w:ascii="Book Antiqua" w:hAnsi="Book Antiqua"/>
        </w:rPr>
      </w:pPr>
    </w:p>
    <w:p w:rsidR="005B34D7" w:rsidRPr="0075040D" w:rsidRDefault="005B34D7" w:rsidP="005B34D7">
      <w:pPr>
        <w:jc w:val="both"/>
        <w:rPr>
          <w:rFonts w:ascii="Book Antiqua" w:hAnsi="Book Antiqua"/>
          <w:b/>
          <w:u w:val="single"/>
        </w:rPr>
      </w:pPr>
      <w:r w:rsidRPr="0075040D">
        <w:rPr>
          <w:rFonts w:ascii="Book Antiqua" w:hAnsi="Book Antiqua"/>
          <w:b/>
          <w:u w:val="single"/>
        </w:rPr>
        <w:t>Decision</w:t>
      </w:r>
      <w:r w:rsidR="008C5F2E">
        <w:rPr>
          <w:rFonts w:ascii="Book Antiqua" w:hAnsi="Book Antiqua"/>
          <w:b/>
          <w:u w:val="single"/>
        </w:rPr>
        <w:t xml:space="preserve"> and reasons</w:t>
      </w:r>
    </w:p>
    <w:p w:rsidR="005B34D7" w:rsidRDefault="005B34D7" w:rsidP="005B34D7">
      <w:pPr>
        <w:jc w:val="both"/>
        <w:rPr>
          <w:rFonts w:ascii="Book Antiqua" w:hAnsi="Book Antiqua"/>
        </w:rPr>
      </w:pPr>
    </w:p>
    <w:p w:rsidR="005B34D7" w:rsidRDefault="005B34D7" w:rsidP="005B34D7">
      <w:pPr>
        <w:ind w:left="720" w:hanging="720"/>
        <w:jc w:val="both"/>
        <w:rPr>
          <w:rFonts w:ascii="Book Antiqua" w:hAnsi="Book Antiqua"/>
        </w:rPr>
      </w:pPr>
      <w:r>
        <w:rPr>
          <w:rFonts w:ascii="Book Antiqua" w:hAnsi="Book Antiqua"/>
        </w:rPr>
        <w:lastRenderedPageBreak/>
        <w:t>7.</w:t>
      </w:r>
      <w:r>
        <w:rPr>
          <w:rFonts w:ascii="Book Antiqua" w:hAnsi="Book Antiqua"/>
        </w:rPr>
        <w:tab/>
        <w:t xml:space="preserve">Having considered the grounds of appeal, the submissions made by both parties and the evidence on file, I conclude that the First-tier Tribunal decision involved the making of an error on a point of law. </w:t>
      </w:r>
    </w:p>
    <w:p w:rsidR="005B34D7" w:rsidRDefault="005B34D7" w:rsidP="005B34D7">
      <w:pPr>
        <w:jc w:val="both"/>
        <w:rPr>
          <w:rFonts w:ascii="Book Antiqua" w:hAnsi="Book Antiqua"/>
        </w:rPr>
      </w:pPr>
    </w:p>
    <w:p w:rsidR="005B34D7" w:rsidRDefault="005B34D7" w:rsidP="005B34D7">
      <w:pPr>
        <w:ind w:left="720" w:hanging="720"/>
        <w:jc w:val="both"/>
        <w:rPr>
          <w:rFonts w:ascii="Book Antiqua" w:hAnsi="Book Antiqua"/>
        </w:rPr>
      </w:pPr>
      <w:r>
        <w:rPr>
          <w:rFonts w:ascii="Book Antiqua" w:hAnsi="Book Antiqua"/>
        </w:rPr>
        <w:t>8.</w:t>
      </w:r>
      <w:r>
        <w:rPr>
          <w:rFonts w:ascii="Book Antiqua" w:hAnsi="Book Antiqua"/>
        </w:rPr>
        <w:tab/>
        <w:t>The judge set out the background to the case, a summary of the hearing and quoted extensively from the case law over the course of fourteen pages of a seventeen-page decision. The judge’s reasons were set out in two and a half pages at the end of the decision. The judge began this section of the decision as follows [39]:</w:t>
      </w:r>
    </w:p>
    <w:p w:rsidR="005B34D7" w:rsidRDefault="005B34D7" w:rsidP="005B34D7">
      <w:pPr>
        <w:ind w:left="720" w:hanging="720"/>
        <w:jc w:val="both"/>
        <w:rPr>
          <w:rFonts w:ascii="Book Antiqua" w:hAnsi="Book Antiqua"/>
        </w:rPr>
      </w:pPr>
    </w:p>
    <w:p w:rsidR="005B34D7" w:rsidRPr="00800530" w:rsidRDefault="005B34D7" w:rsidP="005B34D7">
      <w:pPr>
        <w:ind w:left="1440"/>
        <w:jc w:val="both"/>
        <w:rPr>
          <w:rFonts w:ascii="Book Antiqua" w:hAnsi="Book Antiqua"/>
          <w:sz w:val="20"/>
        </w:rPr>
      </w:pPr>
      <w:r w:rsidRPr="00800530">
        <w:rPr>
          <w:rFonts w:ascii="Book Antiqua" w:hAnsi="Book Antiqua"/>
          <w:sz w:val="20"/>
        </w:rPr>
        <w:t xml:space="preserve">“The appellant is an economic migrant and not a Christian convert. It is not possible to make further findings of fact, but I will assume that the account of the appellant of his involvement in a political demonstration in 2009, arrest and release on signing an undertaking, his arrest for breach of the fast, </w:t>
      </w:r>
      <w:proofErr w:type="gramStart"/>
      <w:r w:rsidRPr="00800530">
        <w:rPr>
          <w:rFonts w:ascii="Book Antiqua" w:hAnsi="Book Antiqua"/>
          <w:sz w:val="20"/>
        </w:rPr>
        <w:t>and also</w:t>
      </w:r>
      <w:proofErr w:type="gramEnd"/>
      <w:r w:rsidRPr="00800530">
        <w:rPr>
          <w:rFonts w:ascii="Book Antiqua" w:hAnsi="Book Antiqua"/>
          <w:sz w:val="20"/>
        </w:rPr>
        <w:t xml:space="preserve"> for drinking alcohol, being detained 3 days and suffering being lashed is correct.”</w:t>
      </w:r>
    </w:p>
    <w:p w:rsidR="005B34D7" w:rsidRDefault="005B34D7" w:rsidP="005B34D7">
      <w:pPr>
        <w:ind w:left="720" w:hanging="720"/>
        <w:jc w:val="both"/>
        <w:rPr>
          <w:rFonts w:ascii="Book Antiqua" w:hAnsi="Book Antiqua"/>
        </w:rPr>
      </w:pPr>
      <w:r>
        <w:rPr>
          <w:rFonts w:ascii="Book Antiqua" w:hAnsi="Book Antiqua"/>
        </w:rPr>
        <w:tab/>
      </w:r>
      <w:r>
        <w:rPr>
          <w:rFonts w:ascii="Book Antiqua" w:hAnsi="Book Antiqua"/>
        </w:rPr>
        <w:tab/>
      </w:r>
    </w:p>
    <w:p w:rsidR="005B34D7" w:rsidRDefault="005B34D7" w:rsidP="005B34D7">
      <w:pPr>
        <w:ind w:left="720" w:hanging="720"/>
        <w:jc w:val="both"/>
        <w:rPr>
          <w:rFonts w:ascii="Book Antiqua" w:hAnsi="Book Antiqua"/>
        </w:rPr>
      </w:pPr>
      <w:r>
        <w:rPr>
          <w:rFonts w:ascii="Book Antiqua" w:hAnsi="Book Antiqua"/>
        </w:rPr>
        <w:t>9.</w:t>
      </w:r>
      <w:r>
        <w:rPr>
          <w:rFonts w:ascii="Book Antiqua" w:hAnsi="Book Antiqua"/>
        </w:rPr>
        <w:tab/>
        <w:t xml:space="preserve">On the face of this statement, the judge accepted a large part of the history of the appellant’s claim without giving any reasons for doing so. These aspects of the appellant’s account were not disputed and were generally consistent with the background evidence relating to Iran. The appellant was not relying on those past problems to </w:t>
      </w:r>
      <w:proofErr w:type="gramStart"/>
      <w:r>
        <w:rPr>
          <w:rFonts w:ascii="Book Antiqua" w:hAnsi="Book Antiqua"/>
        </w:rPr>
        <w:t>found</w:t>
      </w:r>
      <w:proofErr w:type="gramEnd"/>
      <w:r>
        <w:rPr>
          <w:rFonts w:ascii="Book Antiqua" w:hAnsi="Book Antiqua"/>
        </w:rPr>
        <w:t xml:space="preserve"> his current claim for protection, but relied on events in 2015 when a friend </w:t>
      </w:r>
      <w:r w:rsidR="00381EC5">
        <w:rPr>
          <w:rFonts w:ascii="Book Antiqua" w:hAnsi="Book Antiqua"/>
        </w:rPr>
        <w:t>held</w:t>
      </w:r>
      <w:r>
        <w:rPr>
          <w:rFonts w:ascii="Book Antiqua" w:hAnsi="Book Antiqua"/>
        </w:rPr>
        <w:t xml:space="preserve"> house Church meetings at his home. </w:t>
      </w:r>
    </w:p>
    <w:p w:rsidR="005B34D7" w:rsidRDefault="005B34D7" w:rsidP="005B34D7">
      <w:pPr>
        <w:jc w:val="both"/>
        <w:rPr>
          <w:rFonts w:ascii="Book Antiqua" w:hAnsi="Book Antiqua"/>
        </w:rPr>
      </w:pPr>
    </w:p>
    <w:p w:rsidR="005B34D7" w:rsidRDefault="005B34D7" w:rsidP="005B34D7">
      <w:pPr>
        <w:ind w:left="720" w:hanging="720"/>
        <w:jc w:val="both"/>
        <w:rPr>
          <w:rFonts w:ascii="Book Antiqua" w:hAnsi="Book Antiqua"/>
        </w:rPr>
      </w:pPr>
      <w:r>
        <w:rPr>
          <w:rFonts w:ascii="Book Antiqua" w:hAnsi="Book Antiqua"/>
        </w:rPr>
        <w:t>10.</w:t>
      </w:r>
      <w:r>
        <w:rPr>
          <w:rFonts w:ascii="Book Antiqua" w:hAnsi="Book Antiqua"/>
        </w:rPr>
        <w:tab/>
        <w:t>The judge began his findings of fact by considering the evidence relating to</w:t>
      </w:r>
      <w:r w:rsidR="00381EC5">
        <w:rPr>
          <w:rFonts w:ascii="Book Antiqua" w:hAnsi="Book Antiqua"/>
        </w:rPr>
        <w:t xml:space="preserve"> the appellant’s attendance at c</w:t>
      </w:r>
      <w:r>
        <w:rPr>
          <w:rFonts w:ascii="Book Antiqua" w:hAnsi="Book Antiqua"/>
        </w:rPr>
        <w:t xml:space="preserve">hurch in the UK. He accepted that the appellant showed some knowledge of the Christian religion, but gave no indication of how this impacted on the decision [40]. He referred to the decision in </w:t>
      </w:r>
      <w:proofErr w:type="spellStart"/>
      <w:r w:rsidRPr="00154094">
        <w:rPr>
          <w:rFonts w:ascii="Book Antiqua" w:hAnsi="Book Antiqua"/>
          <w:i/>
        </w:rPr>
        <w:t>Dorodian</w:t>
      </w:r>
      <w:proofErr w:type="spellEnd"/>
      <w:r w:rsidRPr="00154094">
        <w:rPr>
          <w:rFonts w:ascii="Book Antiqua" w:hAnsi="Book Antiqua"/>
          <w:i/>
        </w:rPr>
        <w:t xml:space="preserve"> v SSHD</w:t>
      </w:r>
      <w:r>
        <w:rPr>
          <w:rFonts w:ascii="Book Antiqua" w:hAnsi="Book Antiqua"/>
        </w:rPr>
        <w:t xml:space="preserve"> (01/TH/01537) and noted that a judge might expect some assistance from a person from the </w:t>
      </w:r>
      <w:r w:rsidR="00381EC5">
        <w:rPr>
          <w:rFonts w:ascii="Book Antiqua" w:hAnsi="Book Antiqua"/>
        </w:rPr>
        <w:t>c</w:t>
      </w:r>
      <w:r>
        <w:rPr>
          <w:rFonts w:ascii="Book Antiqua" w:hAnsi="Book Antiqua"/>
        </w:rPr>
        <w:t>hurch the appellant attended to offer an opinion the appellant’s commitment to Christianity [41-42]. He note</w:t>
      </w:r>
      <w:r w:rsidR="00381EC5">
        <w:rPr>
          <w:rFonts w:ascii="Book Antiqua" w:hAnsi="Book Antiqua"/>
        </w:rPr>
        <w:t>d</w:t>
      </w:r>
      <w:r>
        <w:rPr>
          <w:rFonts w:ascii="Book Antiqua" w:hAnsi="Book Antiqua"/>
        </w:rPr>
        <w:t xml:space="preserve"> that the appellant had been in the UK for a period of six months and attending Church on a weekly basis since May 2017 (a period of three months) so the appellant was </w:t>
      </w:r>
      <w:r w:rsidRPr="00381EC5">
        <w:rPr>
          <w:rFonts w:ascii="Book Antiqua" w:hAnsi="Book Antiqua"/>
          <w:i/>
        </w:rPr>
        <w:t xml:space="preserve">“not bereft of opportunity” </w:t>
      </w:r>
      <w:r>
        <w:rPr>
          <w:rFonts w:ascii="Book Antiqua" w:hAnsi="Book Antiqua"/>
        </w:rPr>
        <w:t>to obtai</w:t>
      </w:r>
      <w:r w:rsidR="00381EC5">
        <w:rPr>
          <w:rFonts w:ascii="Book Antiqua" w:hAnsi="Book Antiqua"/>
        </w:rPr>
        <w:t>n supporting evidence from his c</w:t>
      </w:r>
      <w:r>
        <w:rPr>
          <w:rFonts w:ascii="Book Antiqua" w:hAnsi="Book Antiqua"/>
        </w:rPr>
        <w:t>hurch as he asserted. It was open to the judge to find that less weight might be placed on the evidence relating to the appellant’s attendance at church in the absence of supporting witnesses. However, that is not to say that the appellant’s knowledge of Christianity and his regular attendance at church could be given no weight at all. The judge stopped there in so far as his assessment of</w:t>
      </w:r>
      <w:r w:rsidR="00381EC5">
        <w:rPr>
          <w:rFonts w:ascii="Book Antiqua" w:hAnsi="Book Antiqua"/>
        </w:rPr>
        <w:t xml:space="preserve"> the appellant’s attendance at c</w:t>
      </w:r>
      <w:r>
        <w:rPr>
          <w:rFonts w:ascii="Book Antiqua" w:hAnsi="Book Antiqua"/>
        </w:rPr>
        <w:t>hurch in the UK. No clear findings were made from these observations. One can only infer that the judge rejected t</w:t>
      </w:r>
      <w:r w:rsidR="00381EC5">
        <w:rPr>
          <w:rFonts w:ascii="Book Antiqua" w:hAnsi="Book Antiqua"/>
        </w:rPr>
        <w:t>he appellant’s claim to attend c</w:t>
      </w:r>
      <w:r>
        <w:rPr>
          <w:rFonts w:ascii="Book Antiqua" w:hAnsi="Book Antiqua"/>
        </w:rPr>
        <w:t xml:space="preserve">hurch as a genuine Christian convert from his overall conclusion. </w:t>
      </w:r>
    </w:p>
    <w:p w:rsidR="005B34D7" w:rsidRDefault="005B34D7" w:rsidP="005B34D7">
      <w:pPr>
        <w:ind w:left="720" w:hanging="720"/>
        <w:jc w:val="both"/>
        <w:rPr>
          <w:rFonts w:ascii="Book Antiqua" w:hAnsi="Book Antiqua"/>
        </w:rPr>
      </w:pPr>
    </w:p>
    <w:p w:rsidR="005B34D7" w:rsidRDefault="005B34D7" w:rsidP="005B34D7">
      <w:pPr>
        <w:ind w:left="720" w:hanging="720"/>
        <w:jc w:val="both"/>
        <w:rPr>
          <w:rFonts w:ascii="Book Antiqua" w:hAnsi="Book Antiqua"/>
        </w:rPr>
      </w:pPr>
      <w:r>
        <w:rPr>
          <w:rFonts w:ascii="Book Antiqua" w:hAnsi="Book Antiqua"/>
        </w:rPr>
        <w:t>11.</w:t>
      </w:r>
      <w:r>
        <w:rPr>
          <w:rFonts w:ascii="Book Antiqua" w:hAnsi="Book Antiqua"/>
        </w:rPr>
        <w:tab/>
        <w:t xml:space="preserve">The judge went on to consider the credibility of the appellant’s account of events in Iran. The judge outlined a series of points relating to the plausibility of the appellant’s account. The judge consider that it was implausible that the appellant would let his friend M, who he knew well and trusted, use his house for a party without asking about it [43]. He considered it implausible that the appellant would allow the meetings to continue once he found out the nature of the meetings because of the risks involved [44]. The judge stated: </w:t>
      </w:r>
      <w:r w:rsidRPr="00FB3014">
        <w:rPr>
          <w:rFonts w:ascii="Book Antiqua" w:hAnsi="Book Antiqua"/>
          <w:i/>
        </w:rPr>
        <w:t xml:space="preserve">“Yet his reaction when he found </w:t>
      </w:r>
      <w:r w:rsidRPr="00FB3014">
        <w:rPr>
          <w:rFonts w:ascii="Book Antiqua" w:hAnsi="Book Antiqua"/>
          <w:i/>
        </w:rPr>
        <w:lastRenderedPageBreak/>
        <w:t>this out was not shock or horror, or anger, or fear, but to want to find out more about the faith being carried out in his home.”</w:t>
      </w:r>
      <w:r>
        <w:rPr>
          <w:rFonts w:ascii="Book Antiqua" w:hAnsi="Book Antiqua"/>
        </w:rPr>
        <w:t xml:space="preserve"> [44].  Similarly, he found it implausible that M or other members of the congregation would take the risk of meeting in the house a person who was not a Christian and who might report the matter to the authorities [45-46]. His account did not </w:t>
      </w:r>
      <w:r w:rsidRPr="00FB3014">
        <w:rPr>
          <w:rFonts w:ascii="Book Antiqua" w:hAnsi="Book Antiqua"/>
          <w:i/>
        </w:rPr>
        <w:t xml:space="preserve">“generally accord with the way in which people are generally brought into such congregations. This is done slowly and with great caution, </w:t>
      </w:r>
      <w:proofErr w:type="gramStart"/>
      <w:r w:rsidRPr="00FB3014">
        <w:rPr>
          <w:rFonts w:ascii="Book Antiqua" w:hAnsi="Book Antiqua"/>
          <w:i/>
        </w:rPr>
        <w:t>by reason of</w:t>
      </w:r>
      <w:proofErr w:type="gramEnd"/>
      <w:r w:rsidRPr="00FB3014">
        <w:rPr>
          <w:rFonts w:ascii="Book Antiqua" w:hAnsi="Book Antiqua"/>
          <w:i/>
        </w:rPr>
        <w:t xml:space="preserve"> the risk i</w:t>
      </w:r>
      <w:r w:rsidR="00381EC5">
        <w:rPr>
          <w:rFonts w:ascii="Book Antiqua" w:hAnsi="Book Antiqua"/>
          <w:i/>
        </w:rPr>
        <w:t>nvolved in disclosing that one is</w:t>
      </w:r>
      <w:r w:rsidRPr="00FB3014">
        <w:rPr>
          <w:rFonts w:ascii="Book Antiqua" w:hAnsi="Book Antiqua"/>
          <w:i/>
        </w:rPr>
        <w:t xml:space="preserve"> part of a house church and has become an apostate.”</w:t>
      </w:r>
      <w:r>
        <w:rPr>
          <w:rFonts w:ascii="Book Antiqua" w:hAnsi="Book Antiqua"/>
        </w:rPr>
        <w:t xml:space="preserve"> [47].</w:t>
      </w:r>
    </w:p>
    <w:p w:rsidR="005B34D7" w:rsidRDefault="005B34D7" w:rsidP="005B34D7">
      <w:pPr>
        <w:jc w:val="both"/>
        <w:rPr>
          <w:rFonts w:ascii="Book Antiqua" w:hAnsi="Book Antiqua"/>
        </w:rPr>
      </w:pPr>
    </w:p>
    <w:p w:rsidR="005B34D7" w:rsidRDefault="005B34D7" w:rsidP="005B34D7">
      <w:pPr>
        <w:ind w:left="720" w:hanging="720"/>
        <w:jc w:val="both"/>
        <w:rPr>
          <w:rFonts w:ascii="Book Antiqua" w:hAnsi="Book Antiqua"/>
        </w:rPr>
      </w:pPr>
      <w:r>
        <w:rPr>
          <w:rFonts w:ascii="Book Antiqua" w:hAnsi="Book Antiqua"/>
        </w:rPr>
        <w:t>12.</w:t>
      </w:r>
      <w:r>
        <w:rPr>
          <w:rFonts w:ascii="Book Antiqua" w:hAnsi="Book Antiqua"/>
        </w:rPr>
        <w:tab/>
        <w:t xml:space="preserve">This series of findings made essentially the same point i.e. that it was not plausible that the various actors involved would take the risk of holding a meeting given the consequences. These findings were taken without reference to the background evidence, which shows that people clearly do take the risk of holding house church meetings in Iran. The judge failed to </w:t>
      </w:r>
      <w:proofErr w:type="gramStart"/>
      <w:r>
        <w:rPr>
          <w:rFonts w:ascii="Book Antiqua" w:hAnsi="Book Antiqua"/>
        </w:rPr>
        <w:t>take into account</w:t>
      </w:r>
      <w:proofErr w:type="gramEnd"/>
      <w:r>
        <w:rPr>
          <w:rFonts w:ascii="Book Antiqua" w:hAnsi="Book Antiqua"/>
        </w:rPr>
        <w:t xml:space="preserve"> the appellant’s claim that he had known </w:t>
      </w:r>
      <w:r w:rsidR="00520108">
        <w:rPr>
          <w:rFonts w:ascii="Book Antiqua" w:hAnsi="Book Antiqua"/>
        </w:rPr>
        <w:t>M</w:t>
      </w:r>
      <w:r>
        <w:rPr>
          <w:rFonts w:ascii="Book Antiqua" w:hAnsi="Book Antiqua"/>
        </w:rPr>
        <w:t xml:space="preserve"> for a long time and that they trusted one another. In finding that the appellant did not react to the discovery in the way the judge thought was plausible [44], he failed to </w:t>
      </w:r>
      <w:proofErr w:type="gramStart"/>
      <w:r>
        <w:rPr>
          <w:rFonts w:ascii="Book Antiqua" w:hAnsi="Book Antiqua"/>
        </w:rPr>
        <w:t>take into account</w:t>
      </w:r>
      <w:proofErr w:type="gramEnd"/>
      <w:r>
        <w:rPr>
          <w:rFonts w:ascii="Book Antiqua" w:hAnsi="Book Antiqua"/>
        </w:rPr>
        <w:t xml:space="preserve"> the appellant’s evidence, which he had already summarised at [24]. The appellant said that he was angry with </w:t>
      </w:r>
      <w:r w:rsidR="00520108">
        <w:rPr>
          <w:rFonts w:ascii="Book Antiqua" w:hAnsi="Book Antiqua"/>
        </w:rPr>
        <w:t>M</w:t>
      </w:r>
      <w:r>
        <w:rPr>
          <w:rFonts w:ascii="Book Antiqua" w:hAnsi="Book Antiqua"/>
        </w:rPr>
        <w:t xml:space="preserve"> at first, but then realised that it was a friendly gathering and was interested to know more. He also explained that the congregation trusted </w:t>
      </w:r>
      <w:r w:rsidR="00520108">
        <w:rPr>
          <w:rFonts w:ascii="Book Antiqua" w:hAnsi="Book Antiqua"/>
        </w:rPr>
        <w:t>M</w:t>
      </w:r>
      <w:r>
        <w:rPr>
          <w:rFonts w:ascii="Book Antiqua" w:hAnsi="Book Antiqua"/>
        </w:rPr>
        <w:t xml:space="preserve"> [26]. The plausibility of the account should have been considered in the context of the evidence </w:t>
      </w:r>
      <w:proofErr w:type="gramStart"/>
      <w:r>
        <w:rPr>
          <w:rFonts w:ascii="Book Antiqua" w:hAnsi="Book Antiqua"/>
        </w:rPr>
        <w:t>taken as a whole</w:t>
      </w:r>
      <w:proofErr w:type="gramEnd"/>
      <w:r>
        <w:rPr>
          <w:rFonts w:ascii="Book Antiqua" w:hAnsi="Book Antiqua"/>
        </w:rPr>
        <w:t xml:space="preserve">. </w:t>
      </w:r>
    </w:p>
    <w:p w:rsidR="005B34D7" w:rsidRDefault="005B34D7" w:rsidP="005B34D7">
      <w:pPr>
        <w:ind w:left="720" w:hanging="720"/>
        <w:jc w:val="both"/>
        <w:rPr>
          <w:rFonts w:ascii="Book Antiqua" w:hAnsi="Book Antiqua"/>
        </w:rPr>
      </w:pPr>
    </w:p>
    <w:p w:rsidR="005B34D7" w:rsidRDefault="005B34D7" w:rsidP="005B34D7">
      <w:pPr>
        <w:ind w:left="720" w:hanging="720"/>
        <w:jc w:val="both"/>
        <w:rPr>
          <w:rFonts w:ascii="Book Antiqua" w:hAnsi="Book Antiqua"/>
        </w:rPr>
      </w:pPr>
      <w:r>
        <w:rPr>
          <w:rFonts w:ascii="Book Antiqua" w:hAnsi="Book Antiqua"/>
        </w:rPr>
        <w:t>13.</w:t>
      </w:r>
      <w:r>
        <w:rPr>
          <w:rFonts w:ascii="Book Antiqua" w:hAnsi="Book Antiqua"/>
        </w:rPr>
        <w:tab/>
        <w:t xml:space="preserve">The judge went on to consider the appellant’s account of his escape after the authorities raided his home. The judge found that it was implausible that the landlord would have phoned is brother’s house to warn him after the raid: </w:t>
      </w:r>
      <w:r w:rsidRPr="00FE02D3">
        <w:rPr>
          <w:rFonts w:ascii="Book Antiqua" w:hAnsi="Book Antiqua"/>
          <w:i/>
        </w:rPr>
        <w:t>“The landlord would have horrified that his property had been used by the appellant as a house church, both because it might place him at risk, and very likely because he would object in principle</w:t>
      </w:r>
      <w:proofErr w:type="gramStart"/>
      <w:r w:rsidRPr="00FE02D3">
        <w:rPr>
          <w:rFonts w:ascii="Book Antiqua" w:hAnsi="Book Antiqua"/>
          <w:i/>
        </w:rPr>
        <w:t>.”</w:t>
      </w:r>
      <w:r>
        <w:rPr>
          <w:rFonts w:ascii="Book Antiqua" w:hAnsi="Book Antiqua"/>
        </w:rPr>
        <w:t>[</w:t>
      </w:r>
      <w:proofErr w:type="gramEnd"/>
      <w:r>
        <w:rPr>
          <w:rFonts w:ascii="Book Antiqua" w:hAnsi="Book Antiqua"/>
        </w:rPr>
        <w:t xml:space="preserve">48]. He went on to reject the appellant’s alternative explanation that the landlord may have been forced to call him to lure him to his parents’ house to be apprehended [14]. </w:t>
      </w:r>
    </w:p>
    <w:p w:rsidR="005B34D7" w:rsidRDefault="005B34D7" w:rsidP="005B34D7">
      <w:pPr>
        <w:ind w:left="720" w:hanging="720"/>
        <w:jc w:val="both"/>
        <w:rPr>
          <w:rFonts w:ascii="Book Antiqua" w:hAnsi="Book Antiqua"/>
        </w:rPr>
      </w:pPr>
    </w:p>
    <w:p w:rsidR="005B34D7" w:rsidRDefault="005B34D7" w:rsidP="005B34D7">
      <w:pPr>
        <w:ind w:left="720" w:hanging="720"/>
        <w:jc w:val="both"/>
        <w:rPr>
          <w:rFonts w:ascii="Book Antiqua" w:hAnsi="Book Antiqua"/>
        </w:rPr>
      </w:pPr>
      <w:r>
        <w:rPr>
          <w:rFonts w:ascii="Book Antiqua" w:hAnsi="Book Antiqua"/>
        </w:rPr>
        <w:t>14.</w:t>
      </w:r>
      <w:r>
        <w:rPr>
          <w:rFonts w:ascii="Book Antiqua" w:hAnsi="Book Antiqua"/>
        </w:rPr>
        <w:tab/>
        <w:t xml:space="preserve">Some of those observations may have been open to the judge to make in the context of a holistic assessment of the evidence. However, what is missing is a structured approach to the credibility findings. When read </w:t>
      </w:r>
      <w:proofErr w:type="gramStart"/>
      <w:r>
        <w:rPr>
          <w:rFonts w:ascii="Book Antiqua" w:hAnsi="Book Antiqua"/>
        </w:rPr>
        <w:t>as a whole, each</w:t>
      </w:r>
      <w:proofErr w:type="gramEnd"/>
      <w:r>
        <w:rPr>
          <w:rFonts w:ascii="Book Antiqua" w:hAnsi="Book Antiqua"/>
        </w:rPr>
        <w:t xml:space="preserve"> of the judge’s core findings relating to the appellant’s account of events in Iran are based on the judge’s view of how he </w:t>
      </w:r>
      <w:r w:rsidR="002A289A">
        <w:rPr>
          <w:rFonts w:ascii="Book Antiqua" w:hAnsi="Book Antiqua"/>
        </w:rPr>
        <w:t>expected</w:t>
      </w:r>
      <w:r>
        <w:rPr>
          <w:rFonts w:ascii="Book Antiqua" w:hAnsi="Book Antiqua"/>
        </w:rPr>
        <w:t xml:space="preserve"> each of the various actors </w:t>
      </w:r>
      <w:r w:rsidR="002A289A">
        <w:rPr>
          <w:rFonts w:ascii="Book Antiqua" w:hAnsi="Book Antiqua"/>
        </w:rPr>
        <w:t>to react</w:t>
      </w:r>
      <w:r>
        <w:rPr>
          <w:rFonts w:ascii="Book Antiqua" w:hAnsi="Book Antiqua"/>
        </w:rPr>
        <w:t xml:space="preserve">. There is no assessment of whether the appellant’s evidence </w:t>
      </w:r>
      <w:r w:rsidR="002A289A">
        <w:rPr>
          <w:rFonts w:ascii="Book Antiqua" w:hAnsi="Book Antiqua"/>
        </w:rPr>
        <w:t>was internally consistent</w:t>
      </w:r>
      <w:r>
        <w:rPr>
          <w:rFonts w:ascii="Book Antiqua" w:hAnsi="Book Antiqua"/>
        </w:rPr>
        <w:t xml:space="preserve"> or was consistent with the background evidence relating to house church meetings in Iran or the treatment of Christians. To conclude that it is inherently implausible that anyone would take risks would be irrational because the evidence shows that those who wish to practice their faith must take such risks </w:t>
      </w:r>
      <w:proofErr w:type="gramStart"/>
      <w:r>
        <w:rPr>
          <w:rFonts w:ascii="Book Antiqua" w:hAnsi="Book Antiqua"/>
        </w:rPr>
        <w:t>in order to</w:t>
      </w:r>
      <w:proofErr w:type="gramEnd"/>
      <w:r>
        <w:rPr>
          <w:rFonts w:ascii="Book Antiqua" w:hAnsi="Book Antiqua"/>
        </w:rPr>
        <w:t xml:space="preserve"> do so. In my assessment, when read </w:t>
      </w:r>
      <w:proofErr w:type="gramStart"/>
      <w:r>
        <w:rPr>
          <w:rFonts w:ascii="Book Antiqua" w:hAnsi="Book Antiqua"/>
        </w:rPr>
        <w:t>as a whole, the</w:t>
      </w:r>
      <w:proofErr w:type="gramEnd"/>
      <w:r>
        <w:rPr>
          <w:rFonts w:ascii="Book Antiqua" w:hAnsi="Book Antiqua"/>
        </w:rPr>
        <w:t xml:space="preserve"> findings relating to the plausibility of the account are of the character cautioned against in the series of cases outlined above. </w:t>
      </w:r>
    </w:p>
    <w:p w:rsidR="005B34D7" w:rsidRDefault="005B34D7" w:rsidP="005B34D7">
      <w:pPr>
        <w:ind w:left="720" w:hanging="720"/>
        <w:jc w:val="both"/>
        <w:rPr>
          <w:rFonts w:ascii="Book Antiqua" w:hAnsi="Book Antiqua"/>
        </w:rPr>
      </w:pPr>
    </w:p>
    <w:p w:rsidR="005B34D7" w:rsidRDefault="005B34D7" w:rsidP="005B34D7">
      <w:pPr>
        <w:ind w:left="720" w:hanging="720"/>
        <w:jc w:val="both"/>
        <w:rPr>
          <w:rFonts w:ascii="Book Antiqua" w:hAnsi="Book Antiqua"/>
        </w:rPr>
      </w:pPr>
      <w:r>
        <w:rPr>
          <w:rFonts w:ascii="Book Antiqua" w:hAnsi="Book Antiqua"/>
        </w:rPr>
        <w:t>15.</w:t>
      </w:r>
      <w:r>
        <w:rPr>
          <w:rFonts w:ascii="Book Antiqua" w:hAnsi="Book Antiqua"/>
        </w:rPr>
        <w:tab/>
        <w:t xml:space="preserve">No clear findings were made in relation to the appellant’s attendance at church in the UK. Even if the appellant did not have the support of a specific member of the congregation to vouch for his sincerity, the fact that he had been attending church </w:t>
      </w:r>
      <w:r>
        <w:rPr>
          <w:rFonts w:ascii="Book Antiqua" w:hAnsi="Book Antiqua"/>
        </w:rPr>
        <w:lastRenderedPageBreak/>
        <w:t xml:space="preserve">since shortly after his arrival in the UK and had some knowledge of the faith commensurate with his claimed length of interest was at least supportive of his claim. No consideration was given to the fact that the appellant claimed asylum based on his religion on arrival in the UK. Given that he had to adjust to life in the UK and find a church where he could communicate with members of the congregation, the fact that he began to attend church only two months after his arrival was also generally supportive of his claim. Little or no consideration was given to whether any of the evidence </w:t>
      </w:r>
      <w:r w:rsidR="002A289A">
        <w:rPr>
          <w:rFonts w:ascii="Book Antiqua" w:hAnsi="Book Antiqua"/>
        </w:rPr>
        <w:t xml:space="preserve">before the First-tier Tribunal </w:t>
      </w:r>
      <w:r>
        <w:rPr>
          <w:rFonts w:ascii="Book Antiqua" w:hAnsi="Book Antiqua"/>
        </w:rPr>
        <w:t xml:space="preserve">might support the appellant’s claim. </w:t>
      </w:r>
    </w:p>
    <w:p w:rsidR="005B34D7" w:rsidRDefault="005B34D7" w:rsidP="005B34D7">
      <w:pPr>
        <w:ind w:left="720" w:hanging="720"/>
        <w:jc w:val="both"/>
        <w:rPr>
          <w:rFonts w:ascii="Book Antiqua" w:hAnsi="Book Antiqua"/>
        </w:rPr>
      </w:pPr>
    </w:p>
    <w:p w:rsidR="005B34D7" w:rsidRDefault="005B34D7" w:rsidP="005B34D7">
      <w:pPr>
        <w:ind w:left="720" w:hanging="720"/>
        <w:jc w:val="both"/>
        <w:rPr>
          <w:rFonts w:ascii="Book Antiqua" w:hAnsi="Book Antiqua"/>
        </w:rPr>
      </w:pPr>
      <w:r>
        <w:rPr>
          <w:rFonts w:ascii="Book Antiqua" w:hAnsi="Book Antiqua"/>
        </w:rPr>
        <w:t>16.</w:t>
      </w:r>
      <w:r>
        <w:rPr>
          <w:rFonts w:ascii="Book Antiqua" w:hAnsi="Book Antiqua"/>
        </w:rPr>
        <w:tab/>
        <w:t xml:space="preserve">In my assessment, when the series of findings made by the First-tier Tribunal indicate that the judge rejected the claim almost entirely on his own view of the plausibility of various aspects of the appellant’s account without taking a structured approach as part of a holistic assessment of the claim. </w:t>
      </w:r>
    </w:p>
    <w:p w:rsidR="005B34D7" w:rsidRDefault="005B34D7" w:rsidP="005B34D7">
      <w:pPr>
        <w:jc w:val="both"/>
        <w:rPr>
          <w:rFonts w:ascii="Book Antiqua" w:hAnsi="Book Antiqua"/>
        </w:rPr>
      </w:pPr>
    </w:p>
    <w:p w:rsidR="005B34D7" w:rsidRPr="00677408" w:rsidRDefault="005B34D7" w:rsidP="005B34D7">
      <w:pPr>
        <w:ind w:left="720" w:hanging="720"/>
        <w:jc w:val="both"/>
        <w:rPr>
          <w:rFonts w:ascii="Book Antiqua" w:hAnsi="Book Antiqua"/>
        </w:rPr>
      </w:pPr>
      <w:r>
        <w:rPr>
          <w:rFonts w:ascii="Book Antiqua" w:hAnsi="Book Antiqua"/>
        </w:rPr>
        <w:t>17.</w:t>
      </w:r>
      <w:r>
        <w:rPr>
          <w:rFonts w:ascii="Book Antiqua" w:hAnsi="Book Antiqua"/>
        </w:rPr>
        <w:tab/>
        <w:t xml:space="preserve">I conclude that the First-tier Tribunal decision involved the making of an error on a point of law. The decision is set aside. </w:t>
      </w:r>
      <w:r w:rsidRPr="00677408">
        <w:rPr>
          <w:rFonts w:ascii="Book Antiqua" w:hAnsi="Book Antiqua"/>
        </w:rPr>
        <w:t xml:space="preserve">The nature and extent of judicial fact finding which is necessary </w:t>
      </w:r>
      <w:proofErr w:type="gramStart"/>
      <w:r w:rsidRPr="00677408">
        <w:rPr>
          <w:rFonts w:ascii="Book Antiqua" w:hAnsi="Book Antiqua"/>
        </w:rPr>
        <w:t>in order for</w:t>
      </w:r>
      <w:proofErr w:type="gramEnd"/>
      <w:r w:rsidRPr="00677408">
        <w:rPr>
          <w:rFonts w:ascii="Book Antiqua" w:hAnsi="Book Antiqua"/>
        </w:rPr>
        <w:t xml:space="preserve"> the decision to be re-made is such that, having regard to the overriding objective, it is appropriate to remit the case to the First-tier Tribunal (see Practice Statement – 25 September 2012). </w:t>
      </w:r>
      <w:r w:rsidR="002A289A">
        <w:rPr>
          <w:rFonts w:ascii="Book Antiqua" w:hAnsi="Book Antiqua"/>
        </w:rPr>
        <w:t xml:space="preserve">The parties were agreed that this was the appropriate course of action. </w:t>
      </w:r>
    </w:p>
    <w:p w:rsidR="005B34D7" w:rsidRDefault="005B34D7" w:rsidP="005B34D7">
      <w:pPr>
        <w:jc w:val="both"/>
        <w:rPr>
          <w:rFonts w:ascii="Book Antiqua" w:hAnsi="Book Antiqua"/>
        </w:rPr>
      </w:pPr>
    </w:p>
    <w:p w:rsidR="005B34D7" w:rsidRPr="00677408" w:rsidRDefault="005B34D7" w:rsidP="005B34D7">
      <w:pPr>
        <w:jc w:val="both"/>
        <w:rPr>
          <w:rFonts w:ascii="Book Antiqua" w:hAnsi="Book Antiqua"/>
        </w:rPr>
      </w:pPr>
    </w:p>
    <w:p w:rsidR="00405694" w:rsidRPr="008C5F2E" w:rsidRDefault="005B34D7" w:rsidP="00933B65">
      <w:pPr>
        <w:tabs>
          <w:tab w:val="left" w:pos="567"/>
        </w:tabs>
        <w:jc w:val="both"/>
        <w:rPr>
          <w:rFonts w:ascii="Book Antiqua" w:hAnsi="Book Antiqua" w:cs="Arial"/>
          <w:u w:val="single"/>
        </w:rPr>
      </w:pPr>
      <w:r w:rsidRPr="008C5F2E">
        <w:rPr>
          <w:rFonts w:ascii="Book Antiqua" w:hAnsi="Book Antiqua" w:cs="Arial"/>
          <w:u w:val="single"/>
        </w:rPr>
        <w:t>DECISION</w:t>
      </w:r>
    </w:p>
    <w:p w:rsidR="005B34D7" w:rsidRDefault="005B34D7" w:rsidP="00933B65">
      <w:pPr>
        <w:tabs>
          <w:tab w:val="left" w:pos="567"/>
        </w:tabs>
        <w:jc w:val="both"/>
        <w:rPr>
          <w:rFonts w:ascii="Book Antiqua" w:hAnsi="Book Antiqua" w:cs="Arial"/>
        </w:rPr>
      </w:pPr>
    </w:p>
    <w:p w:rsidR="005B34D7" w:rsidRDefault="005B34D7" w:rsidP="00933B65">
      <w:pPr>
        <w:tabs>
          <w:tab w:val="left" w:pos="567"/>
        </w:tabs>
        <w:jc w:val="both"/>
        <w:rPr>
          <w:rFonts w:ascii="Book Antiqua" w:hAnsi="Book Antiqua" w:cs="Arial"/>
        </w:rPr>
      </w:pPr>
      <w:r>
        <w:rPr>
          <w:rFonts w:ascii="Book Antiqua" w:hAnsi="Book Antiqua" w:cs="Arial"/>
        </w:rPr>
        <w:t>The First-tier Tribunal decision involved the making of an error on a point of law</w:t>
      </w:r>
    </w:p>
    <w:p w:rsidR="005B34D7" w:rsidRDefault="005B34D7" w:rsidP="00933B65">
      <w:pPr>
        <w:tabs>
          <w:tab w:val="left" w:pos="567"/>
        </w:tabs>
        <w:jc w:val="both"/>
        <w:rPr>
          <w:rFonts w:ascii="Book Antiqua" w:hAnsi="Book Antiqua" w:cs="Arial"/>
        </w:rPr>
      </w:pPr>
    </w:p>
    <w:p w:rsidR="005B34D7" w:rsidRDefault="005B34D7" w:rsidP="00933B65">
      <w:pPr>
        <w:tabs>
          <w:tab w:val="left" w:pos="567"/>
        </w:tabs>
        <w:jc w:val="both"/>
        <w:rPr>
          <w:rFonts w:ascii="Book Antiqua" w:hAnsi="Book Antiqua" w:cs="Arial"/>
        </w:rPr>
      </w:pPr>
      <w:r>
        <w:rPr>
          <w:rFonts w:ascii="Book Antiqua" w:hAnsi="Book Antiqua" w:cs="Arial"/>
        </w:rPr>
        <w:t>The decision is set aside</w:t>
      </w:r>
    </w:p>
    <w:p w:rsidR="005B34D7" w:rsidRDefault="005B34D7" w:rsidP="00933B65">
      <w:pPr>
        <w:tabs>
          <w:tab w:val="left" w:pos="567"/>
        </w:tabs>
        <w:jc w:val="both"/>
        <w:rPr>
          <w:rFonts w:ascii="Book Antiqua" w:hAnsi="Book Antiqua" w:cs="Arial"/>
        </w:rPr>
      </w:pPr>
    </w:p>
    <w:p w:rsidR="005B34D7" w:rsidRDefault="005B34D7" w:rsidP="00933B65">
      <w:pPr>
        <w:tabs>
          <w:tab w:val="left" w:pos="567"/>
        </w:tabs>
        <w:jc w:val="both"/>
        <w:rPr>
          <w:rFonts w:ascii="Book Antiqua" w:hAnsi="Book Antiqua" w:cs="Arial"/>
        </w:rPr>
      </w:pPr>
      <w:r>
        <w:rPr>
          <w:rFonts w:ascii="Book Antiqua" w:hAnsi="Book Antiqua" w:cs="Arial"/>
        </w:rPr>
        <w:t>The appeal is remitted to the First-tier Tribunal for a fresh hearing</w:t>
      </w:r>
    </w:p>
    <w:p w:rsidR="00405694" w:rsidRDefault="00405694" w:rsidP="00933B65">
      <w:pPr>
        <w:tabs>
          <w:tab w:val="left" w:pos="567"/>
        </w:tabs>
        <w:jc w:val="both"/>
        <w:rPr>
          <w:rFonts w:ascii="Book Antiqua" w:hAnsi="Book Antiqua" w:cs="Arial"/>
        </w:rPr>
      </w:pPr>
    </w:p>
    <w:p w:rsidR="00405694" w:rsidRDefault="00405694"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D62635">
        <w:rPr>
          <w:rFonts w:ascii="Book Antiqua" w:hAnsi="Book Antiqua" w:cs="Arial"/>
          <w:noProof/>
        </w:rPr>
        <w:pict>
          <v:shape id="Picture 1" o:spid="_x0000_i1026" type="#_x0000_t75" style="width:108pt;height:28.8pt;visibility:visible">
            <v:imagedata r:id="rId9" o:title=""/>
          </v:shape>
        </w:pict>
      </w:r>
      <w:r w:rsidR="00A57676">
        <w:rPr>
          <w:rFonts w:ascii="Book Antiqua" w:hAnsi="Book Antiqua" w:cs="Arial"/>
        </w:rPr>
        <w:tab/>
      </w:r>
      <w:r>
        <w:rPr>
          <w:rFonts w:ascii="Book Antiqua" w:hAnsi="Book Antiqua" w:cs="Arial"/>
        </w:rPr>
        <w:t>Date</w:t>
      </w:r>
      <w:r w:rsidR="005B34D7">
        <w:rPr>
          <w:rFonts w:ascii="Book Antiqua" w:hAnsi="Book Antiqua" w:cs="Arial"/>
        </w:rPr>
        <w:t xml:space="preserve"> 11 June 2018</w:t>
      </w:r>
      <w:bookmarkStart w:id="0" w:name="_GoBack"/>
      <w:bookmarkEnd w:id="0"/>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546523" w:rsidRDefault="00546523" w:rsidP="00933B65">
      <w:pPr>
        <w:tabs>
          <w:tab w:val="left" w:pos="567"/>
        </w:tabs>
        <w:jc w:val="both"/>
        <w:rPr>
          <w:rFonts w:ascii="Book Antiqua" w:hAnsi="Book Antiqua" w:cs="Arial"/>
        </w:rPr>
      </w:pPr>
    </w:p>
    <w:p w:rsidR="00BB40C3" w:rsidRDefault="00BB40C3" w:rsidP="00546523">
      <w:pPr>
        <w:tabs>
          <w:tab w:val="left" w:pos="567"/>
        </w:tabs>
        <w:jc w:val="both"/>
        <w:rPr>
          <w:rFonts w:ascii="Book Antiqua" w:hAnsi="Book Antiqua" w:cs="Arial"/>
          <w:u w:val="single"/>
        </w:rPr>
      </w:pP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D62635">
      <w:headerReference w:type="default" r:id="rId10"/>
      <w:footerReference w:type="defaul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63B" w:rsidRDefault="00AF163B">
      <w:r>
        <w:separator/>
      </w:r>
    </w:p>
  </w:endnote>
  <w:endnote w:type="continuationSeparator" w:id="0">
    <w:p w:rsidR="00AF163B" w:rsidRDefault="00AF1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D62635" w:rsidRDefault="00F75541" w:rsidP="00614E94">
    <w:pPr>
      <w:pStyle w:val="Footer"/>
      <w:jc w:val="center"/>
      <w:rPr>
        <w:rFonts w:ascii="Book Antiqua" w:hAnsi="Book Antiqua" w:cs="Arial"/>
      </w:rPr>
    </w:pPr>
    <w:r w:rsidRPr="00D62635">
      <w:rPr>
        <w:rStyle w:val="PageNumber"/>
        <w:rFonts w:ascii="Book Antiqua" w:hAnsi="Book Antiqua" w:cs="Arial"/>
      </w:rPr>
      <w:fldChar w:fldCharType="begin"/>
    </w:r>
    <w:r w:rsidRPr="00D62635">
      <w:rPr>
        <w:rStyle w:val="PageNumber"/>
        <w:rFonts w:ascii="Book Antiqua" w:hAnsi="Book Antiqua" w:cs="Arial"/>
      </w:rPr>
      <w:instrText xml:space="preserve"> PAGE </w:instrText>
    </w:r>
    <w:r w:rsidRPr="00D62635">
      <w:rPr>
        <w:rStyle w:val="PageNumber"/>
        <w:rFonts w:ascii="Book Antiqua" w:hAnsi="Book Antiqua" w:cs="Arial"/>
      </w:rPr>
      <w:fldChar w:fldCharType="separate"/>
    </w:r>
    <w:r w:rsidR="00D27715">
      <w:rPr>
        <w:rStyle w:val="PageNumber"/>
        <w:rFonts w:ascii="Book Antiqua" w:hAnsi="Book Antiqua" w:cs="Arial"/>
        <w:noProof/>
      </w:rPr>
      <w:t>7</w:t>
    </w:r>
    <w:r w:rsidRPr="00D6263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D62635" w:rsidRDefault="00F75541" w:rsidP="00614E94">
    <w:pPr>
      <w:jc w:val="center"/>
      <w:rPr>
        <w:rFonts w:ascii="Book Antiqua" w:hAnsi="Book Antiqua" w:cs="Arial"/>
        <w:b/>
      </w:rPr>
    </w:pPr>
    <w:r w:rsidRPr="00D62635">
      <w:rPr>
        <w:rFonts w:ascii="Book Antiqua" w:hAnsi="Book Antiqua" w:cs="Arial"/>
        <w:b/>
        <w:spacing w:val="-6"/>
      </w:rPr>
      <w:t>©</w:t>
    </w:r>
    <w:r w:rsidR="00816668" w:rsidRPr="00D6263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63B" w:rsidRDefault="00AF163B">
      <w:r>
        <w:separator/>
      </w:r>
    </w:p>
  </w:footnote>
  <w:footnote w:type="continuationSeparator" w:id="0">
    <w:p w:rsidR="00AF163B" w:rsidRDefault="00AF1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453" w:rsidRDefault="00F75541" w:rsidP="00CF2453">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8C5F2E">
      <w:rPr>
        <w:rFonts w:ascii="Book Antiqua" w:hAnsi="Book Antiqua" w:cs="Arial"/>
        <w:sz w:val="16"/>
        <w:szCs w:val="16"/>
      </w:rPr>
      <w:t>PA/08965/2017</w:t>
    </w:r>
  </w:p>
  <w:p w:rsidR="00D62635" w:rsidRPr="00CF2453" w:rsidRDefault="00D62635" w:rsidP="00CF2453">
    <w:pPr>
      <w:tabs>
        <w:tab w:val="right" w:pos="9720"/>
      </w:tabs>
      <w:ind w:right="-82"/>
      <w:jc w:val="right"/>
      <w:rPr>
        <w:rFonts w:ascii="Book Antiqua" w:hAnsi="Book Antiqua" w:cs="Arial"/>
        <w:color w:val="000000"/>
        <w:sz w:val="16"/>
        <w:szCs w:val="16"/>
      </w:rPr>
    </w:pP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5449"/>
    <w:multiLevelType w:val="hybridMultilevel"/>
    <w:tmpl w:val="B7A83C2A"/>
    <w:lvl w:ilvl="0" w:tplc="6BB0CF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6" w15:restartNumberingAfterBreak="0">
    <w:nsid w:val="6B415B63"/>
    <w:multiLevelType w:val="hybridMultilevel"/>
    <w:tmpl w:val="AA0C1872"/>
    <w:lvl w:ilvl="0" w:tplc="50B23098">
      <w:start w:val="3"/>
      <w:numFmt w:val="bullet"/>
      <w:lvlText w:val="-"/>
      <w:lvlJc w:val="left"/>
      <w:pPr>
        <w:ind w:left="1800" w:hanging="360"/>
      </w:pPr>
      <w:rPr>
        <w:rFonts w:ascii="Book Antiqua" w:eastAsia="Calibri" w:hAnsi="Book Antiqua"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512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3B65"/>
    <w:rsid w:val="00010B88"/>
    <w:rsid w:val="00047060"/>
    <w:rsid w:val="00056E7C"/>
    <w:rsid w:val="000644CE"/>
    <w:rsid w:val="000D0603"/>
    <w:rsid w:val="00115648"/>
    <w:rsid w:val="00194FB4"/>
    <w:rsid w:val="001A14A2"/>
    <w:rsid w:val="001A373D"/>
    <w:rsid w:val="001C2435"/>
    <w:rsid w:val="001E1662"/>
    <w:rsid w:val="00200671"/>
    <w:rsid w:val="00266FFE"/>
    <w:rsid w:val="00270D89"/>
    <w:rsid w:val="00272712"/>
    <w:rsid w:val="00294F41"/>
    <w:rsid w:val="002A289A"/>
    <w:rsid w:val="002F6D78"/>
    <w:rsid w:val="003049FE"/>
    <w:rsid w:val="00345182"/>
    <w:rsid w:val="00381EC5"/>
    <w:rsid w:val="00396F7B"/>
    <w:rsid w:val="003B36AE"/>
    <w:rsid w:val="004044E6"/>
    <w:rsid w:val="00405694"/>
    <w:rsid w:val="00407E66"/>
    <w:rsid w:val="004171D0"/>
    <w:rsid w:val="00426F9F"/>
    <w:rsid w:val="00497CC7"/>
    <w:rsid w:val="004A012D"/>
    <w:rsid w:val="004F4BE7"/>
    <w:rsid w:val="00520108"/>
    <w:rsid w:val="00546523"/>
    <w:rsid w:val="0057020B"/>
    <w:rsid w:val="005819E4"/>
    <w:rsid w:val="005907D8"/>
    <w:rsid w:val="005957E3"/>
    <w:rsid w:val="005B34D7"/>
    <w:rsid w:val="00614E94"/>
    <w:rsid w:val="00631E34"/>
    <w:rsid w:val="00662048"/>
    <w:rsid w:val="0068059E"/>
    <w:rsid w:val="006A364A"/>
    <w:rsid w:val="00731039"/>
    <w:rsid w:val="0073630A"/>
    <w:rsid w:val="007B09CD"/>
    <w:rsid w:val="00816668"/>
    <w:rsid w:val="00821972"/>
    <w:rsid w:val="008832E8"/>
    <w:rsid w:val="008A3B24"/>
    <w:rsid w:val="008C5F2E"/>
    <w:rsid w:val="008E01FB"/>
    <w:rsid w:val="008F0F73"/>
    <w:rsid w:val="00933B65"/>
    <w:rsid w:val="0094479E"/>
    <w:rsid w:val="009701EB"/>
    <w:rsid w:val="009942DD"/>
    <w:rsid w:val="009D5EB6"/>
    <w:rsid w:val="00A03E4C"/>
    <w:rsid w:val="00A472B6"/>
    <w:rsid w:val="00A57676"/>
    <w:rsid w:val="00A621AC"/>
    <w:rsid w:val="00A7051D"/>
    <w:rsid w:val="00A70F8E"/>
    <w:rsid w:val="00A86A8D"/>
    <w:rsid w:val="00AB1DC6"/>
    <w:rsid w:val="00AB703E"/>
    <w:rsid w:val="00AF163B"/>
    <w:rsid w:val="00BB40C3"/>
    <w:rsid w:val="00C56E05"/>
    <w:rsid w:val="00C61D30"/>
    <w:rsid w:val="00C91E16"/>
    <w:rsid w:val="00CE5C94"/>
    <w:rsid w:val="00CF2453"/>
    <w:rsid w:val="00D25C76"/>
    <w:rsid w:val="00D27715"/>
    <w:rsid w:val="00D3274C"/>
    <w:rsid w:val="00D36F32"/>
    <w:rsid w:val="00D40718"/>
    <w:rsid w:val="00D62635"/>
    <w:rsid w:val="00DA52F3"/>
    <w:rsid w:val="00DC6FB0"/>
    <w:rsid w:val="00DE3D56"/>
    <w:rsid w:val="00E15512"/>
    <w:rsid w:val="00E2527C"/>
    <w:rsid w:val="00E468D9"/>
    <w:rsid w:val="00E63B55"/>
    <w:rsid w:val="00E72FDC"/>
    <w:rsid w:val="00E96B33"/>
    <w:rsid w:val="00ED1E61"/>
    <w:rsid w:val="00F648C0"/>
    <w:rsid w:val="00F66C52"/>
    <w:rsid w:val="00F75541"/>
    <w:rsid w:val="00F8752A"/>
    <w:rsid w:val="00FA0A2E"/>
    <w:rsid w:val="00FB0516"/>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22C73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 w:type="paragraph" w:styleId="NormalWeb">
    <w:name w:val="Normal (Web)"/>
    <w:basedOn w:val="Normal"/>
    <w:uiPriority w:val="99"/>
    <w:rsid w:val="005B34D7"/>
    <w:pPr>
      <w:spacing w:beforeLines="1" w:afterLines="1"/>
    </w:pPr>
    <w:rPr>
      <w:rFonts w:ascii="Times" w:eastAsia="Cambria" w:hAnsi="Times"/>
      <w:sz w:val="20"/>
      <w:szCs w:val="20"/>
      <w:lang w:eastAsia="en-US"/>
    </w:rPr>
  </w:style>
  <w:style w:type="character" w:customStyle="1" w:styleId="apple-converted-space">
    <w:name w:val="apple-converted-space"/>
    <w:rsid w:val="005B3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uk/cases/UKSC/2010/49.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2904</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19425</CharactersWithSpaces>
  <SharedDoc>false</SharedDoc>
  <HLinks>
    <vt:vector size="6" baseType="variant">
      <vt:variant>
        <vt:i4>1638485</vt:i4>
      </vt:variant>
      <vt:variant>
        <vt:i4>3</vt:i4>
      </vt:variant>
      <vt:variant>
        <vt:i4>0</vt:i4>
      </vt:variant>
      <vt:variant>
        <vt:i4>5</vt:i4>
      </vt:variant>
      <vt:variant>
        <vt:lpwstr>http://www.bailii.org/uk/cases/UKSC/2010/49.html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2018-07-09T12:19:00Z</dcterms:created>
  <dcterms:modified xsi:type="dcterms:W3CDTF">2018-07-09T12:20:00Z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