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00AA" w14:textId="77777777" w:rsidR="00E273DE" w:rsidRDefault="00E273DE" w:rsidP="00E613E4">
      <w:pPr>
        <w:tabs>
          <w:tab w:val="right" w:pos="9720"/>
        </w:tabs>
        <w:spacing w:line="360" w:lineRule="auto"/>
        <w:ind w:right="-82"/>
        <w:outlineLvl w:val="0"/>
        <w:rPr>
          <w:rFonts w:ascii="Arial" w:hAnsi="Arial" w:cs="Arial"/>
          <w:b/>
          <w:color w:val="000000"/>
        </w:rPr>
      </w:pPr>
    </w:p>
    <w:p w14:paraId="009C9514" w14:textId="3B668313" w:rsidR="00E273DE" w:rsidRDefault="00E273DE" w:rsidP="00E273DE">
      <w:pPr>
        <w:tabs>
          <w:tab w:val="right" w:pos="9720"/>
        </w:tabs>
        <w:spacing w:line="360" w:lineRule="auto"/>
        <w:ind w:right="-82"/>
        <w:jc w:val="center"/>
        <w:outlineLvl w:val="0"/>
        <w:rPr>
          <w:rFonts w:ascii="Arial" w:hAnsi="Arial" w:cs="Arial"/>
          <w:b/>
          <w:color w:val="000000"/>
        </w:rPr>
      </w:pPr>
      <w:r w:rsidRPr="00E44430">
        <w:rPr>
          <w:noProof/>
        </w:rPr>
        <w:drawing>
          <wp:inline distT="0" distB="0" distL="0" distR="0" wp14:anchorId="0F7A2DDC" wp14:editId="699B7C20">
            <wp:extent cx="1404000" cy="10800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79" b="-7669"/>
                    <a:stretch>
                      <a:fillRect/>
                    </a:stretch>
                  </pic:blipFill>
                  <pic:spPr bwMode="auto">
                    <a:xfrm>
                      <a:off x="0" y="0"/>
                      <a:ext cx="1404000" cy="1080000"/>
                    </a:xfrm>
                    <a:prstGeom prst="rect">
                      <a:avLst/>
                    </a:prstGeom>
                    <a:noFill/>
                    <a:ln>
                      <a:noFill/>
                    </a:ln>
                  </pic:spPr>
                </pic:pic>
              </a:graphicData>
            </a:graphic>
          </wp:inline>
        </w:drawing>
      </w:r>
    </w:p>
    <w:p w14:paraId="0E04E517" w14:textId="120FD58B" w:rsidR="00E613E4" w:rsidRPr="00B74B3C" w:rsidRDefault="00E613E4" w:rsidP="00E613E4">
      <w:pPr>
        <w:tabs>
          <w:tab w:val="right" w:pos="9720"/>
        </w:tabs>
        <w:spacing w:line="360" w:lineRule="auto"/>
        <w:ind w:right="-82"/>
        <w:outlineLvl w:val="0"/>
        <w:rPr>
          <w:rFonts w:ascii="Arial" w:hAnsi="Arial" w:cs="Arial"/>
          <w:b/>
          <w:color w:val="000000"/>
        </w:rPr>
      </w:pPr>
      <w:r w:rsidRPr="00B74B3C">
        <w:rPr>
          <w:rFonts w:ascii="Arial" w:hAnsi="Arial" w:cs="Arial"/>
          <w:b/>
          <w:color w:val="000000"/>
        </w:rPr>
        <w:t xml:space="preserve">Upper Tribunal </w:t>
      </w:r>
    </w:p>
    <w:p w14:paraId="6CD553AF" w14:textId="4778E89B" w:rsidR="00E613E4" w:rsidRPr="00345EC4" w:rsidRDefault="00E613E4" w:rsidP="00E613E4">
      <w:pPr>
        <w:tabs>
          <w:tab w:val="right" w:pos="9720"/>
        </w:tabs>
        <w:spacing w:line="360" w:lineRule="auto"/>
        <w:ind w:right="-82"/>
        <w:rPr>
          <w:rFonts w:ascii="Arial" w:hAnsi="Arial" w:cs="Arial"/>
          <w:b/>
          <w:color w:val="000000"/>
        </w:rPr>
      </w:pPr>
      <w:r w:rsidRPr="00B74B3C">
        <w:rPr>
          <w:rFonts w:ascii="Arial" w:hAnsi="Arial" w:cs="Arial"/>
          <w:b/>
          <w:color w:val="000000"/>
        </w:rPr>
        <w:t xml:space="preserve">(Immigration and Asylum </w:t>
      </w:r>
      <w:proofErr w:type="gramStart"/>
      <w:r w:rsidR="007104B0" w:rsidRPr="00B74B3C">
        <w:rPr>
          <w:rFonts w:ascii="Arial" w:hAnsi="Arial" w:cs="Arial"/>
          <w:b/>
          <w:color w:val="000000"/>
        </w:rPr>
        <w:t>Chamber)</w:t>
      </w:r>
      <w:r w:rsidR="007104B0">
        <w:rPr>
          <w:rFonts w:ascii="Arial" w:hAnsi="Arial" w:cs="Arial"/>
          <w:b/>
          <w:color w:val="000000"/>
        </w:rPr>
        <w:t xml:space="preserve">  </w:t>
      </w:r>
      <w:r>
        <w:rPr>
          <w:rFonts w:ascii="Arial" w:hAnsi="Arial" w:cs="Arial"/>
          <w:b/>
          <w:color w:val="000000"/>
        </w:rPr>
        <w:t xml:space="preserve"> </w:t>
      </w:r>
      <w:proofErr w:type="gramEnd"/>
      <w:r>
        <w:rPr>
          <w:rFonts w:ascii="Arial" w:hAnsi="Arial" w:cs="Arial"/>
          <w:b/>
          <w:color w:val="000000"/>
        </w:rPr>
        <w:t xml:space="preserve">                 </w:t>
      </w:r>
      <w:r w:rsidRPr="00440EE7">
        <w:rPr>
          <w:rFonts w:ascii="Arial" w:hAnsi="Arial" w:cs="Arial"/>
          <w:b/>
          <w:color w:val="000000"/>
        </w:rPr>
        <w:t>Appeal Number</w:t>
      </w:r>
      <w:r w:rsidRPr="00345EC4">
        <w:rPr>
          <w:rFonts w:ascii="Arial" w:hAnsi="Arial" w:cs="Arial"/>
          <w:b/>
          <w:color w:val="000000"/>
        </w:rPr>
        <w:t xml:space="preserve">: </w:t>
      </w:r>
      <w:r w:rsidR="00345EC4" w:rsidRPr="00345EC4">
        <w:rPr>
          <w:rFonts w:ascii="Arial" w:hAnsi="Arial" w:cs="Arial"/>
          <w:b/>
        </w:rPr>
        <w:t>PA/09090/2017</w:t>
      </w:r>
    </w:p>
    <w:p w14:paraId="4EF8407B" w14:textId="77777777" w:rsidR="00E613E4" w:rsidRPr="00B74B3C" w:rsidRDefault="00E613E4" w:rsidP="00E613E4">
      <w:pPr>
        <w:spacing w:line="360" w:lineRule="auto"/>
        <w:jc w:val="center"/>
        <w:rPr>
          <w:rFonts w:ascii="Arial" w:hAnsi="Arial" w:cs="Arial"/>
          <w:color w:val="000000"/>
        </w:rPr>
      </w:pPr>
    </w:p>
    <w:p w14:paraId="24CE9BB5" w14:textId="03A8F325" w:rsidR="00E613E4" w:rsidRDefault="00E613E4" w:rsidP="00E613E4">
      <w:pPr>
        <w:spacing w:line="360" w:lineRule="auto"/>
        <w:jc w:val="center"/>
        <w:outlineLvl w:val="0"/>
        <w:rPr>
          <w:rFonts w:ascii="Arial" w:hAnsi="Arial" w:cs="Arial"/>
          <w:b/>
          <w:color w:val="000000"/>
          <w:u w:val="single"/>
        </w:rPr>
      </w:pPr>
      <w:r w:rsidRPr="00B74B3C">
        <w:rPr>
          <w:rFonts w:ascii="Arial" w:hAnsi="Arial" w:cs="Arial"/>
          <w:b/>
          <w:color w:val="000000"/>
          <w:u w:val="single"/>
        </w:rPr>
        <w:t>THE IMMIGRATION ACTS</w:t>
      </w:r>
    </w:p>
    <w:tbl>
      <w:tblPr>
        <w:tblW w:w="10494" w:type="dxa"/>
        <w:tblLook w:val="01E0" w:firstRow="1" w:lastRow="1" w:firstColumn="1" w:lastColumn="1" w:noHBand="0" w:noVBand="0"/>
      </w:tblPr>
      <w:tblGrid>
        <w:gridCol w:w="5245"/>
        <w:gridCol w:w="931"/>
        <w:gridCol w:w="4318"/>
      </w:tblGrid>
      <w:tr w:rsidR="00E613E4" w:rsidRPr="00B74B3C" w14:paraId="03A0CA21" w14:textId="77777777" w:rsidTr="00D574F4">
        <w:trPr>
          <w:trHeight w:val="412"/>
        </w:trPr>
        <w:tc>
          <w:tcPr>
            <w:tcW w:w="5245" w:type="dxa"/>
          </w:tcPr>
          <w:p w14:paraId="25382D3F" w14:textId="66BB3F70" w:rsidR="00E613E4" w:rsidRPr="0083360D" w:rsidRDefault="00E613E4" w:rsidP="00DA1D16">
            <w:pPr>
              <w:spacing w:line="360" w:lineRule="auto"/>
              <w:jc w:val="both"/>
              <w:rPr>
                <w:rFonts w:ascii="Arial" w:hAnsi="Arial" w:cs="Arial"/>
                <w:b/>
              </w:rPr>
            </w:pPr>
            <w:r w:rsidRPr="0083360D">
              <w:rPr>
                <w:rFonts w:ascii="Arial" w:hAnsi="Arial" w:cs="Arial"/>
                <w:b/>
              </w:rPr>
              <w:t xml:space="preserve">Heard at </w:t>
            </w:r>
            <w:r w:rsidR="00345EC4">
              <w:rPr>
                <w:rFonts w:ascii="Arial" w:hAnsi="Arial" w:cs="Arial"/>
                <w:b/>
              </w:rPr>
              <w:t>Liverpool CJC</w:t>
            </w:r>
            <w:r w:rsidRPr="0083360D">
              <w:rPr>
                <w:rFonts w:ascii="Arial" w:hAnsi="Arial" w:cs="Arial"/>
                <w:b/>
              </w:rPr>
              <w:t xml:space="preserve">  </w:t>
            </w:r>
          </w:p>
        </w:tc>
        <w:tc>
          <w:tcPr>
            <w:tcW w:w="5249" w:type="dxa"/>
            <w:gridSpan w:val="2"/>
          </w:tcPr>
          <w:p w14:paraId="772C9017" w14:textId="77777777" w:rsidR="00E613E4" w:rsidRPr="00B74B3C" w:rsidRDefault="00E613E4" w:rsidP="00DA1D16">
            <w:pPr>
              <w:spacing w:line="360" w:lineRule="auto"/>
              <w:jc w:val="both"/>
              <w:rPr>
                <w:rFonts w:ascii="Arial" w:hAnsi="Arial" w:cs="Arial"/>
                <w:b/>
                <w:color w:val="000000"/>
              </w:rPr>
            </w:pPr>
            <w:r>
              <w:rPr>
                <w:rFonts w:ascii="Arial" w:hAnsi="Arial" w:cs="Arial"/>
                <w:b/>
                <w:color w:val="000000"/>
              </w:rPr>
              <w:t>Decision</w:t>
            </w:r>
            <w:r w:rsidRPr="00B74B3C">
              <w:rPr>
                <w:rFonts w:ascii="Arial" w:hAnsi="Arial" w:cs="Arial"/>
                <w:b/>
                <w:color w:val="000000"/>
              </w:rPr>
              <w:t xml:space="preserve"> Promulgated</w:t>
            </w:r>
          </w:p>
        </w:tc>
      </w:tr>
      <w:tr w:rsidR="00E613E4" w:rsidRPr="00B74B3C" w14:paraId="5D4964DF" w14:textId="77777777" w:rsidTr="00D574F4">
        <w:trPr>
          <w:trHeight w:val="393"/>
        </w:trPr>
        <w:tc>
          <w:tcPr>
            <w:tcW w:w="5245" w:type="dxa"/>
          </w:tcPr>
          <w:p w14:paraId="4A770C8F" w14:textId="1317794A" w:rsidR="00E613E4" w:rsidRPr="0083360D" w:rsidRDefault="00E613E4" w:rsidP="00DA1D16">
            <w:pPr>
              <w:spacing w:line="360" w:lineRule="auto"/>
              <w:jc w:val="both"/>
              <w:rPr>
                <w:rFonts w:ascii="Arial" w:hAnsi="Arial" w:cs="Arial"/>
                <w:b/>
              </w:rPr>
            </w:pPr>
            <w:r w:rsidRPr="0083360D">
              <w:rPr>
                <w:rFonts w:ascii="Arial" w:hAnsi="Arial" w:cs="Arial"/>
                <w:b/>
              </w:rPr>
              <w:t xml:space="preserve">On </w:t>
            </w:r>
            <w:r w:rsidR="00345EC4" w:rsidRPr="00345EC4">
              <w:rPr>
                <w:rFonts w:ascii="Arial" w:hAnsi="Arial" w:cs="Arial"/>
                <w:b/>
              </w:rPr>
              <w:t>5 July</w:t>
            </w:r>
            <w:r w:rsidR="00345EC4">
              <w:rPr>
                <w:rFonts w:ascii="Arial" w:hAnsi="Arial" w:cs="Arial"/>
              </w:rPr>
              <w:t xml:space="preserve"> </w:t>
            </w:r>
            <w:r w:rsidRPr="0083360D">
              <w:rPr>
                <w:rFonts w:ascii="Arial" w:hAnsi="Arial" w:cs="Arial"/>
                <w:b/>
              </w:rPr>
              <w:t>2018</w:t>
            </w:r>
          </w:p>
        </w:tc>
        <w:tc>
          <w:tcPr>
            <w:tcW w:w="5249" w:type="dxa"/>
            <w:gridSpan w:val="2"/>
          </w:tcPr>
          <w:p w14:paraId="5429A91B" w14:textId="40EED5F6" w:rsidR="00E613E4" w:rsidRPr="00B74B3C" w:rsidRDefault="000862AA" w:rsidP="00DA1D16">
            <w:pPr>
              <w:spacing w:line="360" w:lineRule="auto"/>
              <w:jc w:val="both"/>
              <w:rPr>
                <w:rFonts w:ascii="Arial" w:hAnsi="Arial" w:cs="Arial"/>
                <w:b/>
              </w:rPr>
            </w:pPr>
            <w:r w:rsidRPr="000862AA">
              <w:rPr>
                <w:rFonts w:ascii="Arial" w:hAnsi="Arial" w:cs="Arial"/>
                <w:b/>
              </w:rPr>
              <w:t>On 10 July 2018</w:t>
            </w:r>
          </w:p>
        </w:tc>
      </w:tr>
      <w:tr w:rsidR="00E613E4" w:rsidRPr="00B74B3C" w14:paraId="3C1507D0" w14:textId="77777777" w:rsidTr="000862AA">
        <w:trPr>
          <w:trHeight w:val="412"/>
        </w:trPr>
        <w:tc>
          <w:tcPr>
            <w:tcW w:w="6176" w:type="dxa"/>
            <w:gridSpan w:val="2"/>
          </w:tcPr>
          <w:p w14:paraId="63AFA6B6" w14:textId="77777777" w:rsidR="00E613E4" w:rsidRPr="00B74B3C" w:rsidRDefault="00E613E4" w:rsidP="00DA1D16">
            <w:pPr>
              <w:spacing w:line="360" w:lineRule="auto"/>
              <w:jc w:val="both"/>
              <w:rPr>
                <w:rFonts w:ascii="Arial" w:hAnsi="Arial" w:cs="Arial"/>
                <w:b/>
              </w:rPr>
            </w:pPr>
          </w:p>
        </w:tc>
        <w:tc>
          <w:tcPr>
            <w:tcW w:w="4318" w:type="dxa"/>
          </w:tcPr>
          <w:p w14:paraId="649B7CF1" w14:textId="7C8EF3F2" w:rsidR="00E613E4" w:rsidRPr="00B74B3C" w:rsidRDefault="00E613E4" w:rsidP="00DA1D16">
            <w:pPr>
              <w:spacing w:line="360" w:lineRule="auto"/>
              <w:jc w:val="both"/>
              <w:rPr>
                <w:rFonts w:ascii="Arial" w:hAnsi="Arial" w:cs="Arial"/>
                <w:b/>
              </w:rPr>
            </w:pPr>
          </w:p>
        </w:tc>
      </w:tr>
    </w:tbl>
    <w:p w14:paraId="0DD97D60" w14:textId="086DE0AC" w:rsidR="00E613E4" w:rsidRDefault="00E613E4" w:rsidP="00E613E4">
      <w:pPr>
        <w:spacing w:line="360" w:lineRule="auto"/>
        <w:jc w:val="center"/>
        <w:outlineLvl w:val="0"/>
        <w:rPr>
          <w:rFonts w:ascii="Arial" w:hAnsi="Arial" w:cs="Arial"/>
          <w:b/>
        </w:rPr>
      </w:pPr>
      <w:r w:rsidRPr="00B74B3C">
        <w:rPr>
          <w:rFonts w:ascii="Arial" w:hAnsi="Arial" w:cs="Arial"/>
          <w:b/>
        </w:rPr>
        <w:t>Before</w:t>
      </w:r>
    </w:p>
    <w:p w14:paraId="7A50D084" w14:textId="77777777" w:rsidR="00D574F4" w:rsidRPr="00B74B3C" w:rsidRDefault="00D574F4" w:rsidP="00E613E4">
      <w:pPr>
        <w:spacing w:line="360" w:lineRule="auto"/>
        <w:jc w:val="center"/>
        <w:outlineLvl w:val="0"/>
        <w:rPr>
          <w:rFonts w:ascii="Arial" w:hAnsi="Arial" w:cs="Arial"/>
          <w:b/>
        </w:rPr>
      </w:pPr>
    </w:p>
    <w:p w14:paraId="6BAB71F0" w14:textId="77777777" w:rsidR="00E613E4" w:rsidRPr="00B74B3C" w:rsidRDefault="00E613E4" w:rsidP="00E613E4">
      <w:pPr>
        <w:spacing w:line="360" w:lineRule="auto"/>
        <w:jc w:val="center"/>
        <w:outlineLvl w:val="0"/>
        <w:rPr>
          <w:rFonts w:ascii="Arial" w:hAnsi="Arial" w:cs="Arial"/>
          <w:b/>
          <w:color w:val="000000"/>
        </w:rPr>
      </w:pPr>
      <w:r>
        <w:rPr>
          <w:rFonts w:ascii="Arial" w:hAnsi="Arial" w:cs="Arial"/>
          <w:b/>
          <w:color w:val="000000"/>
        </w:rPr>
        <w:t>DEPUTY UPPER</w:t>
      </w:r>
      <w:r w:rsidRPr="00B74B3C">
        <w:rPr>
          <w:rFonts w:ascii="Arial" w:hAnsi="Arial" w:cs="Arial"/>
          <w:b/>
          <w:color w:val="000000"/>
        </w:rPr>
        <w:t xml:space="preserve"> TRIBUNAL</w:t>
      </w:r>
      <w:r>
        <w:rPr>
          <w:rFonts w:ascii="Arial" w:hAnsi="Arial" w:cs="Arial"/>
          <w:b/>
          <w:color w:val="000000"/>
        </w:rPr>
        <w:t xml:space="preserve"> JUDGE</w:t>
      </w:r>
      <w:r w:rsidRPr="00B74B3C">
        <w:rPr>
          <w:rFonts w:ascii="Arial" w:hAnsi="Arial" w:cs="Arial"/>
          <w:b/>
          <w:color w:val="000000"/>
        </w:rPr>
        <w:t xml:space="preserve"> </w:t>
      </w:r>
      <w:r>
        <w:rPr>
          <w:rFonts w:ascii="Arial" w:hAnsi="Arial" w:cs="Arial"/>
          <w:b/>
          <w:color w:val="000000"/>
        </w:rPr>
        <w:t>BIRRELL</w:t>
      </w:r>
    </w:p>
    <w:p w14:paraId="2B3EE885" w14:textId="77777777" w:rsidR="00E613E4" w:rsidRPr="00B74B3C" w:rsidRDefault="00E613E4" w:rsidP="00E613E4">
      <w:pPr>
        <w:spacing w:line="360" w:lineRule="auto"/>
        <w:jc w:val="center"/>
        <w:rPr>
          <w:rFonts w:ascii="Arial" w:hAnsi="Arial" w:cs="Arial"/>
          <w:b/>
          <w:color w:val="000000"/>
        </w:rPr>
      </w:pPr>
    </w:p>
    <w:p w14:paraId="276AF230" w14:textId="28F35259" w:rsidR="00E613E4" w:rsidRDefault="00E613E4" w:rsidP="00E613E4">
      <w:pPr>
        <w:spacing w:line="360" w:lineRule="auto"/>
        <w:jc w:val="center"/>
        <w:outlineLvl w:val="0"/>
        <w:rPr>
          <w:rFonts w:ascii="Arial" w:hAnsi="Arial" w:cs="Arial"/>
          <w:b/>
        </w:rPr>
      </w:pPr>
      <w:r w:rsidRPr="00B74B3C">
        <w:rPr>
          <w:rFonts w:ascii="Arial" w:hAnsi="Arial" w:cs="Arial"/>
          <w:b/>
        </w:rPr>
        <w:t>Between</w:t>
      </w:r>
    </w:p>
    <w:p w14:paraId="19AAE438" w14:textId="77777777" w:rsidR="00D574F4" w:rsidRPr="00B74B3C" w:rsidRDefault="00D574F4" w:rsidP="00E613E4">
      <w:pPr>
        <w:spacing w:line="360" w:lineRule="auto"/>
        <w:jc w:val="center"/>
        <w:outlineLvl w:val="0"/>
        <w:rPr>
          <w:rFonts w:ascii="Arial" w:hAnsi="Arial" w:cs="Arial"/>
          <w:b/>
        </w:rPr>
      </w:pPr>
    </w:p>
    <w:p w14:paraId="13589FC7" w14:textId="791C6942" w:rsidR="00345EC4" w:rsidRPr="00345EC4" w:rsidRDefault="00345EC4" w:rsidP="00E613E4">
      <w:pPr>
        <w:spacing w:line="360" w:lineRule="auto"/>
        <w:jc w:val="center"/>
        <w:rPr>
          <w:rFonts w:ascii="Arial" w:hAnsi="Arial" w:cs="Arial"/>
          <w:b/>
          <w:color w:val="000000"/>
        </w:rPr>
      </w:pPr>
      <w:r w:rsidRPr="00345EC4">
        <w:rPr>
          <w:rFonts w:ascii="Arial" w:hAnsi="Arial" w:cs="Arial"/>
          <w:b/>
        </w:rPr>
        <w:t>MOHAMMAD BAHMANI</w:t>
      </w:r>
      <w:r w:rsidR="00E613E4" w:rsidRPr="00345EC4">
        <w:rPr>
          <w:rFonts w:ascii="Arial" w:hAnsi="Arial" w:cs="Arial"/>
          <w:b/>
          <w:color w:val="000000"/>
        </w:rPr>
        <w:t xml:space="preserve"> </w:t>
      </w:r>
    </w:p>
    <w:p w14:paraId="4CD9D3EF" w14:textId="4974B261" w:rsidR="00E613E4" w:rsidRPr="00D574F4" w:rsidRDefault="00E613E4" w:rsidP="00E613E4">
      <w:pPr>
        <w:spacing w:line="360" w:lineRule="auto"/>
        <w:jc w:val="center"/>
        <w:rPr>
          <w:rFonts w:ascii="Arial" w:hAnsi="Arial" w:cs="Arial"/>
          <w:color w:val="000000"/>
        </w:rPr>
      </w:pPr>
      <w:r w:rsidRPr="00D574F4">
        <w:rPr>
          <w:rFonts w:ascii="Arial" w:hAnsi="Arial" w:cs="Arial"/>
          <w:color w:val="000000"/>
        </w:rPr>
        <w:t xml:space="preserve">(ANONYMITY DIRECTION </w:t>
      </w:r>
      <w:r w:rsidR="00345EC4" w:rsidRPr="00D574F4">
        <w:rPr>
          <w:rFonts w:ascii="Arial" w:hAnsi="Arial" w:cs="Arial"/>
        </w:rPr>
        <w:t xml:space="preserve">NOT </w:t>
      </w:r>
      <w:r w:rsidRPr="00D574F4">
        <w:rPr>
          <w:rFonts w:ascii="Arial" w:hAnsi="Arial" w:cs="Arial"/>
          <w:color w:val="000000"/>
        </w:rPr>
        <w:t>MADE)</w:t>
      </w:r>
    </w:p>
    <w:p w14:paraId="5BA45003" w14:textId="77777777" w:rsidR="00E613E4" w:rsidRPr="00B74B3C" w:rsidRDefault="00E613E4" w:rsidP="00E613E4">
      <w:pPr>
        <w:spacing w:line="360" w:lineRule="auto"/>
        <w:jc w:val="right"/>
        <w:outlineLvl w:val="0"/>
        <w:rPr>
          <w:rFonts w:ascii="Arial" w:hAnsi="Arial" w:cs="Arial"/>
          <w:u w:val="single"/>
        </w:rPr>
      </w:pPr>
      <w:r w:rsidRPr="00B74B3C">
        <w:rPr>
          <w:rFonts w:ascii="Arial" w:hAnsi="Arial" w:cs="Arial"/>
          <w:u w:val="single"/>
        </w:rPr>
        <w:t>Appellant</w:t>
      </w:r>
    </w:p>
    <w:p w14:paraId="499E7B46" w14:textId="77777777" w:rsidR="00E613E4" w:rsidRPr="00B74B3C" w:rsidRDefault="00E613E4" w:rsidP="00E613E4">
      <w:pPr>
        <w:spacing w:line="360" w:lineRule="auto"/>
        <w:jc w:val="center"/>
        <w:rPr>
          <w:rFonts w:ascii="Arial" w:hAnsi="Arial" w:cs="Arial"/>
          <w:b/>
        </w:rPr>
      </w:pPr>
      <w:r w:rsidRPr="00B74B3C">
        <w:rPr>
          <w:rFonts w:ascii="Arial" w:hAnsi="Arial" w:cs="Arial"/>
          <w:b/>
        </w:rPr>
        <w:t>and</w:t>
      </w:r>
    </w:p>
    <w:p w14:paraId="5FEC13C1" w14:textId="77777777" w:rsidR="00E613E4" w:rsidRPr="00B74B3C" w:rsidRDefault="00E613E4" w:rsidP="00E613E4">
      <w:pPr>
        <w:spacing w:line="360" w:lineRule="auto"/>
        <w:jc w:val="center"/>
        <w:rPr>
          <w:rFonts w:ascii="Arial" w:hAnsi="Arial" w:cs="Arial"/>
          <w:b/>
        </w:rPr>
      </w:pPr>
    </w:p>
    <w:p w14:paraId="7EBEBF75" w14:textId="77777777" w:rsidR="00E613E4" w:rsidRPr="00B74B3C" w:rsidRDefault="00E613E4" w:rsidP="00E613E4">
      <w:pPr>
        <w:spacing w:line="360" w:lineRule="auto"/>
        <w:jc w:val="center"/>
        <w:outlineLvl w:val="0"/>
        <w:rPr>
          <w:rFonts w:ascii="Arial" w:hAnsi="Arial" w:cs="Arial"/>
          <w:b/>
        </w:rPr>
      </w:pPr>
      <w:r w:rsidRPr="00B74B3C">
        <w:rPr>
          <w:rFonts w:ascii="Arial" w:hAnsi="Arial" w:cs="Arial"/>
          <w:b/>
        </w:rPr>
        <w:t>SECRETARY OF STATE FOR THE HOME DEPARTMENT</w:t>
      </w:r>
    </w:p>
    <w:p w14:paraId="76C3DE5E" w14:textId="77777777" w:rsidR="00E613E4" w:rsidRPr="00B74B3C" w:rsidRDefault="00E613E4" w:rsidP="00E613E4">
      <w:pPr>
        <w:spacing w:line="360" w:lineRule="auto"/>
        <w:jc w:val="right"/>
        <w:outlineLvl w:val="0"/>
        <w:rPr>
          <w:rFonts w:ascii="Arial" w:hAnsi="Arial" w:cs="Arial"/>
          <w:u w:val="single"/>
        </w:rPr>
      </w:pPr>
      <w:r w:rsidRPr="00B74B3C">
        <w:rPr>
          <w:rFonts w:ascii="Arial" w:hAnsi="Arial" w:cs="Arial"/>
          <w:u w:val="single"/>
        </w:rPr>
        <w:t>Respondent</w:t>
      </w:r>
    </w:p>
    <w:p w14:paraId="0A8DE62B" w14:textId="77777777" w:rsidR="00D574F4" w:rsidRDefault="00D574F4" w:rsidP="00D574F4">
      <w:pPr>
        <w:outlineLvl w:val="0"/>
        <w:rPr>
          <w:rFonts w:ascii="Arial" w:hAnsi="Arial" w:cs="Arial"/>
          <w:b/>
          <w:u w:val="single"/>
        </w:rPr>
      </w:pPr>
    </w:p>
    <w:p w14:paraId="5336A785" w14:textId="6A02DAB9" w:rsidR="00E613E4" w:rsidRPr="00B74B3C" w:rsidRDefault="00E613E4" w:rsidP="00E613E4">
      <w:pPr>
        <w:spacing w:line="360" w:lineRule="auto"/>
        <w:outlineLvl w:val="0"/>
        <w:rPr>
          <w:rFonts w:ascii="Arial" w:hAnsi="Arial" w:cs="Arial"/>
        </w:rPr>
      </w:pPr>
      <w:r w:rsidRPr="00B74B3C">
        <w:rPr>
          <w:rFonts w:ascii="Arial" w:hAnsi="Arial" w:cs="Arial"/>
          <w:b/>
          <w:u w:val="single"/>
        </w:rPr>
        <w:t>Representation</w:t>
      </w:r>
      <w:r w:rsidRPr="00B74B3C">
        <w:rPr>
          <w:rFonts w:ascii="Arial" w:hAnsi="Arial" w:cs="Arial"/>
          <w:b/>
        </w:rPr>
        <w:t>:</w:t>
      </w:r>
    </w:p>
    <w:p w14:paraId="79EA0C8F" w14:textId="77777777" w:rsidR="00D574F4" w:rsidRDefault="00D574F4" w:rsidP="00D574F4">
      <w:pPr>
        <w:tabs>
          <w:tab w:val="left" w:pos="2520"/>
        </w:tabs>
        <w:outlineLvl w:val="0"/>
        <w:rPr>
          <w:rFonts w:ascii="Arial" w:hAnsi="Arial" w:cs="Arial"/>
        </w:rPr>
      </w:pPr>
    </w:p>
    <w:p w14:paraId="72C57E64" w14:textId="05FD3715" w:rsidR="00E613E4" w:rsidRPr="00B74B3C" w:rsidRDefault="00E613E4" w:rsidP="00D574F4">
      <w:pPr>
        <w:tabs>
          <w:tab w:val="left" w:pos="2520"/>
        </w:tabs>
        <w:outlineLvl w:val="0"/>
        <w:rPr>
          <w:rFonts w:ascii="Arial" w:hAnsi="Arial" w:cs="Arial"/>
        </w:rPr>
      </w:pPr>
      <w:r w:rsidRPr="00B74B3C">
        <w:rPr>
          <w:rFonts w:ascii="Arial" w:hAnsi="Arial" w:cs="Arial"/>
        </w:rPr>
        <w:t>For the Appellant:</w:t>
      </w:r>
      <w:r>
        <w:rPr>
          <w:rFonts w:ascii="Arial" w:hAnsi="Arial" w:cs="Arial"/>
        </w:rPr>
        <w:t xml:space="preserve"> </w:t>
      </w:r>
      <w:r w:rsidR="00D574F4">
        <w:rPr>
          <w:rFonts w:ascii="Arial" w:hAnsi="Arial" w:cs="Arial"/>
        </w:rPr>
        <w:t xml:space="preserve">                </w:t>
      </w:r>
      <w:r w:rsidR="005018F4">
        <w:rPr>
          <w:rFonts w:ascii="Arial" w:hAnsi="Arial" w:cs="Arial"/>
        </w:rPr>
        <w:t>Mr Wood of IAS</w:t>
      </w:r>
      <w:r w:rsidRPr="00B74B3C">
        <w:rPr>
          <w:rFonts w:ascii="Arial" w:hAnsi="Arial" w:cs="Arial"/>
        </w:rPr>
        <w:tab/>
      </w:r>
    </w:p>
    <w:p w14:paraId="1D8EC3CE" w14:textId="3A1D0151" w:rsidR="00E613E4" w:rsidRDefault="00E613E4" w:rsidP="00D574F4">
      <w:pPr>
        <w:tabs>
          <w:tab w:val="left" w:pos="2520"/>
        </w:tabs>
        <w:rPr>
          <w:rFonts w:ascii="Arial" w:hAnsi="Arial" w:cs="Arial"/>
        </w:rPr>
      </w:pPr>
      <w:r w:rsidRPr="00B74B3C">
        <w:rPr>
          <w:rFonts w:ascii="Arial" w:hAnsi="Arial" w:cs="Arial"/>
        </w:rPr>
        <w:t>For the Respondent:</w:t>
      </w:r>
      <w:r>
        <w:rPr>
          <w:rFonts w:ascii="Arial" w:hAnsi="Arial" w:cs="Arial"/>
        </w:rPr>
        <w:t xml:space="preserve"> </w:t>
      </w:r>
      <w:r w:rsidR="00D574F4">
        <w:rPr>
          <w:rFonts w:ascii="Arial" w:hAnsi="Arial" w:cs="Arial"/>
        </w:rPr>
        <w:t xml:space="preserve">           </w:t>
      </w:r>
      <w:r w:rsidR="005018F4">
        <w:rPr>
          <w:rFonts w:ascii="Arial" w:hAnsi="Arial" w:cs="Arial"/>
        </w:rPr>
        <w:t xml:space="preserve">Mrs </w:t>
      </w:r>
      <w:proofErr w:type="spellStart"/>
      <w:r w:rsidR="005018F4">
        <w:rPr>
          <w:rFonts w:ascii="Arial" w:hAnsi="Arial" w:cs="Arial"/>
        </w:rPr>
        <w:t>Obomi</w:t>
      </w:r>
      <w:proofErr w:type="spellEnd"/>
      <w:r w:rsidR="005018F4">
        <w:rPr>
          <w:rFonts w:ascii="Arial" w:hAnsi="Arial" w:cs="Arial"/>
        </w:rPr>
        <w:t xml:space="preserve"> </w:t>
      </w:r>
      <w:r w:rsidRPr="0083360D">
        <w:rPr>
          <w:rFonts w:ascii="Arial" w:hAnsi="Arial" w:cs="Arial"/>
        </w:rPr>
        <w:t>Senior Home Office Presenting Officer</w:t>
      </w:r>
    </w:p>
    <w:p w14:paraId="66C2B5FF" w14:textId="77777777" w:rsidR="00D574F4" w:rsidRDefault="00D574F4" w:rsidP="00D574F4">
      <w:pPr>
        <w:jc w:val="both"/>
        <w:rPr>
          <w:rFonts w:ascii="Arial" w:hAnsi="Arial" w:cs="Arial"/>
          <w:b/>
          <w:u w:val="single"/>
        </w:rPr>
      </w:pPr>
    </w:p>
    <w:p w14:paraId="08FA8AE2" w14:textId="7CF8903F" w:rsidR="00E613E4" w:rsidRDefault="00E613E4" w:rsidP="00D574F4">
      <w:pPr>
        <w:spacing w:before="240" w:line="360" w:lineRule="auto"/>
        <w:jc w:val="center"/>
        <w:rPr>
          <w:rFonts w:ascii="Arial" w:hAnsi="Arial" w:cs="Arial"/>
          <w:b/>
          <w:u w:val="single"/>
        </w:rPr>
      </w:pPr>
      <w:r>
        <w:rPr>
          <w:rFonts w:ascii="Arial" w:hAnsi="Arial" w:cs="Arial"/>
          <w:b/>
          <w:u w:val="single"/>
        </w:rPr>
        <w:t>DECISION AND REASONS</w:t>
      </w:r>
    </w:p>
    <w:p w14:paraId="0EAEB9CD" w14:textId="41152630" w:rsidR="00E613E4" w:rsidRPr="00AD1D26" w:rsidRDefault="00E613E4" w:rsidP="00E613E4">
      <w:pPr>
        <w:spacing w:before="240" w:line="360" w:lineRule="auto"/>
        <w:jc w:val="both"/>
        <w:rPr>
          <w:rFonts w:ascii="Arial" w:hAnsi="Arial" w:cs="Arial"/>
          <w:u w:val="single"/>
        </w:rPr>
      </w:pPr>
      <w:r w:rsidRPr="00AD1D26">
        <w:rPr>
          <w:rFonts w:ascii="Arial" w:hAnsi="Arial" w:cs="Arial"/>
          <w:u w:val="single"/>
        </w:rPr>
        <w:t>Introduction</w:t>
      </w:r>
    </w:p>
    <w:p w14:paraId="601A9BB4" w14:textId="77777777" w:rsidR="00E613E4" w:rsidRDefault="00E613E4" w:rsidP="00E613E4">
      <w:pPr>
        <w:numPr>
          <w:ilvl w:val="0"/>
          <w:numId w:val="1"/>
        </w:numPr>
        <w:spacing w:line="360" w:lineRule="auto"/>
        <w:jc w:val="both"/>
        <w:rPr>
          <w:rFonts w:ascii="Arial" w:hAnsi="Arial" w:cs="Arial"/>
        </w:rPr>
      </w:pPr>
      <w:r>
        <w:rPr>
          <w:rFonts w:ascii="Arial" w:hAnsi="Arial" w:cs="Arial"/>
        </w:rPr>
        <w:t xml:space="preserve">I have considered whether any parties require the protection of an anonymity direction. No anonymity direction was made previously in respect of this Appellant. </w:t>
      </w:r>
      <w:r>
        <w:rPr>
          <w:rFonts w:ascii="Arial" w:hAnsi="Arial" w:cs="Arial"/>
        </w:rPr>
        <w:lastRenderedPageBreak/>
        <w:t>Having considered all the circumstances and evidence I do not consider it necessary to make an anonymity direction.</w:t>
      </w:r>
    </w:p>
    <w:p w14:paraId="77D42500" w14:textId="33326185" w:rsidR="00E613E4" w:rsidRDefault="00E613E4" w:rsidP="00E613E4">
      <w:pPr>
        <w:numPr>
          <w:ilvl w:val="0"/>
          <w:numId w:val="1"/>
        </w:numPr>
        <w:spacing w:line="360" w:lineRule="auto"/>
        <w:jc w:val="both"/>
        <w:rPr>
          <w:rFonts w:ascii="Arial" w:hAnsi="Arial" w:cs="Arial"/>
        </w:rPr>
      </w:pPr>
      <w:r>
        <w:rPr>
          <w:rFonts w:ascii="Arial" w:hAnsi="Arial" w:cs="Arial"/>
        </w:rPr>
        <w:t xml:space="preserve">The Appellant was born on </w:t>
      </w:r>
      <w:r w:rsidR="00345EC4">
        <w:rPr>
          <w:rFonts w:ascii="Arial" w:hAnsi="Arial" w:cs="Arial"/>
        </w:rPr>
        <w:t xml:space="preserve">6 September 1996 </w:t>
      </w:r>
      <w:r>
        <w:rPr>
          <w:rFonts w:ascii="Arial" w:hAnsi="Arial" w:cs="Arial"/>
        </w:rPr>
        <w:t xml:space="preserve">and is a national of </w:t>
      </w:r>
      <w:r w:rsidR="00345EC4">
        <w:rPr>
          <w:rFonts w:ascii="Arial" w:hAnsi="Arial" w:cs="Arial"/>
        </w:rPr>
        <w:t>Iran.</w:t>
      </w:r>
    </w:p>
    <w:p w14:paraId="29DB4A3B" w14:textId="77777777" w:rsidR="00E613E4" w:rsidRDefault="00E613E4" w:rsidP="00E613E4">
      <w:pPr>
        <w:numPr>
          <w:ilvl w:val="0"/>
          <w:numId w:val="1"/>
        </w:numPr>
        <w:spacing w:line="360" w:lineRule="auto"/>
        <w:jc w:val="both"/>
        <w:rPr>
          <w:rFonts w:ascii="Arial" w:hAnsi="Arial" w:cs="Arial"/>
        </w:rPr>
      </w:pPr>
      <w:proofErr w:type="gramStart"/>
      <w:r>
        <w:rPr>
          <w:rFonts w:ascii="Arial" w:hAnsi="Arial" w:cs="Arial"/>
        </w:rPr>
        <w:t>I</w:t>
      </w:r>
      <w:r w:rsidRPr="00B234FF">
        <w:rPr>
          <w:rFonts w:ascii="Arial" w:hAnsi="Arial" w:cs="Arial"/>
        </w:rPr>
        <w:t>n order to</w:t>
      </w:r>
      <w:proofErr w:type="gramEnd"/>
      <w:r w:rsidRPr="00B234FF">
        <w:rPr>
          <w:rFonts w:ascii="Arial" w:hAnsi="Arial" w:cs="Arial"/>
        </w:rPr>
        <w:t xml:space="preserve"> avoid confusion, the parties are referred to as they were in the First-tier Tribunal.</w:t>
      </w:r>
    </w:p>
    <w:p w14:paraId="5CBB7620" w14:textId="3243E0C4" w:rsidR="00E613E4" w:rsidRPr="00605F4A" w:rsidRDefault="00E613E4" w:rsidP="00E613E4">
      <w:pPr>
        <w:numPr>
          <w:ilvl w:val="0"/>
          <w:numId w:val="1"/>
        </w:numPr>
        <w:spacing w:line="360" w:lineRule="auto"/>
        <w:jc w:val="both"/>
        <w:rPr>
          <w:rFonts w:ascii="Arial" w:hAnsi="Arial" w:cs="Arial"/>
          <w:u w:val="single"/>
        </w:rPr>
      </w:pPr>
      <w:r w:rsidRPr="00605F4A">
        <w:rPr>
          <w:rFonts w:ascii="Arial" w:hAnsi="Arial" w:cs="Arial"/>
        </w:rPr>
        <w:t xml:space="preserve">This is an appeal by the Appellant against the decision of First-tier Tribunal Judge </w:t>
      </w:r>
      <w:r w:rsidR="00345EC4">
        <w:rPr>
          <w:rFonts w:ascii="Arial" w:hAnsi="Arial" w:cs="Arial"/>
        </w:rPr>
        <w:t>Hudson</w:t>
      </w:r>
      <w:r w:rsidRPr="00605F4A">
        <w:rPr>
          <w:rFonts w:ascii="Arial" w:hAnsi="Arial" w:cs="Arial"/>
        </w:rPr>
        <w:t xml:space="preserve"> promulgated on </w:t>
      </w:r>
      <w:r w:rsidR="00345EC4">
        <w:rPr>
          <w:rFonts w:ascii="Arial" w:hAnsi="Arial" w:cs="Arial"/>
        </w:rPr>
        <w:t>23 October 2017</w:t>
      </w:r>
      <w:r w:rsidRPr="00605F4A">
        <w:rPr>
          <w:rFonts w:ascii="Arial" w:hAnsi="Arial" w:cs="Arial"/>
        </w:rPr>
        <w:t>which dismissed the Appellant’s appeal against the decision of the Respon</w:t>
      </w:r>
      <w:r w:rsidRPr="00605F4A">
        <w:rPr>
          <w:rFonts w:ascii="Arial" w:hAnsi="Arial" w:cs="Arial"/>
          <w:color w:val="000000"/>
        </w:rPr>
        <w:t xml:space="preserve">dent dated </w:t>
      </w:r>
      <w:r w:rsidR="00345EC4">
        <w:rPr>
          <w:rFonts w:ascii="Arial" w:hAnsi="Arial" w:cs="Arial"/>
        </w:rPr>
        <w:t>25 August 2017 to dismiss his protection claim.</w:t>
      </w:r>
    </w:p>
    <w:p w14:paraId="36C76869" w14:textId="77777777" w:rsidR="004030EB" w:rsidRDefault="004030EB" w:rsidP="00E613E4">
      <w:pPr>
        <w:spacing w:line="360" w:lineRule="auto"/>
        <w:jc w:val="both"/>
        <w:rPr>
          <w:rFonts w:ascii="Arial" w:hAnsi="Arial" w:cs="Arial"/>
          <w:u w:val="single"/>
        </w:rPr>
      </w:pPr>
    </w:p>
    <w:p w14:paraId="1EAF8869" w14:textId="0CBFD7D3" w:rsidR="00E613E4" w:rsidRPr="00605F4A" w:rsidRDefault="00E613E4" w:rsidP="00E613E4">
      <w:pPr>
        <w:spacing w:line="360" w:lineRule="auto"/>
        <w:jc w:val="both"/>
        <w:rPr>
          <w:rFonts w:ascii="Arial" w:hAnsi="Arial" w:cs="Arial"/>
          <w:u w:val="single"/>
        </w:rPr>
      </w:pPr>
      <w:r w:rsidRPr="00605F4A">
        <w:rPr>
          <w:rFonts w:ascii="Arial" w:hAnsi="Arial" w:cs="Arial"/>
          <w:u w:val="single"/>
        </w:rPr>
        <w:t>The Judge’s Decision</w:t>
      </w:r>
    </w:p>
    <w:p w14:paraId="4F10F55E" w14:textId="4D54C2D2" w:rsidR="00E613E4" w:rsidRPr="005018F4" w:rsidRDefault="00E613E4" w:rsidP="00E613E4">
      <w:pPr>
        <w:numPr>
          <w:ilvl w:val="0"/>
          <w:numId w:val="1"/>
        </w:numPr>
        <w:spacing w:line="360" w:lineRule="auto"/>
        <w:jc w:val="both"/>
        <w:rPr>
          <w:rFonts w:ascii="Arial" w:hAnsi="Arial" w:cs="Arial"/>
          <w:color w:val="000000"/>
        </w:rPr>
      </w:pPr>
      <w:r w:rsidRPr="00605F4A">
        <w:rPr>
          <w:rFonts w:ascii="Arial" w:hAnsi="Arial" w:cs="Arial"/>
        </w:rPr>
        <w:t xml:space="preserve">Grounds of appeal were lodged </w:t>
      </w:r>
      <w:r w:rsidR="00345EC4">
        <w:rPr>
          <w:rFonts w:ascii="Arial" w:hAnsi="Arial" w:cs="Arial"/>
        </w:rPr>
        <w:t xml:space="preserve">failed to follow the guidance given in </w:t>
      </w:r>
      <w:r w:rsidR="00A771AA" w:rsidRPr="00A771AA">
        <w:rPr>
          <w:rFonts w:ascii="Arial" w:hAnsi="Arial" w:cs="Arial"/>
          <w:u w:val="single"/>
        </w:rPr>
        <w:t>M</w:t>
      </w:r>
      <w:r w:rsidR="005018F4" w:rsidRPr="00A771AA">
        <w:rPr>
          <w:rFonts w:ascii="Arial" w:hAnsi="Arial" w:cs="Arial"/>
          <w:bCs/>
          <w:color w:val="000000"/>
          <w:u w:val="single"/>
          <w:lang w:val="en-US"/>
        </w:rPr>
        <w:t>A(</w:t>
      </w:r>
      <w:r w:rsidR="005018F4" w:rsidRPr="005018F4">
        <w:rPr>
          <w:rFonts w:ascii="Arial" w:hAnsi="Arial" w:cs="Arial"/>
          <w:bCs/>
          <w:color w:val="000000"/>
          <w:u w:val="single"/>
          <w:lang w:val="en-US"/>
        </w:rPr>
        <w:t>Ethiopia)</w:t>
      </w:r>
      <w:r w:rsidR="005018F4" w:rsidRPr="005018F4">
        <w:rPr>
          <w:rFonts w:ascii="Arial" w:hAnsi="Arial" w:cs="Arial"/>
          <w:color w:val="000000"/>
          <w:lang w:val="en-US"/>
        </w:rPr>
        <w:t xml:space="preserve"> </w:t>
      </w:r>
      <w:r w:rsidR="005018F4" w:rsidRPr="005018F4">
        <w:rPr>
          <w:rFonts w:ascii="Arial" w:hAnsi="Arial" w:cs="Arial"/>
          <w:bCs/>
          <w:color w:val="000000"/>
          <w:lang w:val="en-US"/>
        </w:rPr>
        <w:t>2003 UKIAT 00103</w:t>
      </w:r>
      <w:r w:rsidR="005018F4" w:rsidRPr="005018F4">
        <w:rPr>
          <w:rFonts w:ascii="Arial" w:hAnsi="Arial" w:cs="Arial"/>
          <w:color w:val="000000"/>
        </w:rPr>
        <w:t xml:space="preserve">  </w:t>
      </w:r>
    </w:p>
    <w:p w14:paraId="58A1ED17" w14:textId="76EBF3F5" w:rsidR="00E613E4" w:rsidRDefault="00E613E4" w:rsidP="00E613E4">
      <w:pPr>
        <w:numPr>
          <w:ilvl w:val="0"/>
          <w:numId w:val="1"/>
        </w:numPr>
        <w:spacing w:line="360" w:lineRule="auto"/>
        <w:jc w:val="both"/>
        <w:rPr>
          <w:rFonts w:ascii="Arial" w:hAnsi="Arial" w:cs="Arial"/>
          <w:color w:val="000000"/>
        </w:rPr>
      </w:pPr>
      <w:r w:rsidRPr="00605F4A">
        <w:rPr>
          <w:rFonts w:ascii="Arial" w:hAnsi="Arial" w:cs="Arial"/>
          <w:color w:val="000000"/>
        </w:rPr>
        <w:t xml:space="preserve">On </w:t>
      </w:r>
      <w:r w:rsidR="00345EC4">
        <w:rPr>
          <w:rFonts w:ascii="Arial" w:hAnsi="Arial" w:cs="Arial"/>
        </w:rPr>
        <w:t xml:space="preserve">3 January 2018 First -tier Tribunal Judge Baker </w:t>
      </w:r>
      <w:r w:rsidRPr="00605F4A">
        <w:rPr>
          <w:rFonts w:ascii="Arial" w:hAnsi="Arial" w:cs="Arial"/>
          <w:color w:val="000000"/>
        </w:rPr>
        <w:t xml:space="preserve">gave permission to appeal </w:t>
      </w:r>
    </w:p>
    <w:p w14:paraId="5711724E" w14:textId="7551E3F2" w:rsidR="00E613E4" w:rsidRPr="00605F4A" w:rsidRDefault="005018F4" w:rsidP="00E613E4">
      <w:pPr>
        <w:numPr>
          <w:ilvl w:val="0"/>
          <w:numId w:val="1"/>
        </w:numPr>
        <w:spacing w:line="360" w:lineRule="auto"/>
        <w:jc w:val="both"/>
        <w:rPr>
          <w:rFonts w:ascii="Arial" w:hAnsi="Arial" w:cs="Arial"/>
          <w:color w:val="000000"/>
        </w:rPr>
      </w:pPr>
      <w:r>
        <w:rPr>
          <w:rFonts w:ascii="Arial" w:hAnsi="Arial" w:cs="Arial"/>
          <w:color w:val="000000"/>
        </w:rPr>
        <w:t xml:space="preserve">Mrs Obomi conceded that the guidance in </w:t>
      </w:r>
      <w:r w:rsidR="00A771AA">
        <w:rPr>
          <w:rFonts w:ascii="Arial" w:hAnsi="Arial" w:cs="Arial"/>
          <w:color w:val="000000"/>
        </w:rPr>
        <w:t>M</w:t>
      </w:r>
      <w:r>
        <w:rPr>
          <w:rFonts w:ascii="Arial" w:hAnsi="Arial" w:cs="Arial"/>
          <w:color w:val="000000"/>
        </w:rPr>
        <w:t>A was not followed and the Judge should have transferred the case to another Judge and therefore the decision should be set aside and the case remitted.</w:t>
      </w:r>
    </w:p>
    <w:p w14:paraId="535B0A34" w14:textId="77777777" w:rsidR="00E613E4" w:rsidRDefault="00E613E4" w:rsidP="00E613E4">
      <w:pPr>
        <w:spacing w:line="360" w:lineRule="auto"/>
        <w:jc w:val="both"/>
        <w:rPr>
          <w:rFonts w:ascii="Arial" w:hAnsi="Arial" w:cs="Arial"/>
          <w:b/>
        </w:rPr>
      </w:pPr>
      <w:r w:rsidRPr="00727A3A">
        <w:rPr>
          <w:rFonts w:ascii="Arial" w:hAnsi="Arial" w:cs="Arial"/>
          <w:b/>
        </w:rPr>
        <w:t xml:space="preserve"> </w:t>
      </w:r>
    </w:p>
    <w:p w14:paraId="66A34DFF" w14:textId="77777777" w:rsidR="00E613E4" w:rsidRPr="002479DB" w:rsidRDefault="00E613E4" w:rsidP="00E613E4">
      <w:pPr>
        <w:spacing w:line="360" w:lineRule="auto"/>
        <w:jc w:val="both"/>
        <w:rPr>
          <w:rFonts w:ascii="Arial" w:hAnsi="Arial" w:cs="Arial"/>
        </w:rPr>
      </w:pPr>
      <w:r w:rsidRPr="002479DB">
        <w:rPr>
          <w:rFonts w:ascii="Arial" w:hAnsi="Arial" w:cs="Arial"/>
          <w:b/>
          <w:u w:val="single"/>
        </w:rPr>
        <w:t>Finding on Material Error</w:t>
      </w:r>
    </w:p>
    <w:p w14:paraId="21F41910" w14:textId="77777777" w:rsidR="00E613E4" w:rsidRDefault="00E613E4" w:rsidP="004030EB">
      <w:pPr>
        <w:numPr>
          <w:ilvl w:val="0"/>
          <w:numId w:val="1"/>
        </w:numPr>
        <w:spacing w:line="360" w:lineRule="auto"/>
        <w:ind w:left="357" w:hanging="357"/>
        <w:jc w:val="both"/>
        <w:rPr>
          <w:rFonts w:ascii="Arial" w:hAnsi="Arial" w:cs="Arial"/>
        </w:rPr>
      </w:pPr>
      <w:r>
        <w:rPr>
          <w:rFonts w:ascii="Arial" w:hAnsi="Arial" w:cs="Arial"/>
        </w:rPr>
        <w:t>Having heard those submissions I reached the conclusion that the Tribunal made material errors of law.</w:t>
      </w:r>
    </w:p>
    <w:p w14:paraId="09234DC1" w14:textId="75689377" w:rsidR="005018F4" w:rsidRDefault="00E613E4" w:rsidP="004030EB">
      <w:pPr>
        <w:numPr>
          <w:ilvl w:val="0"/>
          <w:numId w:val="1"/>
        </w:numPr>
        <w:spacing w:line="360" w:lineRule="auto"/>
        <w:ind w:left="357" w:hanging="357"/>
        <w:jc w:val="both"/>
        <w:rPr>
          <w:rFonts w:ascii="Arial" w:hAnsi="Arial" w:cs="Arial"/>
        </w:rPr>
      </w:pPr>
      <w:r w:rsidRPr="005018F4">
        <w:rPr>
          <w:rFonts w:ascii="Arial" w:hAnsi="Arial" w:cs="Arial"/>
        </w:rPr>
        <w:t xml:space="preserve">The failure of the First-tier Tribunal to </w:t>
      </w:r>
      <w:r w:rsidR="005018F4" w:rsidRPr="005018F4">
        <w:rPr>
          <w:rFonts w:ascii="Arial" w:hAnsi="Arial" w:cs="Arial"/>
        </w:rPr>
        <w:t>follow the guidance in</w:t>
      </w:r>
      <w:r w:rsidR="005018F4">
        <w:rPr>
          <w:rFonts w:ascii="Arial" w:hAnsi="Arial" w:cs="Arial"/>
        </w:rPr>
        <w:t xml:space="preserve"> </w:t>
      </w:r>
      <w:r w:rsidR="00A771AA">
        <w:rPr>
          <w:rFonts w:ascii="Arial" w:hAnsi="Arial" w:cs="Arial"/>
        </w:rPr>
        <w:t>M</w:t>
      </w:r>
      <w:r w:rsidR="005018F4" w:rsidRPr="005018F4">
        <w:rPr>
          <w:rFonts w:ascii="Arial" w:hAnsi="Arial" w:cs="Arial"/>
          <w:u w:val="single"/>
        </w:rPr>
        <w:t>A</w:t>
      </w:r>
      <w:r w:rsidR="005018F4">
        <w:rPr>
          <w:rFonts w:ascii="Arial" w:hAnsi="Arial" w:cs="Arial"/>
        </w:rPr>
        <w:t xml:space="preserve"> that</w:t>
      </w:r>
      <w:r w:rsidR="005018F4" w:rsidRPr="005018F4">
        <w:rPr>
          <w:rFonts w:ascii="Arial" w:hAnsi="Arial" w:cs="Arial"/>
        </w:rPr>
        <w:t xml:space="preserve"> </w:t>
      </w:r>
      <w:r w:rsidR="005018F4" w:rsidRPr="005018F4">
        <w:rPr>
          <w:rFonts w:ascii="Arial" w:hAnsi="Arial" w:cs="Arial"/>
          <w:bCs/>
          <w:color w:val="000000"/>
          <w:lang w:val="en-US"/>
        </w:rPr>
        <w:t>where</w:t>
      </w:r>
      <w:r w:rsidR="005018F4">
        <w:rPr>
          <w:rFonts w:ascii="Arial" w:hAnsi="Arial" w:cs="Arial"/>
          <w:b/>
          <w:bCs/>
          <w:color w:val="000000"/>
          <w:lang w:val="en-US"/>
        </w:rPr>
        <w:t xml:space="preserve"> </w:t>
      </w:r>
      <w:r w:rsidR="005018F4">
        <w:rPr>
          <w:rFonts w:ascii="Arial" w:hAnsi="Arial" w:cs="Arial"/>
          <w:color w:val="000000"/>
          <w:lang w:val="en-US"/>
        </w:rPr>
        <w:t xml:space="preserve">the Tribunal said that, save where evidence taken is purely formal and not in dispute between the parties, an Adjudicator who has had to adjourn a hearing because of problems with an interpreter after he has started to take evidence should not continue to hear the case even with another interpreter save with the express consent of both parties and then only if he, the Adjudicator, is satisfied that it would be proper to do so. </w:t>
      </w:r>
      <w:r w:rsidR="005018F4">
        <w:rPr>
          <w:rFonts w:ascii="Arial" w:hAnsi="Arial" w:cs="Arial"/>
        </w:rPr>
        <w:t xml:space="preserve">when difficulties arose with the interpreter constitutes a clear error of law. This error I consider to be material since had the Tribunal conducted this exercise the outcome </w:t>
      </w:r>
      <w:r w:rsidR="005018F4" w:rsidRPr="007344E6">
        <w:rPr>
          <w:rFonts w:ascii="Arial" w:hAnsi="Arial" w:cs="Arial"/>
          <w:u w:val="single"/>
        </w:rPr>
        <w:t>could</w:t>
      </w:r>
      <w:r w:rsidR="005018F4">
        <w:rPr>
          <w:rFonts w:ascii="Arial" w:hAnsi="Arial" w:cs="Arial"/>
          <w:u w:val="single"/>
        </w:rPr>
        <w:t xml:space="preserve"> </w:t>
      </w:r>
      <w:r w:rsidR="005018F4">
        <w:rPr>
          <w:rFonts w:ascii="Arial" w:hAnsi="Arial" w:cs="Arial"/>
        </w:rPr>
        <w:t>have been different. That in my view is the correct test to apply.</w:t>
      </w:r>
    </w:p>
    <w:p w14:paraId="783B8821" w14:textId="77777777" w:rsidR="00E613E4" w:rsidRDefault="00E613E4" w:rsidP="004030EB">
      <w:pPr>
        <w:numPr>
          <w:ilvl w:val="0"/>
          <w:numId w:val="1"/>
        </w:numPr>
        <w:spacing w:line="360" w:lineRule="auto"/>
        <w:ind w:left="357" w:hanging="357"/>
        <w:jc w:val="both"/>
        <w:rPr>
          <w:rFonts w:ascii="Arial" w:hAnsi="Arial" w:cs="Arial"/>
        </w:rPr>
      </w:pPr>
      <w:r>
        <w:rPr>
          <w:rFonts w:ascii="Arial" w:hAnsi="Arial" w:cs="Arial"/>
        </w:rPr>
        <w:t>Under Part 3 paragraph 7.2(b) of the Upper Tribunal Practice Statement of the 25</w:t>
      </w:r>
      <w:r w:rsidRPr="00E50FC7">
        <w:rPr>
          <w:rFonts w:ascii="Arial" w:hAnsi="Arial" w:cs="Arial"/>
          <w:vertAlign w:val="superscript"/>
        </w:rPr>
        <w:t>th</w:t>
      </w:r>
      <w:r>
        <w:rPr>
          <w:rFonts w:ascii="Arial" w:hAnsi="Arial" w:cs="Arial"/>
        </w:rPr>
        <w:t xml:space="preserve"> of September 2012 the case may be remitted to the First Tier Tribunal if the Upper Tribunal is satisfied that:</w:t>
      </w:r>
    </w:p>
    <w:p w14:paraId="1EE24D28" w14:textId="276BCC04" w:rsidR="00E613E4" w:rsidRPr="00F833C5" w:rsidRDefault="00E613E4" w:rsidP="004030EB">
      <w:pPr>
        <w:pStyle w:val="Default"/>
        <w:spacing w:before="120" w:after="120" w:line="360" w:lineRule="auto"/>
        <w:ind w:left="357"/>
        <w:rPr>
          <w:rFonts w:ascii="Arial" w:hAnsi="Arial" w:cs="Arial"/>
          <w:i/>
          <w:sz w:val="23"/>
          <w:szCs w:val="23"/>
        </w:rPr>
      </w:pPr>
      <w:r w:rsidRPr="00F833C5">
        <w:rPr>
          <w:rFonts w:ascii="Arial" w:hAnsi="Arial" w:cs="Arial"/>
          <w:i/>
          <w:sz w:val="23"/>
          <w:szCs w:val="23"/>
        </w:rPr>
        <w:lastRenderedPageBreak/>
        <w:t xml:space="preserve">(a) the effect of the error has been to deprive a party before the First-tier Tribunal of a fair hearing or other opportunity for that party’s case to be put to and considered by the First-tier Tribunal; or </w:t>
      </w:r>
    </w:p>
    <w:p w14:paraId="6AB6B20C" w14:textId="77777777" w:rsidR="00E613E4" w:rsidRDefault="00E613E4" w:rsidP="004030EB">
      <w:pPr>
        <w:pStyle w:val="Default"/>
        <w:spacing w:before="120" w:after="120" w:line="360" w:lineRule="auto"/>
        <w:ind w:left="357"/>
        <w:rPr>
          <w:sz w:val="23"/>
          <w:szCs w:val="23"/>
        </w:rPr>
      </w:pPr>
      <w:r w:rsidRPr="00F833C5">
        <w:rPr>
          <w:rFonts w:ascii="Arial" w:hAnsi="Arial" w:cs="Arial"/>
          <w:i/>
          <w:sz w:val="23"/>
          <w:szCs w:val="23"/>
        </w:rPr>
        <w:t xml:space="preserve">(b) the nature or extent of any judicial fact finding which is necessary </w:t>
      </w:r>
      <w:proofErr w:type="gramStart"/>
      <w:r w:rsidRPr="00F833C5">
        <w:rPr>
          <w:rFonts w:ascii="Arial" w:hAnsi="Arial" w:cs="Arial"/>
          <w:i/>
          <w:sz w:val="23"/>
          <w:szCs w:val="23"/>
        </w:rPr>
        <w:t>in order for</w:t>
      </w:r>
      <w:proofErr w:type="gramEnd"/>
      <w:r w:rsidRPr="00F833C5">
        <w:rPr>
          <w:rFonts w:ascii="Arial" w:hAnsi="Arial" w:cs="Arial"/>
          <w:i/>
          <w:sz w:val="23"/>
          <w:szCs w:val="23"/>
        </w:rPr>
        <w:t xml:space="preserve"> the decision in the appeal to be re-made is such that, having regard to the overriding objective in rule 2, it is appropriate to remit the case to the First-tier Tribunal</w:t>
      </w:r>
      <w:r>
        <w:rPr>
          <w:sz w:val="23"/>
          <w:szCs w:val="23"/>
        </w:rPr>
        <w:t xml:space="preserve">. </w:t>
      </w:r>
    </w:p>
    <w:p w14:paraId="7DD9713D" w14:textId="481F25C1" w:rsidR="00E613E4" w:rsidRDefault="00E613E4" w:rsidP="00E613E4">
      <w:pPr>
        <w:numPr>
          <w:ilvl w:val="0"/>
          <w:numId w:val="1"/>
        </w:numPr>
        <w:spacing w:before="240" w:line="360" w:lineRule="auto"/>
        <w:jc w:val="both"/>
        <w:rPr>
          <w:rFonts w:ascii="Arial" w:hAnsi="Arial" w:cs="Arial"/>
        </w:rPr>
      </w:pPr>
      <w:r w:rsidRPr="00030740">
        <w:rPr>
          <w:rFonts w:ascii="Arial" w:hAnsi="Arial" w:cs="Arial"/>
        </w:rPr>
        <w:t>In this case I have determined</w:t>
      </w:r>
      <w:r w:rsidR="005018F4">
        <w:rPr>
          <w:rFonts w:ascii="Arial" w:hAnsi="Arial" w:cs="Arial"/>
        </w:rPr>
        <w:t xml:space="preserve"> and it was accepted by the Respondent</w:t>
      </w:r>
      <w:r w:rsidRPr="00030740">
        <w:rPr>
          <w:rFonts w:ascii="Arial" w:hAnsi="Arial" w:cs="Arial"/>
        </w:rPr>
        <w:t xml:space="preserve"> that the case should be remitted</w:t>
      </w:r>
      <w:r>
        <w:rPr>
          <w:rFonts w:ascii="Arial" w:hAnsi="Arial" w:cs="Arial"/>
        </w:rPr>
        <w:t xml:space="preserve"> as I have found there was an error of law</w:t>
      </w:r>
      <w:r w:rsidRPr="00030740">
        <w:rPr>
          <w:rFonts w:ascii="Arial" w:hAnsi="Arial" w:cs="Arial"/>
        </w:rPr>
        <w:t xml:space="preserve"> because the Appellant did not have a fair hearing due to </w:t>
      </w:r>
      <w:r w:rsidR="005018F4">
        <w:rPr>
          <w:rFonts w:ascii="Arial" w:hAnsi="Arial" w:cs="Arial"/>
        </w:rPr>
        <w:t>issues with the interpreter.</w:t>
      </w:r>
      <w:r w:rsidR="00F95F19">
        <w:rPr>
          <w:rFonts w:ascii="Arial" w:hAnsi="Arial" w:cs="Arial"/>
        </w:rPr>
        <w:t xml:space="preserve"> </w:t>
      </w:r>
      <w:proofErr w:type="gramStart"/>
      <w:r w:rsidRPr="00030740">
        <w:rPr>
          <w:rFonts w:ascii="Arial" w:hAnsi="Arial" w:cs="Arial"/>
        </w:rPr>
        <w:t>In</w:t>
      </w:r>
      <w:proofErr w:type="gramEnd"/>
      <w:r w:rsidRPr="00030740">
        <w:rPr>
          <w:rFonts w:ascii="Arial" w:hAnsi="Arial" w:cs="Arial"/>
        </w:rPr>
        <w:t xml:space="preserve"> this case none of the findings of fact are to stand and the matter will be a complete re hearing. </w:t>
      </w:r>
    </w:p>
    <w:p w14:paraId="13AA02F9" w14:textId="7053D589" w:rsidR="00B556E5" w:rsidRPr="00B556E5" w:rsidRDefault="00B556E5" w:rsidP="00B556E5">
      <w:pPr>
        <w:spacing w:before="240" w:line="360" w:lineRule="auto"/>
        <w:jc w:val="both"/>
        <w:rPr>
          <w:rFonts w:ascii="Arial" w:hAnsi="Arial" w:cs="Arial"/>
          <w:b/>
        </w:rPr>
      </w:pPr>
      <w:r w:rsidRPr="00B556E5">
        <w:rPr>
          <w:rFonts w:ascii="Arial" w:hAnsi="Arial" w:cs="Arial"/>
          <w:b/>
        </w:rPr>
        <w:t>Decision</w:t>
      </w:r>
    </w:p>
    <w:p w14:paraId="19DA2D2B" w14:textId="2E490439" w:rsidR="00E613E4" w:rsidRDefault="00E613E4" w:rsidP="00E613E4">
      <w:pPr>
        <w:numPr>
          <w:ilvl w:val="0"/>
          <w:numId w:val="1"/>
        </w:numPr>
        <w:spacing w:before="240" w:line="360" w:lineRule="auto"/>
        <w:jc w:val="both"/>
        <w:rPr>
          <w:rFonts w:ascii="Arial" w:hAnsi="Arial" w:cs="Arial"/>
        </w:rPr>
      </w:pPr>
      <w:r>
        <w:rPr>
          <w:rFonts w:ascii="Arial" w:hAnsi="Arial" w:cs="Arial"/>
        </w:rPr>
        <w:t>I</w:t>
      </w:r>
      <w:r w:rsidR="00B556E5">
        <w:rPr>
          <w:rFonts w:ascii="Arial" w:hAnsi="Arial" w:cs="Arial"/>
        </w:rPr>
        <w:t xml:space="preserve"> set the decision aside and</w:t>
      </w:r>
      <w:r>
        <w:rPr>
          <w:rFonts w:ascii="Arial" w:hAnsi="Arial" w:cs="Arial"/>
        </w:rPr>
        <w:t xml:space="preserve"> remit the matter back to the First-tier Tribunal sitting at Manchester to be heard </w:t>
      </w:r>
      <w:r w:rsidR="005018F4">
        <w:rPr>
          <w:rFonts w:ascii="Arial" w:hAnsi="Arial" w:cs="Arial"/>
        </w:rPr>
        <w:t>a date to be fixed</w:t>
      </w:r>
      <w:bookmarkStart w:id="0" w:name="_GoBack"/>
      <w:bookmarkEnd w:id="0"/>
      <w:r>
        <w:rPr>
          <w:rFonts w:ascii="Arial" w:hAnsi="Arial" w:cs="Arial"/>
        </w:rPr>
        <w:t xml:space="preserve">, before </w:t>
      </w:r>
      <w:r w:rsidR="005018F4">
        <w:rPr>
          <w:rFonts w:ascii="Arial" w:hAnsi="Arial" w:cs="Arial"/>
        </w:rPr>
        <w:t>me.</w:t>
      </w:r>
    </w:p>
    <w:p w14:paraId="620395C6" w14:textId="526D9B67" w:rsidR="00E613E4" w:rsidRDefault="00E613E4" w:rsidP="00E613E4">
      <w:pPr>
        <w:numPr>
          <w:ilvl w:val="0"/>
          <w:numId w:val="1"/>
        </w:numPr>
        <w:spacing w:before="240" w:line="360" w:lineRule="auto"/>
        <w:jc w:val="both"/>
        <w:rPr>
          <w:rFonts w:ascii="Arial" w:hAnsi="Arial" w:cs="Arial"/>
        </w:rPr>
      </w:pPr>
      <w:r>
        <w:rPr>
          <w:rFonts w:ascii="Arial" w:hAnsi="Arial" w:cs="Arial"/>
        </w:rPr>
        <w:t xml:space="preserve">I made the following directions for the resumed </w:t>
      </w:r>
      <w:r w:rsidR="00B556E5">
        <w:rPr>
          <w:rFonts w:ascii="Arial" w:hAnsi="Arial" w:cs="Arial"/>
        </w:rPr>
        <w:t>hearing.</w:t>
      </w:r>
    </w:p>
    <w:p w14:paraId="6E59BA6B" w14:textId="7FF1DE20" w:rsidR="00B556E5" w:rsidRDefault="00B556E5" w:rsidP="00B556E5">
      <w:pPr>
        <w:pStyle w:val="ListParagraph"/>
        <w:numPr>
          <w:ilvl w:val="0"/>
          <w:numId w:val="3"/>
        </w:numPr>
        <w:spacing w:before="240" w:line="360" w:lineRule="auto"/>
        <w:jc w:val="both"/>
        <w:rPr>
          <w:rFonts w:ascii="Arial" w:hAnsi="Arial" w:cs="Arial"/>
        </w:rPr>
      </w:pPr>
      <w:r>
        <w:rPr>
          <w:rFonts w:ascii="Arial" w:hAnsi="Arial" w:cs="Arial"/>
        </w:rPr>
        <w:t xml:space="preserve">List for 2 hours </w:t>
      </w:r>
    </w:p>
    <w:p w14:paraId="7CE3671C" w14:textId="17B2A612" w:rsidR="00B556E5" w:rsidRPr="00B556E5" w:rsidRDefault="00B556E5" w:rsidP="00B556E5">
      <w:pPr>
        <w:pStyle w:val="ListParagraph"/>
        <w:numPr>
          <w:ilvl w:val="0"/>
          <w:numId w:val="3"/>
        </w:numPr>
        <w:spacing w:before="240" w:line="360" w:lineRule="auto"/>
        <w:jc w:val="both"/>
        <w:rPr>
          <w:rFonts w:ascii="Arial" w:hAnsi="Arial" w:cs="Arial"/>
        </w:rPr>
      </w:pPr>
      <w:r>
        <w:rPr>
          <w:rFonts w:ascii="Arial" w:hAnsi="Arial" w:cs="Arial"/>
        </w:rPr>
        <w:t xml:space="preserve">Farsi interpreter nor Masoud </w:t>
      </w:r>
      <w:proofErr w:type="spellStart"/>
      <w:r>
        <w:rPr>
          <w:rFonts w:ascii="Arial" w:hAnsi="Arial" w:cs="Arial"/>
        </w:rPr>
        <w:t>Bahramian</w:t>
      </w:r>
      <w:proofErr w:type="spellEnd"/>
    </w:p>
    <w:p w14:paraId="162C4CF2" w14:textId="77777777" w:rsidR="00E613E4" w:rsidRDefault="00E613E4" w:rsidP="00E613E4">
      <w:pPr>
        <w:tabs>
          <w:tab w:val="left" w:pos="2520"/>
        </w:tabs>
        <w:spacing w:line="360" w:lineRule="auto"/>
        <w:rPr>
          <w:rFonts w:ascii="Arial" w:hAnsi="Arial" w:cs="Arial"/>
        </w:rPr>
      </w:pPr>
    </w:p>
    <w:p w14:paraId="3C90A2AD" w14:textId="54CEC6E0" w:rsidR="00E613E4" w:rsidRDefault="00E613E4" w:rsidP="00E613E4">
      <w:pPr>
        <w:tabs>
          <w:tab w:val="left" w:pos="2520"/>
        </w:tabs>
        <w:spacing w:line="360" w:lineRule="auto"/>
        <w:rPr>
          <w:rFonts w:ascii="Arial" w:hAnsi="Arial" w:cs="Arial"/>
        </w:rPr>
      </w:pPr>
      <w:r>
        <w:rPr>
          <w:rFonts w:ascii="Arial" w:hAnsi="Arial" w:cs="Arial"/>
        </w:rPr>
        <w:t xml:space="preserve">Signed                                                              </w:t>
      </w:r>
      <w:r w:rsidR="000862AA">
        <w:rPr>
          <w:rFonts w:ascii="Arial" w:hAnsi="Arial" w:cs="Arial"/>
        </w:rPr>
        <w:t xml:space="preserve">                                  </w:t>
      </w:r>
      <w:r>
        <w:rPr>
          <w:rFonts w:ascii="Arial" w:hAnsi="Arial" w:cs="Arial"/>
        </w:rPr>
        <w:t xml:space="preserve">Date </w:t>
      </w:r>
      <w:r w:rsidR="00B556E5">
        <w:rPr>
          <w:rFonts w:ascii="Arial" w:hAnsi="Arial" w:cs="Arial"/>
        </w:rPr>
        <w:t>7.7.2018</w:t>
      </w:r>
      <w:r>
        <w:rPr>
          <w:rFonts w:ascii="Arial" w:hAnsi="Arial" w:cs="Arial"/>
        </w:rPr>
        <w:t xml:space="preserve">    </w:t>
      </w:r>
    </w:p>
    <w:p w14:paraId="0552EE05" w14:textId="77777777" w:rsidR="003D0A97" w:rsidRDefault="003D0A97" w:rsidP="00E613E4">
      <w:pPr>
        <w:tabs>
          <w:tab w:val="left" w:pos="2520"/>
        </w:tabs>
        <w:spacing w:line="360" w:lineRule="auto"/>
        <w:rPr>
          <w:rFonts w:ascii="Arial" w:hAnsi="Arial" w:cs="Arial"/>
        </w:rPr>
      </w:pPr>
    </w:p>
    <w:p w14:paraId="446225EB" w14:textId="74C6AFCB" w:rsidR="00E613E4" w:rsidRPr="00B96515" w:rsidRDefault="00E613E4" w:rsidP="00E613E4">
      <w:pPr>
        <w:tabs>
          <w:tab w:val="left" w:pos="2520"/>
        </w:tabs>
        <w:spacing w:line="360" w:lineRule="auto"/>
        <w:rPr>
          <w:rFonts w:ascii="Arial" w:hAnsi="Arial" w:cs="Arial"/>
        </w:rPr>
      </w:pPr>
      <w:r>
        <w:rPr>
          <w:rFonts w:ascii="Arial" w:hAnsi="Arial" w:cs="Arial"/>
        </w:rPr>
        <w:t>Deputy Upper Tribunal Judge Birrell</w:t>
      </w:r>
    </w:p>
    <w:p w14:paraId="4F0A6683" w14:textId="176BE22C" w:rsidR="00B556E5" w:rsidRDefault="00B556E5" w:rsidP="000862AA">
      <w:pPr>
        <w:rPr>
          <w:rFonts w:ascii="Book Antiqua" w:hAnsi="Book Antiqua" w:cs="Arial"/>
        </w:rPr>
      </w:pPr>
    </w:p>
    <w:p w14:paraId="1F7E88CE" w14:textId="77777777" w:rsidR="00B556E5" w:rsidRDefault="00B556E5" w:rsidP="00E613E4">
      <w:pPr>
        <w:jc w:val="center"/>
        <w:rPr>
          <w:rFonts w:ascii="Book Antiqua" w:hAnsi="Book Antiqua" w:cs="Arial"/>
        </w:rPr>
      </w:pPr>
    </w:p>
    <w:p w14:paraId="1316AA29" w14:textId="77777777" w:rsidR="00B556E5" w:rsidRDefault="00B556E5" w:rsidP="00E613E4">
      <w:pPr>
        <w:jc w:val="center"/>
        <w:rPr>
          <w:rFonts w:ascii="Book Antiqua" w:hAnsi="Book Antiqua" w:cs="Arial"/>
        </w:rPr>
      </w:pPr>
    </w:p>
    <w:p w14:paraId="4F16D4BB" w14:textId="77777777" w:rsidR="00B556E5" w:rsidRDefault="00B556E5" w:rsidP="00E613E4">
      <w:pPr>
        <w:jc w:val="center"/>
        <w:rPr>
          <w:rFonts w:ascii="Book Antiqua" w:hAnsi="Book Antiqua" w:cs="Arial"/>
        </w:rPr>
      </w:pPr>
    </w:p>
    <w:p w14:paraId="28F2BB96" w14:textId="77777777" w:rsidR="00B556E5" w:rsidRDefault="00B556E5" w:rsidP="00E613E4">
      <w:pPr>
        <w:jc w:val="center"/>
        <w:rPr>
          <w:rFonts w:ascii="Book Antiqua" w:hAnsi="Book Antiqua" w:cs="Arial"/>
        </w:rPr>
      </w:pPr>
    </w:p>
    <w:p w14:paraId="13D47385" w14:textId="77777777" w:rsidR="00B556E5" w:rsidRDefault="00B556E5" w:rsidP="00E613E4">
      <w:pPr>
        <w:jc w:val="center"/>
        <w:rPr>
          <w:rFonts w:ascii="Book Antiqua" w:hAnsi="Book Antiqua" w:cs="Arial"/>
        </w:rPr>
      </w:pPr>
    </w:p>
    <w:p w14:paraId="0905355E" w14:textId="77777777" w:rsidR="00B556E5" w:rsidRDefault="00B556E5" w:rsidP="00E613E4">
      <w:pPr>
        <w:jc w:val="center"/>
        <w:rPr>
          <w:rFonts w:ascii="Book Antiqua" w:hAnsi="Book Antiqua" w:cs="Arial"/>
        </w:rPr>
      </w:pPr>
    </w:p>
    <w:sectPr w:rsidR="00B556E5" w:rsidSect="00D574F4">
      <w:headerReference w:type="default" r:id="rId9"/>
      <w:footerReference w:type="default" r:id="rId10"/>
      <w:footerReference w:type="first" r:id="rId11"/>
      <w:type w:val="continuous"/>
      <w:pgSz w:w="11906" w:h="16838" w:code="9"/>
      <w:pgMar w:top="56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3D6E9" w14:textId="77777777" w:rsidR="00741224" w:rsidRDefault="00741224">
      <w:r>
        <w:separator/>
      </w:r>
    </w:p>
  </w:endnote>
  <w:endnote w:type="continuationSeparator" w:id="0">
    <w:p w14:paraId="09E3084C" w14:textId="77777777" w:rsidR="00741224" w:rsidRDefault="00741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2145879486"/>
      <w:docPartObj>
        <w:docPartGallery w:val="Page Numbers (Bottom of Page)"/>
        <w:docPartUnique/>
      </w:docPartObj>
    </w:sdtPr>
    <w:sdtEndPr>
      <w:rPr>
        <w:rFonts w:ascii="Arial" w:hAnsi="Arial" w:cs="Arial"/>
        <w:noProof/>
        <w:sz w:val="24"/>
        <w:szCs w:val="24"/>
      </w:rPr>
    </w:sdtEndPr>
    <w:sdtContent>
      <w:p w14:paraId="098DF602" w14:textId="53A0E3DB" w:rsidR="00D52342" w:rsidRPr="00D574F4" w:rsidRDefault="00D52342">
        <w:pPr>
          <w:pStyle w:val="Footer"/>
          <w:jc w:val="center"/>
          <w:rPr>
            <w:rFonts w:ascii="Arial" w:hAnsi="Arial" w:cs="Arial"/>
          </w:rPr>
        </w:pPr>
        <w:r w:rsidRPr="00D574F4">
          <w:rPr>
            <w:rFonts w:ascii="Arial" w:hAnsi="Arial" w:cs="Arial"/>
          </w:rPr>
          <w:fldChar w:fldCharType="begin"/>
        </w:r>
        <w:r w:rsidRPr="00D574F4">
          <w:rPr>
            <w:rFonts w:ascii="Arial" w:hAnsi="Arial" w:cs="Arial"/>
          </w:rPr>
          <w:instrText xml:space="preserve"> PAGE   \* MERGEFORMAT </w:instrText>
        </w:r>
        <w:r w:rsidRPr="00D574F4">
          <w:rPr>
            <w:rFonts w:ascii="Arial" w:hAnsi="Arial" w:cs="Arial"/>
          </w:rPr>
          <w:fldChar w:fldCharType="separate"/>
        </w:r>
        <w:r w:rsidR="00136962">
          <w:rPr>
            <w:rFonts w:ascii="Arial" w:hAnsi="Arial" w:cs="Arial"/>
            <w:noProof/>
          </w:rPr>
          <w:t>3</w:t>
        </w:r>
        <w:r w:rsidRPr="00D574F4">
          <w:rPr>
            <w:rFonts w:ascii="Arial" w:hAnsi="Arial" w:cs="Arial"/>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B377A" w14:textId="6B5113AA" w:rsidR="00D52342" w:rsidRPr="00D574F4" w:rsidRDefault="00D52342" w:rsidP="00D52342">
    <w:pPr>
      <w:pStyle w:val="Footer"/>
      <w:jc w:val="center"/>
      <w:rPr>
        <w:rFonts w:ascii="Arial" w:hAnsi="Arial" w:cs="Arial"/>
        <w:b/>
      </w:rPr>
    </w:pPr>
    <w:r w:rsidRPr="00D574F4">
      <w:rPr>
        <w:rFonts w:ascii="Arial" w:hAnsi="Arial"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35230" w14:textId="77777777" w:rsidR="00741224" w:rsidRDefault="00741224">
      <w:r>
        <w:separator/>
      </w:r>
    </w:p>
  </w:footnote>
  <w:footnote w:type="continuationSeparator" w:id="0">
    <w:p w14:paraId="068BD984" w14:textId="77777777" w:rsidR="00741224" w:rsidRDefault="00741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7A0C" w14:textId="30FF9DD0" w:rsidR="004030EB" w:rsidRDefault="004030EB" w:rsidP="004030EB">
    <w:pPr>
      <w:pStyle w:val="Header"/>
      <w:jc w:val="right"/>
      <w:rPr>
        <w:rFonts w:ascii="Arial" w:hAnsi="Arial" w:cs="Arial"/>
        <w:sz w:val="16"/>
        <w:szCs w:val="16"/>
      </w:rPr>
    </w:pPr>
    <w:r w:rsidRPr="00D574F4">
      <w:rPr>
        <w:rFonts w:ascii="Arial" w:hAnsi="Arial" w:cs="Arial"/>
        <w:color w:val="000000"/>
        <w:sz w:val="16"/>
        <w:szCs w:val="16"/>
      </w:rPr>
      <w:t xml:space="preserve">Appeal Number: </w:t>
    </w:r>
    <w:r w:rsidRPr="00D574F4">
      <w:rPr>
        <w:rFonts w:ascii="Arial" w:hAnsi="Arial" w:cs="Arial"/>
        <w:sz w:val="16"/>
        <w:szCs w:val="16"/>
      </w:rPr>
      <w:t>PA/09090/2017</w:t>
    </w:r>
  </w:p>
  <w:p w14:paraId="5956136C" w14:textId="77777777" w:rsidR="00D574F4" w:rsidRPr="00D574F4" w:rsidRDefault="00D574F4" w:rsidP="004030EB">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6AD35D45"/>
    <w:multiLevelType w:val="hybridMultilevel"/>
    <w:tmpl w:val="E6C6E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773"/>
    <w:rsid w:val="000862AA"/>
    <w:rsid w:val="00117EBD"/>
    <w:rsid w:val="00136962"/>
    <w:rsid w:val="00221D0F"/>
    <w:rsid w:val="00266900"/>
    <w:rsid w:val="002E6C81"/>
    <w:rsid w:val="00345EC4"/>
    <w:rsid w:val="003D0A97"/>
    <w:rsid w:val="003D3C97"/>
    <w:rsid w:val="004030EB"/>
    <w:rsid w:val="005018F4"/>
    <w:rsid w:val="00607583"/>
    <w:rsid w:val="00633854"/>
    <w:rsid w:val="006A2170"/>
    <w:rsid w:val="007104B0"/>
    <w:rsid w:val="007236B7"/>
    <w:rsid w:val="00741224"/>
    <w:rsid w:val="00752E5C"/>
    <w:rsid w:val="00785773"/>
    <w:rsid w:val="00A771AA"/>
    <w:rsid w:val="00A8461C"/>
    <w:rsid w:val="00B556E5"/>
    <w:rsid w:val="00BD00CA"/>
    <w:rsid w:val="00D50E69"/>
    <w:rsid w:val="00D52342"/>
    <w:rsid w:val="00D574F4"/>
    <w:rsid w:val="00E273DE"/>
    <w:rsid w:val="00E613E4"/>
    <w:rsid w:val="00F929A5"/>
    <w:rsid w:val="00F95F19"/>
    <w:rsid w:val="00FE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81E0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3E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E4"/>
    <w:pPr>
      <w:ind w:left="720"/>
      <w:contextualSpacing/>
    </w:pPr>
  </w:style>
  <w:style w:type="paragraph" w:customStyle="1" w:styleId="Default">
    <w:name w:val="Default"/>
    <w:rsid w:val="00E613E4"/>
    <w:pPr>
      <w:autoSpaceDE w:val="0"/>
      <w:autoSpaceDN w:val="0"/>
      <w:adjustRightInd w:val="0"/>
      <w:spacing w:after="0" w:line="240" w:lineRule="auto"/>
    </w:pPr>
    <w:rPr>
      <w:rFonts w:ascii="Georgia" w:eastAsia="Times New Roman" w:hAnsi="Georgia" w:cs="Georgia"/>
      <w:color w:val="000000"/>
      <w:sz w:val="24"/>
      <w:szCs w:val="24"/>
    </w:rPr>
  </w:style>
  <w:style w:type="paragraph" w:styleId="Header">
    <w:name w:val="header"/>
    <w:basedOn w:val="Normal"/>
    <w:link w:val="HeaderChar"/>
    <w:uiPriority w:val="99"/>
    <w:unhideWhenUsed/>
    <w:rsid w:val="00E613E4"/>
    <w:pPr>
      <w:tabs>
        <w:tab w:val="center" w:pos="4513"/>
        <w:tab w:val="right" w:pos="9026"/>
      </w:tabs>
    </w:pPr>
  </w:style>
  <w:style w:type="character" w:customStyle="1" w:styleId="HeaderChar">
    <w:name w:val="Header Char"/>
    <w:basedOn w:val="DefaultParagraphFont"/>
    <w:link w:val="Header"/>
    <w:uiPriority w:val="99"/>
    <w:rsid w:val="00E613E4"/>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613E4"/>
    <w:pPr>
      <w:tabs>
        <w:tab w:val="center" w:pos="4513"/>
        <w:tab w:val="right" w:pos="9026"/>
      </w:tabs>
    </w:pPr>
  </w:style>
  <w:style w:type="character" w:customStyle="1" w:styleId="FooterChar">
    <w:name w:val="Footer Char"/>
    <w:basedOn w:val="DefaultParagraphFont"/>
    <w:link w:val="Footer"/>
    <w:uiPriority w:val="99"/>
    <w:rsid w:val="00E613E4"/>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E613E4"/>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E613E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02EDA-9BEE-42C7-8645-260F5DA9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2018-07-24T17:15:00Z</dcterms:created>
  <dcterms:modified xsi:type="dcterms:W3CDTF">2018-07-24T17:15:00Z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