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6E3515" w:rsidP="00C321B5">
      <w:pPr>
        <w:jc w:val="center"/>
        <w:rPr>
          <w:rFonts w:ascii="Book Antiqua" w:hAnsi="Book Antiqua" w:cs="Arial"/>
          <w:sz w:val="16"/>
          <w:szCs w:val="16"/>
        </w:rPr>
      </w:pPr>
      <w:r>
        <w:rPr>
          <w:noProof/>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982B9B">
        <w:rPr>
          <w:rFonts w:ascii="Book Antiqua" w:hAnsi="Book Antiqua" w:cs="Arial"/>
          <w:caps/>
        </w:rPr>
        <w:t>PA/09105/2017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8508A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982B9B">
              <w:rPr>
                <w:rFonts w:ascii="Book Antiqua" w:hAnsi="Book Antiqua" w:cs="Arial"/>
                <w:b/>
              </w:rPr>
              <w:t xml:space="preserve">Bradford </w:t>
            </w:r>
          </w:p>
        </w:tc>
        <w:tc>
          <w:tcPr>
            <w:tcW w:w="3960" w:type="dxa"/>
          </w:tcPr>
          <w:p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8508A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982B9B">
              <w:rPr>
                <w:rFonts w:ascii="Book Antiqua" w:hAnsi="Book Antiqua" w:cs="Arial"/>
                <w:b/>
              </w:rPr>
              <w:t>28 June 2018</w:t>
            </w:r>
          </w:p>
        </w:tc>
        <w:tc>
          <w:tcPr>
            <w:tcW w:w="3960" w:type="dxa"/>
          </w:tcPr>
          <w:p w:rsidR="00D22636" w:rsidRPr="00F5664C" w:rsidRDefault="00F37C6D" w:rsidP="004A1848">
            <w:pPr>
              <w:jc w:val="both"/>
              <w:rPr>
                <w:rFonts w:ascii="Book Antiqua" w:hAnsi="Book Antiqua" w:cs="Arial"/>
                <w:b/>
              </w:rPr>
            </w:pPr>
            <w:r>
              <w:rPr>
                <w:rFonts w:ascii="Book Antiqua" w:hAnsi="Book Antiqua" w:cs="Arial"/>
                <w:b/>
              </w:rPr>
              <w:t>On 13 July 2018</w:t>
            </w:r>
          </w:p>
        </w:tc>
      </w:tr>
      <w:tr w:rsidR="00D22636" w:rsidRPr="00F5664C" w:rsidTr="008508AD">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155BA9" w:rsidP="00982B9B">
      <w:pPr>
        <w:jc w:val="center"/>
        <w:rPr>
          <w:rFonts w:ascii="Book Antiqua" w:hAnsi="Book Antiqua" w:cs="Arial"/>
          <w:b/>
        </w:rPr>
      </w:pPr>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p>
    <w:p w:rsidR="00B16F58" w:rsidRPr="00F5664C" w:rsidRDefault="00B16F58" w:rsidP="00A15234">
      <w:pPr>
        <w:jc w:val="center"/>
        <w:rPr>
          <w:rFonts w:ascii="Book Antiqua" w:hAnsi="Book Antiqua" w:cs="Arial"/>
          <w:b/>
        </w:rPr>
      </w:pPr>
    </w:p>
    <w:p w:rsidR="004824B4" w:rsidRDefault="004824B4"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6E3515" w:rsidP="00742A8D">
      <w:pPr>
        <w:jc w:val="center"/>
        <w:rPr>
          <w:rFonts w:ascii="Book Antiqua" w:hAnsi="Book Antiqua" w:cs="Arial"/>
          <w:b/>
          <w:caps/>
        </w:rPr>
      </w:pPr>
      <w:r>
        <w:rPr>
          <w:rFonts w:ascii="Book Antiqua" w:hAnsi="Book Antiqua" w:cs="Arial"/>
          <w:b/>
          <w:caps/>
        </w:rPr>
        <w:t>nm</w:t>
      </w:r>
    </w:p>
    <w:p w:rsidR="008508AD" w:rsidRDefault="008508AD" w:rsidP="008508AD">
      <w:pPr>
        <w:jc w:val="center"/>
        <w:rPr>
          <w:rFonts w:ascii="Book Antiqua" w:hAnsi="Book Antiqua" w:cs="Arial"/>
          <w:b/>
          <w:caps/>
        </w:rPr>
      </w:pPr>
      <w:r w:rsidRPr="008508AD">
        <w:rPr>
          <w:rFonts w:ascii="Book Antiqua" w:hAnsi="Book Antiqua" w:cs="Arial"/>
          <w:b/>
          <w:caps/>
        </w:rPr>
        <w:t xml:space="preserve">(ANONYMITY DIRECTION </w:t>
      </w:r>
      <w:r w:rsidR="006E3515">
        <w:rPr>
          <w:rFonts w:ascii="Book Antiqua" w:hAnsi="Book Antiqua" w:cs="Arial"/>
          <w:b/>
          <w:caps/>
        </w:rPr>
        <w:t>made</w:t>
      </w:r>
      <w:r w:rsidRPr="008508AD">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982B9B">
        <w:rPr>
          <w:rFonts w:ascii="Book Antiqua" w:hAnsi="Book Antiqua" w:cs="Arial"/>
        </w:rPr>
        <w:t>Ms S Khan, instructed by Parker Rhodes Hickmotts,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982B9B">
        <w:rPr>
          <w:rFonts w:ascii="Book Antiqua" w:hAnsi="Book Antiqua" w:cs="Arial"/>
        </w:rPr>
        <w:t>Mr Diwnycz, a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0F76DE" w:rsidRDefault="00982B9B" w:rsidP="000F76DE">
      <w:pPr>
        <w:numPr>
          <w:ilvl w:val="0"/>
          <w:numId w:val="3"/>
        </w:numPr>
        <w:spacing w:before="240"/>
        <w:jc w:val="both"/>
        <w:rPr>
          <w:rFonts w:ascii="Book Antiqua" w:hAnsi="Book Antiqua" w:cs="Arial"/>
        </w:rPr>
      </w:pPr>
      <w:r>
        <w:rPr>
          <w:rFonts w:ascii="Book Antiqua" w:hAnsi="Book Antiqua" w:cs="Arial"/>
        </w:rPr>
        <w:t>Th</w:t>
      </w:r>
      <w:r w:rsidR="006E3515">
        <w:rPr>
          <w:rFonts w:ascii="Book Antiqua" w:hAnsi="Book Antiqua" w:cs="Arial"/>
        </w:rPr>
        <w:t>e appellant, NM</w:t>
      </w:r>
      <w:r w:rsidR="00603821">
        <w:rPr>
          <w:rFonts w:ascii="Book Antiqua" w:hAnsi="Book Antiqua" w:cs="Arial"/>
        </w:rPr>
        <w:t>,</w:t>
      </w:r>
      <w:r>
        <w:rPr>
          <w:rFonts w:ascii="Book Antiqua" w:hAnsi="Book Antiqua" w:cs="Arial"/>
        </w:rPr>
        <w:t xml:space="preserve"> is a citizen of Angola.  She appealed to the First-tier Tribunal (Judge Ian Howard) against a decision of the respondent dated 1 September 2017 to refuse to grant he</w:t>
      </w:r>
      <w:r w:rsidR="00603821">
        <w:rPr>
          <w:rFonts w:ascii="Book Antiqua" w:hAnsi="Book Antiqua" w:cs="Arial"/>
        </w:rPr>
        <w:t>r asylum.  Th</w:t>
      </w:r>
      <w:r>
        <w:rPr>
          <w:rFonts w:ascii="Book Antiqua" w:hAnsi="Book Antiqua" w:cs="Arial"/>
        </w:rPr>
        <w:t xml:space="preserve">e First-tier Tribunal, </w:t>
      </w:r>
      <w:r w:rsidR="00603821">
        <w:rPr>
          <w:rFonts w:ascii="Book Antiqua" w:hAnsi="Book Antiqua" w:cs="Arial"/>
        </w:rPr>
        <w:t xml:space="preserve">in </w:t>
      </w:r>
      <w:r>
        <w:rPr>
          <w:rFonts w:ascii="Book Antiqua" w:hAnsi="Book Antiqua" w:cs="Arial"/>
        </w:rPr>
        <w:t>a decision promulgated on 7 November 2017, dismissed the appeal.  The appellant now appeals, with permission, to the Upper Tribunal.</w:t>
      </w:r>
    </w:p>
    <w:p w:rsidR="00982B9B" w:rsidRDefault="00982B9B" w:rsidP="000F76DE">
      <w:pPr>
        <w:numPr>
          <w:ilvl w:val="0"/>
          <w:numId w:val="3"/>
        </w:numPr>
        <w:spacing w:before="240"/>
        <w:jc w:val="both"/>
        <w:rPr>
          <w:rFonts w:ascii="Book Antiqua" w:hAnsi="Book Antiqua" w:cs="Arial"/>
        </w:rPr>
      </w:pPr>
      <w:r>
        <w:rPr>
          <w:rFonts w:ascii="Book Antiqua" w:hAnsi="Book Antiqua" w:cs="Arial"/>
        </w:rPr>
        <w:t xml:space="preserve">I find that the decision of the First-tier Tribunal should be set aside.  I was assisted at the Upper Tribunal Hearing by Mr Diwnycz, who appeared for the Secretary of State, </w:t>
      </w:r>
      <w:r>
        <w:rPr>
          <w:rFonts w:ascii="Book Antiqua" w:hAnsi="Book Antiqua" w:cs="Arial"/>
        </w:rPr>
        <w:lastRenderedPageBreak/>
        <w:t xml:space="preserve">who told me that the respondent did not oppose the appeal.  I shall give only brief reasons therefore.  </w:t>
      </w:r>
    </w:p>
    <w:p w:rsidR="00982B9B" w:rsidRDefault="00982B9B" w:rsidP="000F76DE">
      <w:pPr>
        <w:numPr>
          <w:ilvl w:val="0"/>
          <w:numId w:val="3"/>
        </w:numPr>
        <w:spacing w:before="240"/>
        <w:jc w:val="both"/>
        <w:rPr>
          <w:rFonts w:ascii="Book Antiqua" w:hAnsi="Book Antiqua" w:cs="Arial"/>
        </w:rPr>
      </w:pPr>
      <w:r>
        <w:rPr>
          <w:rFonts w:ascii="Book Antiqua" w:hAnsi="Book Antiqua" w:cs="Arial"/>
        </w:rPr>
        <w:t xml:space="preserve">There was a dispute </w:t>
      </w:r>
      <w:r w:rsidR="00603821">
        <w:rPr>
          <w:rFonts w:ascii="Book Antiqua" w:hAnsi="Book Antiqua" w:cs="Arial"/>
        </w:rPr>
        <w:t>between the parties regarding</w:t>
      </w:r>
      <w:r>
        <w:rPr>
          <w:rFonts w:ascii="Book Antiqua" w:hAnsi="Book Antiqua" w:cs="Arial"/>
        </w:rPr>
        <w:t xml:space="preserve"> the age of the appellant.  The respondent was of the opinion that th</w:t>
      </w:r>
      <w:r w:rsidR="00603821">
        <w:rPr>
          <w:rFonts w:ascii="Book Antiqua" w:hAnsi="Book Antiqua" w:cs="Arial"/>
        </w:rPr>
        <w:t>e appellant was born in 1997; t</w:t>
      </w:r>
      <w:r>
        <w:rPr>
          <w:rFonts w:ascii="Book Antiqua" w:hAnsi="Book Antiqua" w:cs="Arial"/>
        </w:rPr>
        <w:t>he appellant claimed that she was</w:t>
      </w:r>
      <w:r w:rsidR="00603821">
        <w:rPr>
          <w:rFonts w:ascii="Book Antiqua" w:hAnsi="Book Antiqua" w:cs="Arial"/>
        </w:rPr>
        <w:t xml:space="preserve"> (as at the date of the First-tier Tribunal hearing)</w:t>
      </w:r>
      <w:r>
        <w:rPr>
          <w:rFonts w:ascii="Book Antiqua" w:hAnsi="Book Antiqua" w:cs="Arial"/>
        </w:rPr>
        <w:t xml:space="preserve"> only 17 years old.  When we considered the evidence relating to the appellant’s age, Judge Howard con</w:t>
      </w:r>
      <w:r w:rsidR="00603821">
        <w:rPr>
          <w:rFonts w:ascii="Book Antiqua" w:hAnsi="Book Antiqua" w:cs="Arial"/>
        </w:rPr>
        <w:t>cluded [20] that the appellant wa</w:t>
      </w:r>
      <w:r>
        <w:rPr>
          <w:rFonts w:ascii="Book Antiqua" w:hAnsi="Book Antiqua" w:cs="Arial"/>
        </w:rPr>
        <w:t>s 17 years old.  However, having made that</w:t>
      </w:r>
      <w:r w:rsidR="00603821">
        <w:rPr>
          <w:rFonts w:ascii="Book Antiqua" w:hAnsi="Book Antiqua" w:cs="Arial"/>
        </w:rPr>
        <w:t xml:space="preserve"> finding, there was no suggestion in his decision </w:t>
      </w:r>
      <w:r>
        <w:rPr>
          <w:rFonts w:ascii="Book Antiqua" w:hAnsi="Book Antiqua" w:cs="Arial"/>
        </w:rPr>
        <w:t xml:space="preserve">that the judge had regard to the appellant’s youth in </w:t>
      </w:r>
      <w:r w:rsidR="00867E64">
        <w:rPr>
          <w:rFonts w:ascii="Book Antiqua" w:hAnsi="Book Antiqua" w:cs="Arial"/>
        </w:rPr>
        <w:t xml:space="preserve">his </w:t>
      </w:r>
      <w:r>
        <w:rPr>
          <w:rFonts w:ascii="Book Antiqua" w:hAnsi="Book Antiqua" w:cs="Arial"/>
        </w:rPr>
        <w:t>analysis of her credibility as a witness.  The parties</w:t>
      </w:r>
      <w:r w:rsidR="007A35F8">
        <w:rPr>
          <w:rFonts w:ascii="Book Antiqua" w:hAnsi="Book Antiqua" w:cs="Arial"/>
        </w:rPr>
        <w:t xml:space="preserve"> accept that the J</w:t>
      </w:r>
      <w:r>
        <w:rPr>
          <w:rFonts w:ascii="Book Antiqua" w:hAnsi="Book Antiqua" w:cs="Arial"/>
        </w:rPr>
        <w:t xml:space="preserve">oint Presidential Guidance Note No.2 of 2010 was specifically brought to the judge’s attention by Counsel for the appellant.  However, the judge makes no reference to that guidance nor does he </w:t>
      </w:r>
      <w:r w:rsidR="00603821">
        <w:rPr>
          <w:rFonts w:ascii="Book Antiqua" w:hAnsi="Book Antiqua" w:cs="Arial"/>
        </w:rPr>
        <w:t xml:space="preserve">appear to </w:t>
      </w:r>
      <w:r>
        <w:rPr>
          <w:rFonts w:ascii="Book Antiqua" w:hAnsi="Book Antiqua" w:cs="Arial"/>
        </w:rPr>
        <w:t>have</w:t>
      </w:r>
      <w:r w:rsidR="00603821">
        <w:rPr>
          <w:rFonts w:ascii="Book Antiqua" w:hAnsi="Book Antiqua" w:cs="Arial"/>
        </w:rPr>
        <w:t xml:space="preserve"> had</w:t>
      </w:r>
      <w:r>
        <w:rPr>
          <w:rFonts w:ascii="Book Antiqua" w:hAnsi="Book Antiqua" w:cs="Arial"/>
        </w:rPr>
        <w:t xml:space="preserve"> regard to the fact that the appellant’s asylum interview was conducted without any of the appropriate safeguards for minors having been employed.</w:t>
      </w:r>
    </w:p>
    <w:p w:rsidR="006E3515" w:rsidRPr="006E3515" w:rsidRDefault="00603821" w:rsidP="006E3515">
      <w:pPr>
        <w:numPr>
          <w:ilvl w:val="0"/>
          <w:numId w:val="3"/>
        </w:numPr>
        <w:spacing w:before="240"/>
        <w:jc w:val="both"/>
        <w:rPr>
          <w:rFonts w:ascii="Book Antiqua" w:hAnsi="Book Antiqua" w:cs="Arial"/>
        </w:rPr>
      </w:pPr>
      <w:r>
        <w:rPr>
          <w:rFonts w:ascii="Book Antiqua" w:hAnsi="Book Antiqua" w:cs="Arial"/>
        </w:rPr>
        <w:t>In consequence, t</w:t>
      </w:r>
      <w:r w:rsidR="00982B9B">
        <w:rPr>
          <w:rFonts w:ascii="Book Antiqua" w:hAnsi="Book Antiqua" w:cs="Arial"/>
        </w:rPr>
        <w:t>he appellant has been depriv</w:t>
      </w:r>
      <w:r>
        <w:rPr>
          <w:rFonts w:ascii="Book Antiqua" w:hAnsi="Book Antiqua" w:cs="Arial"/>
        </w:rPr>
        <w:t>ed of a fair hearing of her appeal</w:t>
      </w:r>
      <w:r w:rsidR="00982B9B">
        <w:rPr>
          <w:rFonts w:ascii="Book Antiqua" w:hAnsi="Book Antiqua" w:cs="Arial"/>
        </w:rPr>
        <w:t xml:space="preserve">.  </w:t>
      </w:r>
      <w:r>
        <w:rPr>
          <w:rFonts w:ascii="Book Antiqua" w:hAnsi="Book Antiqua" w:cs="Arial"/>
        </w:rPr>
        <w:t>T</w:t>
      </w:r>
      <w:r w:rsidR="006E3515">
        <w:rPr>
          <w:rFonts w:ascii="Book Antiqua" w:hAnsi="Book Antiqua" w:cs="Arial"/>
        </w:rPr>
        <w:t xml:space="preserve">he decision of Judge Howard is set </w:t>
      </w:r>
      <w:r>
        <w:rPr>
          <w:rFonts w:ascii="Book Antiqua" w:hAnsi="Book Antiqua" w:cs="Arial"/>
        </w:rPr>
        <w:t>aside</w:t>
      </w:r>
      <w:r w:rsidR="006E3515">
        <w:rPr>
          <w:rFonts w:ascii="Book Antiqua" w:hAnsi="Book Antiqua" w:cs="Arial"/>
        </w:rPr>
        <w:t>; none of the findings of fact shall stand.  There will need to be a new fact-finding exercise which is better conducted by the First-tier Tribunal to which this appeal is now returned for that Tribunal to remake the decision.</w:t>
      </w:r>
    </w:p>
    <w:p w:rsidR="008508AD" w:rsidRPr="008508AD" w:rsidRDefault="008508AD" w:rsidP="000F76DE">
      <w:pPr>
        <w:spacing w:before="240"/>
        <w:jc w:val="both"/>
        <w:rPr>
          <w:rFonts w:ascii="Book Antiqua" w:hAnsi="Book Antiqua" w:cs="Arial"/>
          <w:b/>
          <w:u w:val="single"/>
        </w:rPr>
      </w:pPr>
      <w:r w:rsidRPr="008508AD">
        <w:rPr>
          <w:rFonts w:ascii="Book Antiqua" w:hAnsi="Book Antiqua" w:cs="Arial"/>
          <w:b/>
          <w:u w:val="single"/>
        </w:rPr>
        <w:t>Notice of Decision</w:t>
      </w:r>
    </w:p>
    <w:p w:rsidR="008508AD" w:rsidRPr="008508AD" w:rsidRDefault="008508AD" w:rsidP="008508AD">
      <w:pPr>
        <w:jc w:val="both"/>
        <w:rPr>
          <w:rFonts w:ascii="Book Antiqua" w:hAnsi="Book Antiqua" w:cs="Arial"/>
        </w:rPr>
      </w:pPr>
    </w:p>
    <w:p w:rsidR="008508AD" w:rsidRPr="00603821" w:rsidRDefault="008508AD" w:rsidP="008508AD">
      <w:pPr>
        <w:jc w:val="both"/>
        <w:rPr>
          <w:rFonts w:ascii="Book Antiqua" w:hAnsi="Book Antiqua" w:cs="Arial"/>
          <w:b/>
        </w:rPr>
      </w:pPr>
      <w:r w:rsidRPr="00603821">
        <w:rPr>
          <w:rFonts w:ascii="Book Antiqua" w:hAnsi="Book Antiqua" w:cs="Arial"/>
          <w:b/>
        </w:rPr>
        <w:t xml:space="preserve">The </w:t>
      </w:r>
      <w:r w:rsidR="006E3515" w:rsidRPr="00603821">
        <w:rPr>
          <w:rFonts w:ascii="Book Antiqua" w:hAnsi="Book Antiqua" w:cs="Arial"/>
          <w:b/>
        </w:rPr>
        <w:t xml:space="preserve">decision of the First-tier Tribunal which was promulgated on 7 November 2017 is set aside.  None of the findings of fact shall stand.  The appeal is returned to the First-tier Tribunal (not Judge Ian Howard) for that Tribunal to remake the decision.  </w:t>
      </w:r>
    </w:p>
    <w:p w:rsidR="008508AD" w:rsidRPr="008508AD" w:rsidRDefault="008508AD" w:rsidP="008508AD">
      <w:pPr>
        <w:jc w:val="both"/>
        <w:rPr>
          <w:rFonts w:ascii="Book Antiqua" w:hAnsi="Book Antiqua" w:cs="Arial"/>
        </w:rPr>
      </w:pPr>
    </w:p>
    <w:p w:rsidR="008508AD" w:rsidRPr="008508AD" w:rsidRDefault="008508AD" w:rsidP="008508AD">
      <w:pPr>
        <w:jc w:val="both"/>
        <w:rPr>
          <w:rFonts w:ascii="Book Antiqua" w:hAnsi="Book Antiqua" w:cs="Arial"/>
        </w:rPr>
      </w:pPr>
      <w:r w:rsidRPr="008508AD">
        <w:rPr>
          <w:rFonts w:ascii="Book Antiqua" w:hAnsi="Book Antiqua" w:cs="Arial"/>
          <w:b/>
          <w:u w:val="single"/>
        </w:rPr>
        <w:t>Direction Regarding Anonymity – Rule 14 of the Tribunal Procedure (Upper Tribunal) Rules 2008</w:t>
      </w:r>
    </w:p>
    <w:p w:rsidR="008508AD" w:rsidRPr="008508AD" w:rsidRDefault="008508AD" w:rsidP="008508AD">
      <w:pPr>
        <w:jc w:val="both"/>
        <w:rPr>
          <w:rFonts w:ascii="Book Antiqua" w:hAnsi="Book Antiqua" w:cs="Arial"/>
        </w:rPr>
      </w:pPr>
    </w:p>
    <w:p w:rsidR="008508AD" w:rsidRPr="00687601" w:rsidRDefault="008508AD" w:rsidP="008508AD">
      <w:pPr>
        <w:jc w:val="both"/>
        <w:rPr>
          <w:rFonts w:ascii="Book Antiqua" w:hAnsi="Book Antiqua" w:cs="Arial"/>
        </w:rPr>
      </w:pPr>
      <w:r w:rsidRPr="008508AD">
        <w:rPr>
          <w:rFonts w:ascii="Book Antiqua" w:hAnsi="Book Antiqua" w:cs="Arial"/>
        </w:rPr>
        <w:t xml:space="preserve">Unless and </w:t>
      </w:r>
      <w:r w:rsidRPr="008508AD">
        <w:rPr>
          <w:rFonts w:ascii="Book Antiqua" w:hAnsi="Book Antiqua"/>
        </w:rPr>
        <w:t xml:space="preserve">until a Tribunal or court directs otherwise, the </w:t>
      </w:r>
      <w:r w:rsidR="00027641">
        <w:rPr>
          <w:rFonts w:ascii="Book Antiqua" w:hAnsi="Book Antiqua"/>
        </w:rPr>
        <w:t>a</w:t>
      </w:r>
      <w:r w:rsidRPr="008508AD">
        <w:rPr>
          <w:rFonts w:ascii="Book Antiqua" w:hAnsi="Book Antiqua"/>
        </w:rPr>
        <w:t xml:space="preserve">ppellant is granted anonymity.  No report of these proceedings shall directly or indirectly identify him or any member of their family.  This direction applies both to the </w:t>
      </w:r>
      <w:r w:rsidR="00027641">
        <w:rPr>
          <w:rFonts w:ascii="Book Antiqua" w:hAnsi="Book Antiqua"/>
        </w:rPr>
        <w:t>a</w:t>
      </w:r>
      <w:r w:rsidRPr="008508AD">
        <w:rPr>
          <w:rFonts w:ascii="Book Antiqua" w:hAnsi="Book Antiqua"/>
        </w:rPr>
        <w:t xml:space="preserve">ppellant and to the </w:t>
      </w:r>
      <w:r w:rsidR="00027641">
        <w:rPr>
          <w:rFonts w:ascii="Book Antiqua" w:hAnsi="Book Antiqua"/>
        </w:rPr>
        <w:t>r</w:t>
      </w:r>
      <w:r w:rsidRPr="008508AD">
        <w:rPr>
          <w:rFonts w:ascii="Book Antiqua" w:hAnsi="Book Antiqua"/>
        </w:rPr>
        <w:t>espondent.  Failure to comply with this direction could lead to contempt of court proceedings.</w:t>
      </w:r>
    </w:p>
    <w:p w:rsidR="008508AD" w:rsidRDefault="008508AD" w:rsidP="000369F5">
      <w:pPr>
        <w:tabs>
          <w:tab w:val="left" w:pos="2520"/>
        </w:tabs>
        <w:jc w:val="both"/>
        <w:rPr>
          <w:rFonts w:ascii="Book Antiqua" w:hAnsi="Book Antiqua" w:cs="Arial"/>
        </w:rPr>
      </w:pPr>
    </w:p>
    <w:p w:rsidR="00416AA4" w:rsidRPr="00F5664C" w:rsidRDefault="00416AA4" w:rsidP="000369F5">
      <w:pPr>
        <w:tabs>
          <w:tab w:val="left" w:pos="2520"/>
        </w:tabs>
        <w:jc w:val="both"/>
        <w:rPr>
          <w:rFonts w:ascii="Book Antiqua" w:hAnsi="Book Antiqua" w:cs="Arial"/>
        </w:rPr>
      </w:pPr>
    </w:p>
    <w:p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603821">
        <w:rPr>
          <w:rFonts w:ascii="Book Antiqua" w:hAnsi="Book Antiqua" w:cs="Arial"/>
        </w:rPr>
        <w:t>11 JULY 2018</w:t>
      </w:r>
    </w:p>
    <w:p w:rsidR="00F60D99" w:rsidRPr="00F5664C" w:rsidRDefault="00F60D99" w:rsidP="000369F5">
      <w:pPr>
        <w:tabs>
          <w:tab w:val="left" w:pos="2520"/>
        </w:tabs>
        <w:jc w:val="both"/>
        <w:rPr>
          <w:rFonts w:ascii="Book Antiqua" w:hAnsi="Book Antiqua" w:cs="Arial"/>
        </w:rPr>
      </w:pPr>
    </w:p>
    <w:p w:rsidR="008508AD" w:rsidRDefault="00155BA9" w:rsidP="000369F5">
      <w:pPr>
        <w:tabs>
          <w:tab w:val="left" w:pos="2520"/>
        </w:tabs>
        <w:jc w:val="both"/>
        <w:rPr>
          <w:rFonts w:ascii="Book Antiqua" w:hAnsi="Book Antiqua" w:cs="Arial"/>
        </w:rPr>
      </w:pPr>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p>
    <w:p w:rsidR="004824B4" w:rsidRDefault="004824B4" w:rsidP="008508AD">
      <w:pPr>
        <w:jc w:val="both"/>
        <w:rPr>
          <w:rFonts w:ascii="Book Antiqua" w:hAnsi="Book Antiqua" w:cs="Arial"/>
        </w:rPr>
      </w:pPr>
    </w:p>
    <w:p w:rsidR="004824B4" w:rsidRDefault="004824B4" w:rsidP="008508AD">
      <w:pPr>
        <w:jc w:val="both"/>
        <w:rPr>
          <w:rFonts w:ascii="Book Antiqua" w:hAnsi="Book Antiqua" w:cs="Arial"/>
        </w:rPr>
      </w:pPr>
    </w:p>
    <w:p w:rsidR="008508AD" w:rsidRPr="008508AD" w:rsidRDefault="008508AD" w:rsidP="008508AD">
      <w:pPr>
        <w:jc w:val="both"/>
        <w:rPr>
          <w:rFonts w:ascii="Book Antiqua" w:hAnsi="Book Antiqua" w:cs="Arial"/>
        </w:rPr>
      </w:pPr>
      <w:r w:rsidRPr="008508AD">
        <w:rPr>
          <w:rFonts w:ascii="Book Antiqua" w:hAnsi="Book Antiqua" w:cs="Arial"/>
        </w:rPr>
        <w:t>No fee is paid or payable and therefore there can be no fee award.</w:t>
      </w:r>
    </w:p>
    <w:p w:rsidR="008508AD" w:rsidRP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603821">
        <w:rPr>
          <w:rFonts w:ascii="Book Antiqua" w:hAnsi="Book Antiqua" w:cs="Arial"/>
        </w:rPr>
        <w:t>11 JULY 2018</w:t>
      </w:r>
    </w:p>
    <w:p w:rsidR="008508AD" w:rsidRPr="00F5664C" w:rsidRDefault="008508AD" w:rsidP="008508AD">
      <w:pPr>
        <w:tabs>
          <w:tab w:val="left" w:pos="2520"/>
        </w:tabs>
        <w:jc w:val="both"/>
        <w:rPr>
          <w:rFonts w:ascii="Book Antiqua" w:hAnsi="Book Antiqua" w:cs="Arial"/>
        </w:rPr>
      </w:pPr>
    </w:p>
    <w:p w:rsidR="005B7789" w:rsidRPr="00F5664C" w:rsidRDefault="008508AD" w:rsidP="00FA3028">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1F3" w:rsidRDefault="00CF71F3">
      <w:r>
        <w:separator/>
      </w:r>
    </w:p>
  </w:endnote>
  <w:endnote w:type="continuationSeparator" w:id="0">
    <w:p w:rsidR="00CF71F3" w:rsidRDefault="00CF7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F75429">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1F3" w:rsidRDefault="00CF71F3">
      <w:r>
        <w:separator/>
      </w:r>
    </w:p>
  </w:footnote>
  <w:footnote w:type="continuationSeparator" w:id="0">
    <w:p w:rsidR="00CF71F3" w:rsidRDefault="00CF7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982B9B">
      <w:rPr>
        <w:rFonts w:ascii="Book Antiqua" w:hAnsi="Book Antiqua" w:cs="Arial"/>
        <w:sz w:val="16"/>
        <w:szCs w:val="16"/>
      </w:rPr>
      <w:t>PA/09105/2017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B9B"/>
    <w:rsid w:val="00000621"/>
    <w:rsid w:val="00001A2D"/>
    <w:rsid w:val="000036C2"/>
    <w:rsid w:val="000168E1"/>
    <w:rsid w:val="00027641"/>
    <w:rsid w:val="00033D3D"/>
    <w:rsid w:val="000369F5"/>
    <w:rsid w:val="00060ED5"/>
    <w:rsid w:val="00071602"/>
    <w:rsid w:val="00071A7E"/>
    <w:rsid w:val="000746C0"/>
    <w:rsid w:val="00074D1D"/>
    <w:rsid w:val="00092580"/>
    <w:rsid w:val="000D5D94"/>
    <w:rsid w:val="000E0923"/>
    <w:rsid w:val="000F76DE"/>
    <w:rsid w:val="001165A7"/>
    <w:rsid w:val="00130ABD"/>
    <w:rsid w:val="00151BB7"/>
    <w:rsid w:val="00155BA9"/>
    <w:rsid w:val="0016457F"/>
    <w:rsid w:val="00167D3A"/>
    <w:rsid w:val="001723AE"/>
    <w:rsid w:val="00183D32"/>
    <w:rsid w:val="001A1E2C"/>
    <w:rsid w:val="001F2716"/>
    <w:rsid w:val="0020133A"/>
    <w:rsid w:val="00207617"/>
    <w:rsid w:val="00264A24"/>
    <w:rsid w:val="00275F0C"/>
    <w:rsid w:val="00283659"/>
    <w:rsid w:val="002C4E73"/>
    <w:rsid w:val="002D68BF"/>
    <w:rsid w:val="00333EA7"/>
    <w:rsid w:val="00336CBF"/>
    <w:rsid w:val="003546C8"/>
    <w:rsid w:val="003763A9"/>
    <w:rsid w:val="00381177"/>
    <w:rsid w:val="003A2B7E"/>
    <w:rsid w:val="003A6E6C"/>
    <w:rsid w:val="003A7CF2"/>
    <w:rsid w:val="003B0789"/>
    <w:rsid w:val="003C5CE5"/>
    <w:rsid w:val="003C6548"/>
    <w:rsid w:val="003E267B"/>
    <w:rsid w:val="003E7CD1"/>
    <w:rsid w:val="00402B9E"/>
    <w:rsid w:val="00416AA4"/>
    <w:rsid w:val="00423932"/>
    <w:rsid w:val="004249CB"/>
    <w:rsid w:val="0044127D"/>
    <w:rsid w:val="004448DB"/>
    <w:rsid w:val="00446C9A"/>
    <w:rsid w:val="00462D76"/>
    <w:rsid w:val="00477193"/>
    <w:rsid w:val="004824B4"/>
    <w:rsid w:val="004A1848"/>
    <w:rsid w:val="004A1F1B"/>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B7789"/>
    <w:rsid w:val="00603821"/>
    <w:rsid w:val="0065791C"/>
    <w:rsid w:val="00666416"/>
    <w:rsid w:val="00690B8A"/>
    <w:rsid w:val="00693AEE"/>
    <w:rsid w:val="006D1DFA"/>
    <w:rsid w:val="006D506B"/>
    <w:rsid w:val="006E1D45"/>
    <w:rsid w:val="006E3515"/>
    <w:rsid w:val="006E3C90"/>
    <w:rsid w:val="006E57E2"/>
    <w:rsid w:val="006F7C89"/>
    <w:rsid w:val="00704B61"/>
    <w:rsid w:val="00741598"/>
    <w:rsid w:val="00742A8D"/>
    <w:rsid w:val="007552A9"/>
    <w:rsid w:val="00761858"/>
    <w:rsid w:val="00767D59"/>
    <w:rsid w:val="00776E97"/>
    <w:rsid w:val="00780FD7"/>
    <w:rsid w:val="007912AD"/>
    <w:rsid w:val="007A1F28"/>
    <w:rsid w:val="007A35F8"/>
    <w:rsid w:val="007A393E"/>
    <w:rsid w:val="007A6132"/>
    <w:rsid w:val="007B0824"/>
    <w:rsid w:val="007E01DA"/>
    <w:rsid w:val="008116D9"/>
    <w:rsid w:val="008303B8"/>
    <w:rsid w:val="00833DCE"/>
    <w:rsid w:val="00842418"/>
    <w:rsid w:val="008508AD"/>
    <w:rsid w:val="008639DC"/>
    <w:rsid w:val="00867E64"/>
    <w:rsid w:val="00871D34"/>
    <w:rsid w:val="00872944"/>
    <w:rsid w:val="00897D75"/>
    <w:rsid w:val="008B270C"/>
    <w:rsid w:val="008C3D3D"/>
    <w:rsid w:val="008D4131"/>
    <w:rsid w:val="008E29BA"/>
    <w:rsid w:val="008F1932"/>
    <w:rsid w:val="008F294D"/>
    <w:rsid w:val="00921062"/>
    <w:rsid w:val="0093083E"/>
    <w:rsid w:val="00940FE3"/>
    <w:rsid w:val="00966ECF"/>
    <w:rsid w:val="009727A3"/>
    <w:rsid w:val="00982B9B"/>
    <w:rsid w:val="00987774"/>
    <w:rsid w:val="009A0FDC"/>
    <w:rsid w:val="009A11E8"/>
    <w:rsid w:val="009E4E62"/>
    <w:rsid w:val="009F5220"/>
    <w:rsid w:val="009F7C4D"/>
    <w:rsid w:val="00A15234"/>
    <w:rsid w:val="00A15560"/>
    <w:rsid w:val="00A16AE1"/>
    <w:rsid w:val="00A201AB"/>
    <w:rsid w:val="00A31C8B"/>
    <w:rsid w:val="00A845DC"/>
    <w:rsid w:val="00A97A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D4196"/>
    <w:rsid w:val="00BF22CA"/>
    <w:rsid w:val="00C26032"/>
    <w:rsid w:val="00C265B0"/>
    <w:rsid w:val="00C321B5"/>
    <w:rsid w:val="00C345E1"/>
    <w:rsid w:val="00C977BA"/>
    <w:rsid w:val="00CB6E35"/>
    <w:rsid w:val="00CE1A46"/>
    <w:rsid w:val="00CF253F"/>
    <w:rsid w:val="00CF56B4"/>
    <w:rsid w:val="00CF6DEE"/>
    <w:rsid w:val="00CF71F3"/>
    <w:rsid w:val="00D06D1F"/>
    <w:rsid w:val="00D20F09"/>
    <w:rsid w:val="00D22636"/>
    <w:rsid w:val="00D36666"/>
    <w:rsid w:val="00D40FD9"/>
    <w:rsid w:val="00D53769"/>
    <w:rsid w:val="00D70775"/>
    <w:rsid w:val="00D85C13"/>
    <w:rsid w:val="00D91BE3"/>
    <w:rsid w:val="00D94AFC"/>
    <w:rsid w:val="00DB70AE"/>
    <w:rsid w:val="00DB7231"/>
    <w:rsid w:val="00DD5071"/>
    <w:rsid w:val="00DD5C39"/>
    <w:rsid w:val="00DE26AF"/>
    <w:rsid w:val="00DE7DB7"/>
    <w:rsid w:val="00E00A0A"/>
    <w:rsid w:val="00E07F57"/>
    <w:rsid w:val="00E50BCE"/>
    <w:rsid w:val="00E61292"/>
    <w:rsid w:val="00E76309"/>
    <w:rsid w:val="00E77C4D"/>
    <w:rsid w:val="00E81D01"/>
    <w:rsid w:val="00EB1147"/>
    <w:rsid w:val="00EC1F8A"/>
    <w:rsid w:val="00ED338F"/>
    <w:rsid w:val="00EE45D8"/>
    <w:rsid w:val="00F004CD"/>
    <w:rsid w:val="00F13155"/>
    <w:rsid w:val="00F22EDA"/>
    <w:rsid w:val="00F3224D"/>
    <w:rsid w:val="00F33E0E"/>
    <w:rsid w:val="00F37C6D"/>
    <w:rsid w:val="00F5664C"/>
    <w:rsid w:val="00F60D99"/>
    <w:rsid w:val="00F75429"/>
    <w:rsid w:val="00FA3028"/>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BED80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2845</Characters>
  <Application>Microsoft Office Word</Application>
  <DocSecurity>0</DocSecurity>
  <Lines>23</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2018-07-30T11:21:00Z</dcterms:created>
  <dcterms:modified xsi:type="dcterms:W3CDTF">2018-07-30T11:21:00Z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