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B5590" w14:textId="33B76066" w:rsidR="004341A4" w:rsidRPr="00135EE8" w:rsidRDefault="00AB1DAA">
      <w:pPr>
        <w:jc w:val="center"/>
        <w:rPr>
          <w:rFonts w:ascii="Book Antiqua" w:hAnsi="Book Antiqua" w:cs="Arial"/>
          <w:sz w:val="16"/>
          <w:szCs w:val="16"/>
        </w:rPr>
      </w:pPr>
      <w:r w:rsidRPr="00135EE8">
        <w:rPr>
          <w:noProof/>
          <w:sz w:val="16"/>
          <w:szCs w:val="16"/>
        </w:rPr>
        <w:drawing>
          <wp:inline distT="0" distB="0" distL="0" distR="0" wp14:anchorId="7C80FE21" wp14:editId="1C59950A">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15DE65B5" w14:textId="77777777" w:rsidR="004341A4" w:rsidRPr="00135EE8" w:rsidRDefault="004341A4">
      <w:pPr>
        <w:rPr>
          <w:rFonts w:ascii="Book Antiqua" w:hAnsi="Book Antiqua" w:cs="Arial"/>
          <w:color w:val="FF0000"/>
          <w:sz w:val="16"/>
          <w:szCs w:val="16"/>
        </w:rPr>
      </w:pPr>
    </w:p>
    <w:p w14:paraId="1BB3FE96" w14:textId="77777777" w:rsidR="004341A4" w:rsidRDefault="004341A4">
      <w:pPr>
        <w:tabs>
          <w:tab w:val="right" w:pos="9639"/>
        </w:tabs>
        <w:rPr>
          <w:rFonts w:ascii="Book Antiqua" w:hAnsi="Book Antiqua" w:cs="Arial"/>
          <w:b/>
        </w:rPr>
      </w:pPr>
      <w:r>
        <w:rPr>
          <w:rFonts w:ascii="Book Antiqua" w:hAnsi="Book Antiqua" w:cs="Arial"/>
          <w:b/>
        </w:rPr>
        <w:t>Upper Tribunal</w:t>
      </w:r>
    </w:p>
    <w:p w14:paraId="633A8C65" w14:textId="77777777" w:rsidR="004341A4" w:rsidRDefault="004341A4">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Pr>
          <w:rFonts w:ascii="Book Antiqua" w:hAnsi="Book Antiqua" w:cs="Arial"/>
        </w:rPr>
        <w:t>PA/09156/2017</w:t>
      </w:r>
      <w:bookmarkEnd w:id="0"/>
    </w:p>
    <w:p w14:paraId="5828D89B" w14:textId="77777777" w:rsidR="004341A4" w:rsidRDefault="004341A4">
      <w:pPr>
        <w:jc w:val="center"/>
        <w:rPr>
          <w:rFonts w:ascii="Book Antiqua" w:hAnsi="Book Antiqua" w:cs="Arial"/>
        </w:rPr>
      </w:pPr>
    </w:p>
    <w:p w14:paraId="320A8AF3" w14:textId="77777777" w:rsidR="004341A4" w:rsidRDefault="004341A4">
      <w:pPr>
        <w:jc w:val="center"/>
        <w:rPr>
          <w:rFonts w:ascii="Book Antiqua" w:hAnsi="Book Antiqua" w:cs="Arial"/>
        </w:rPr>
      </w:pPr>
    </w:p>
    <w:p w14:paraId="5981618B" w14:textId="77777777" w:rsidR="004341A4" w:rsidRDefault="004341A4">
      <w:pPr>
        <w:jc w:val="center"/>
        <w:rPr>
          <w:rFonts w:ascii="Book Antiqua" w:hAnsi="Book Antiqua" w:cs="Arial"/>
          <w:b/>
          <w:u w:val="single"/>
        </w:rPr>
      </w:pPr>
      <w:r>
        <w:rPr>
          <w:rFonts w:ascii="Book Antiqua" w:hAnsi="Book Antiqua" w:cs="Arial"/>
          <w:b/>
          <w:u w:val="single"/>
        </w:rPr>
        <w:t>THE IMMIGRATION ACTS</w:t>
      </w:r>
    </w:p>
    <w:p w14:paraId="53880675" w14:textId="77777777" w:rsidR="004341A4" w:rsidRDefault="004341A4">
      <w:pPr>
        <w:jc w:val="center"/>
        <w:rPr>
          <w:rFonts w:ascii="Book Antiqua" w:hAnsi="Book Antiqua" w:cs="Arial"/>
          <w:b/>
          <w:u w:val="single"/>
        </w:rPr>
      </w:pPr>
    </w:p>
    <w:p w14:paraId="246CA51A" w14:textId="77777777" w:rsidR="004341A4" w:rsidRDefault="004341A4">
      <w:pPr>
        <w:jc w:val="center"/>
        <w:rPr>
          <w:rFonts w:ascii="Book Antiqua" w:hAnsi="Book Antiqua" w:cs="Arial"/>
          <w:b/>
          <w:u w:val="single"/>
        </w:rPr>
      </w:pPr>
    </w:p>
    <w:tbl>
      <w:tblPr>
        <w:tblW w:w="9943" w:type="dxa"/>
        <w:tblLayout w:type="fixed"/>
        <w:tblLook w:val="0000" w:firstRow="0" w:lastRow="0" w:firstColumn="0" w:lastColumn="0" w:noHBand="0" w:noVBand="0"/>
      </w:tblPr>
      <w:tblGrid>
        <w:gridCol w:w="5921"/>
        <w:gridCol w:w="4022"/>
      </w:tblGrid>
      <w:tr w:rsidR="004341A4" w14:paraId="072B95A4" w14:textId="77777777" w:rsidTr="00715D43">
        <w:trPr>
          <w:trHeight w:val="280"/>
        </w:trPr>
        <w:tc>
          <w:tcPr>
            <w:tcW w:w="5921" w:type="dxa"/>
          </w:tcPr>
          <w:p w14:paraId="77068DD0" w14:textId="77777777" w:rsidR="004341A4" w:rsidRDefault="004341A4">
            <w:pPr>
              <w:jc w:val="both"/>
              <w:rPr>
                <w:rFonts w:ascii="Book Antiqua" w:hAnsi="Book Antiqua" w:cs="Arial"/>
                <w:b/>
              </w:rPr>
            </w:pPr>
            <w:r>
              <w:rPr>
                <w:rFonts w:ascii="Book Antiqua" w:hAnsi="Book Antiqua" w:cs="Arial"/>
                <w:b/>
              </w:rPr>
              <w:t>Heard at Field House</w:t>
            </w:r>
          </w:p>
        </w:tc>
        <w:tc>
          <w:tcPr>
            <w:tcW w:w="4022" w:type="dxa"/>
          </w:tcPr>
          <w:p w14:paraId="517B6DAE" w14:textId="77777777" w:rsidR="004341A4" w:rsidRDefault="004341A4">
            <w:pPr>
              <w:jc w:val="center"/>
              <w:rPr>
                <w:rFonts w:ascii="Book Antiqua" w:hAnsi="Book Antiqua" w:cs="Arial"/>
                <w:b/>
              </w:rPr>
            </w:pPr>
            <w:r>
              <w:rPr>
                <w:rFonts w:ascii="Book Antiqua" w:hAnsi="Book Antiqua" w:cs="Arial"/>
                <w:b/>
              </w:rPr>
              <w:t>Decision &amp; Reasons Promulgated</w:t>
            </w:r>
          </w:p>
        </w:tc>
      </w:tr>
      <w:tr w:rsidR="004341A4" w14:paraId="41792C08" w14:textId="77777777" w:rsidTr="00715D43">
        <w:trPr>
          <w:trHeight w:val="294"/>
        </w:trPr>
        <w:tc>
          <w:tcPr>
            <w:tcW w:w="5921" w:type="dxa"/>
          </w:tcPr>
          <w:p w14:paraId="2E18577F" w14:textId="77777777" w:rsidR="004341A4" w:rsidRDefault="004341A4">
            <w:pPr>
              <w:jc w:val="both"/>
              <w:rPr>
                <w:rFonts w:ascii="Book Antiqua" w:hAnsi="Book Antiqua" w:cs="Arial"/>
                <w:b/>
              </w:rPr>
            </w:pPr>
            <w:r>
              <w:rPr>
                <w:rFonts w:ascii="Book Antiqua" w:hAnsi="Book Antiqua" w:cs="Arial"/>
                <w:b/>
              </w:rPr>
              <w:t>On 13 July 2018</w:t>
            </w:r>
          </w:p>
        </w:tc>
        <w:tc>
          <w:tcPr>
            <w:tcW w:w="4022" w:type="dxa"/>
          </w:tcPr>
          <w:p w14:paraId="76E16F56" w14:textId="77777777" w:rsidR="004341A4" w:rsidRDefault="00715D43">
            <w:pPr>
              <w:jc w:val="both"/>
              <w:rPr>
                <w:rFonts w:ascii="Book Antiqua" w:hAnsi="Book Antiqua" w:cs="Arial"/>
                <w:b/>
              </w:rPr>
            </w:pPr>
            <w:r>
              <w:rPr>
                <w:rFonts w:ascii="Book Antiqua" w:hAnsi="Book Antiqua" w:cs="Arial"/>
                <w:b/>
              </w:rPr>
              <w:t xml:space="preserve"> </w:t>
            </w:r>
            <w:r w:rsidRPr="00715D43">
              <w:rPr>
                <w:rFonts w:ascii="Book Antiqua" w:hAnsi="Book Antiqua" w:cs="Arial"/>
                <w:b/>
              </w:rPr>
              <w:t>On 31 July 2018</w:t>
            </w:r>
          </w:p>
        </w:tc>
      </w:tr>
      <w:tr w:rsidR="004341A4" w14:paraId="3D9ACFA5" w14:textId="77777777" w:rsidTr="00715D43">
        <w:trPr>
          <w:trHeight w:val="280"/>
        </w:trPr>
        <w:tc>
          <w:tcPr>
            <w:tcW w:w="5921" w:type="dxa"/>
          </w:tcPr>
          <w:p w14:paraId="609AF70F" w14:textId="77777777" w:rsidR="004341A4" w:rsidRDefault="004341A4">
            <w:pPr>
              <w:jc w:val="both"/>
              <w:rPr>
                <w:rFonts w:ascii="Book Antiqua" w:hAnsi="Book Antiqua" w:cs="Arial"/>
                <w:b/>
              </w:rPr>
            </w:pPr>
          </w:p>
        </w:tc>
        <w:tc>
          <w:tcPr>
            <w:tcW w:w="4022" w:type="dxa"/>
          </w:tcPr>
          <w:p w14:paraId="3404F795" w14:textId="77777777" w:rsidR="004341A4" w:rsidRDefault="004341A4">
            <w:pPr>
              <w:jc w:val="both"/>
              <w:rPr>
                <w:rFonts w:ascii="Book Antiqua" w:hAnsi="Book Antiqua" w:cs="Arial"/>
                <w:b/>
              </w:rPr>
            </w:pPr>
          </w:p>
        </w:tc>
      </w:tr>
    </w:tbl>
    <w:p w14:paraId="2284C08D" w14:textId="77777777" w:rsidR="004341A4" w:rsidRDefault="004341A4">
      <w:pPr>
        <w:jc w:val="center"/>
        <w:rPr>
          <w:rFonts w:ascii="Book Antiqua" w:hAnsi="Book Antiqua" w:cs="Arial"/>
        </w:rPr>
      </w:pPr>
    </w:p>
    <w:p w14:paraId="59DBA3FC" w14:textId="77777777" w:rsidR="004341A4" w:rsidRDefault="004341A4">
      <w:pPr>
        <w:jc w:val="center"/>
        <w:rPr>
          <w:rFonts w:ascii="Book Antiqua" w:hAnsi="Book Antiqua" w:cs="Arial"/>
          <w:b/>
        </w:rPr>
      </w:pPr>
      <w:r>
        <w:rPr>
          <w:rFonts w:ascii="Book Antiqua" w:hAnsi="Book Antiqua" w:cs="Arial"/>
          <w:b/>
        </w:rPr>
        <w:t>Before</w:t>
      </w:r>
    </w:p>
    <w:p w14:paraId="5A2ECE51" w14:textId="77777777" w:rsidR="004341A4" w:rsidRDefault="004341A4">
      <w:pPr>
        <w:jc w:val="center"/>
        <w:rPr>
          <w:rFonts w:ascii="Book Antiqua" w:hAnsi="Book Antiqua" w:cs="Arial"/>
          <w:b/>
        </w:rPr>
      </w:pPr>
    </w:p>
    <w:p w14:paraId="50ADD61D" w14:textId="77777777" w:rsidR="004341A4" w:rsidRDefault="004341A4">
      <w:pPr>
        <w:jc w:val="center"/>
        <w:rPr>
          <w:rFonts w:ascii="Book Antiqua" w:hAnsi="Book Antiqua" w:cs="Arial"/>
          <w:b/>
        </w:rPr>
      </w:pPr>
      <w:r>
        <w:rPr>
          <w:rFonts w:ascii="Book Antiqua" w:hAnsi="Book Antiqua" w:cs="Arial"/>
          <w:b/>
        </w:rPr>
        <w:t>DEPUTY UPPER TRIBUNAL JUDGE MONSON</w:t>
      </w:r>
    </w:p>
    <w:p w14:paraId="37FBE476" w14:textId="77777777" w:rsidR="004341A4" w:rsidRDefault="004341A4">
      <w:pPr>
        <w:jc w:val="center"/>
        <w:rPr>
          <w:rFonts w:ascii="Book Antiqua" w:hAnsi="Book Antiqua" w:cs="Arial"/>
          <w:b/>
        </w:rPr>
      </w:pPr>
    </w:p>
    <w:p w14:paraId="288B04DC" w14:textId="77777777" w:rsidR="00135EE8" w:rsidRDefault="00135EE8">
      <w:pPr>
        <w:jc w:val="center"/>
        <w:rPr>
          <w:rFonts w:ascii="Book Antiqua" w:hAnsi="Book Antiqua" w:cs="Arial"/>
          <w:b/>
        </w:rPr>
      </w:pPr>
    </w:p>
    <w:p w14:paraId="5578591C" w14:textId="0B0DB951" w:rsidR="004341A4" w:rsidRDefault="004341A4">
      <w:pPr>
        <w:jc w:val="center"/>
        <w:rPr>
          <w:rFonts w:ascii="Book Antiqua" w:hAnsi="Book Antiqua" w:cs="Arial"/>
          <w:b/>
        </w:rPr>
      </w:pPr>
      <w:r>
        <w:rPr>
          <w:rFonts w:ascii="Book Antiqua" w:hAnsi="Book Antiqua" w:cs="Arial"/>
          <w:b/>
        </w:rPr>
        <w:t>Between</w:t>
      </w:r>
    </w:p>
    <w:p w14:paraId="04FF63A3" w14:textId="77777777" w:rsidR="004341A4" w:rsidRDefault="004341A4">
      <w:pPr>
        <w:jc w:val="center"/>
        <w:rPr>
          <w:rFonts w:ascii="Book Antiqua" w:hAnsi="Book Antiqua" w:cs="Arial"/>
          <w:b/>
        </w:rPr>
      </w:pPr>
    </w:p>
    <w:p w14:paraId="549E1D3C" w14:textId="77777777" w:rsidR="004341A4" w:rsidRDefault="004341A4">
      <w:pPr>
        <w:jc w:val="center"/>
        <w:rPr>
          <w:rFonts w:ascii="Book Antiqua" w:hAnsi="Book Antiqua" w:cs="Arial"/>
          <w:b/>
          <w:caps/>
        </w:rPr>
      </w:pPr>
      <w:r>
        <w:rPr>
          <w:rFonts w:ascii="Book Antiqua" w:hAnsi="Book Antiqua" w:cs="Arial"/>
          <w:b/>
        </w:rPr>
        <w:t>C</w:t>
      </w:r>
      <w:r>
        <w:rPr>
          <w:rFonts w:ascii="Book Antiqua" w:hAnsi="Book Antiqua" w:cs="Arial"/>
          <w:b/>
          <w:caps/>
        </w:rPr>
        <w:t>t (trinidad and tobago)</w:t>
      </w:r>
    </w:p>
    <w:p w14:paraId="50D46967" w14:textId="77777777" w:rsidR="004341A4" w:rsidRPr="00135EE8" w:rsidRDefault="004341A4">
      <w:pPr>
        <w:jc w:val="center"/>
        <w:rPr>
          <w:rFonts w:ascii="Book Antiqua" w:hAnsi="Book Antiqua" w:cs="Arial"/>
          <w:b/>
          <w:caps/>
          <w:sz w:val="22"/>
        </w:rPr>
      </w:pPr>
      <w:r w:rsidRPr="00135EE8">
        <w:rPr>
          <w:rFonts w:ascii="Book Antiqua" w:hAnsi="Book Antiqua" w:cs="Arial"/>
          <w:b/>
          <w:caps/>
          <w:sz w:val="22"/>
        </w:rPr>
        <w:t>(anonymity direction MADE)</w:t>
      </w:r>
    </w:p>
    <w:p w14:paraId="7FDC6FC1" w14:textId="77777777" w:rsidR="004341A4" w:rsidRDefault="004341A4">
      <w:pPr>
        <w:jc w:val="right"/>
        <w:rPr>
          <w:rFonts w:ascii="Book Antiqua" w:hAnsi="Book Antiqua" w:cs="Arial"/>
          <w:u w:val="single"/>
        </w:rPr>
      </w:pPr>
      <w:r>
        <w:rPr>
          <w:rFonts w:ascii="Book Antiqua" w:hAnsi="Book Antiqua" w:cs="Arial"/>
          <w:u w:val="single"/>
        </w:rPr>
        <w:t>Appellant</w:t>
      </w:r>
    </w:p>
    <w:p w14:paraId="220C1EA9" w14:textId="77777777" w:rsidR="004341A4" w:rsidRDefault="004341A4">
      <w:pPr>
        <w:jc w:val="center"/>
        <w:rPr>
          <w:rFonts w:ascii="Book Antiqua" w:hAnsi="Book Antiqua" w:cs="Arial"/>
          <w:b/>
        </w:rPr>
      </w:pPr>
      <w:r>
        <w:rPr>
          <w:rFonts w:ascii="Book Antiqua" w:hAnsi="Book Antiqua" w:cs="Arial"/>
          <w:b/>
        </w:rPr>
        <w:t>and</w:t>
      </w:r>
    </w:p>
    <w:p w14:paraId="4600F6B0" w14:textId="77777777" w:rsidR="004341A4" w:rsidRDefault="004341A4">
      <w:pPr>
        <w:jc w:val="center"/>
        <w:rPr>
          <w:rFonts w:ascii="Book Antiqua" w:hAnsi="Book Antiqua" w:cs="Arial"/>
          <w:b/>
        </w:rPr>
      </w:pPr>
    </w:p>
    <w:p w14:paraId="2E0487BE" w14:textId="77777777" w:rsidR="004341A4" w:rsidRDefault="004341A4">
      <w:pPr>
        <w:jc w:val="center"/>
        <w:rPr>
          <w:rFonts w:ascii="Book Antiqua" w:hAnsi="Book Antiqua" w:cs="Arial"/>
          <w:b/>
          <w:caps/>
        </w:rPr>
      </w:pPr>
      <w:bookmarkStart w:id="1" w:name="_Hlk520792342"/>
      <w:r>
        <w:rPr>
          <w:rFonts w:ascii="Book Antiqua" w:hAnsi="Book Antiqua" w:cs="Arial"/>
          <w:b/>
        </w:rPr>
        <w:t>S</w:t>
      </w:r>
      <w:r>
        <w:rPr>
          <w:rFonts w:ascii="Book Antiqua" w:hAnsi="Book Antiqua" w:cs="Arial"/>
          <w:b/>
          <w:caps/>
        </w:rPr>
        <w:t>ecretary of state for the home department</w:t>
      </w:r>
      <w:bookmarkEnd w:id="1"/>
      <w:r>
        <w:rPr>
          <w:rFonts w:ascii="Book Antiqua" w:hAnsi="Book Antiqua" w:cs="Arial"/>
          <w:b/>
        </w:rPr>
        <w:t xml:space="preserve"> </w:t>
      </w:r>
    </w:p>
    <w:p w14:paraId="7ED85AA3" w14:textId="77777777" w:rsidR="004341A4" w:rsidRDefault="004341A4">
      <w:pPr>
        <w:jc w:val="right"/>
        <w:rPr>
          <w:rFonts w:ascii="Book Antiqua" w:hAnsi="Book Antiqua" w:cs="Arial"/>
          <w:u w:val="single"/>
        </w:rPr>
      </w:pPr>
      <w:r>
        <w:rPr>
          <w:rFonts w:ascii="Book Antiqua" w:hAnsi="Book Antiqua" w:cs="Arial"/>
          <w:u w:val="single"/>
        </w:rPr>
        <w:t>Respondent</w:t>
      </w:r>
    </w:p>
    <w:p w14:paraId="4D1A1E84" w14:textId="2CDC0AB4" w:rsidR="004341A4" w:rsidRDefault="004341A4">
      <w:pPr>
        <w:rPr>
          <w:rFonts w:ascii="Book Antiqua" w:hAnsi="Book Antiqua" w:cs="Arial"/>
          <w:u w:val="single"/>
        </w:rPr>
      </w:pPr>
    </w:p>
    <w:p w14:paraId="109355C3" w14:textId="77777777" w:rsidR="00CA1DBA" w:rsidRDefault="00CA1DBA">
      <w:pPr>
        <w:rPr>
          <w:rFonts w:ascii="Book Antiqua" w:hAnsi="Book Antiqua" w:cs="Arial"/>
          <w:u w:val="single"/>
        </w:rPr>
      </w:pPr>
    </w:p>
    <w:p w14:paraId="7E119F2B" w14:textId="77777777" w:rsidR="004341A4" w:rsidRDefault="004341A4">
      <w:pPr>
        <w:rPr>
          <w:rFonts w:ascii="Book Antiqua" w:hAnsi="Book Antiqua" w:cs="Arial"/>
        </w:rPr>
      </w:pPr>
      <w:r>
        <w:rPr>
          <w:rFonts w:ascii="Book Antiqua" w:hAnsi="Book Antiqua" w:cs="Arial"/>
          <w:b/>
          <w:u w:val="single"/>
        </w:rPr>
        <w:t>Representation</w:t>
      </w:r>
      <w:r>
        <w:rPr>
          <w:rFonts w:ascii="Book Antiqua" w:hAnsi="Book Antiqua" w:cs="Arial"/>
          <w:b/>
        </w:rPr>
        <w:t>:</w:t>
      </w:r>
    </w:p>
    <w:p w14:paraId="701F184B" w14:textId="77777777" w:rsidR="004341A4" w:rsidRDefault="004341A4">
      <w:pPr>
        <w:tabs>
          <w:tab w:val="left" w:pos="2520"/>
        </w:tabs>
        <w:rPr>
          <w:rFonts w:ascii="Book Antiqua" w:hAnsi="Book Antiqua" w:cs="Arial"/>
        </w:rPr>
      </w:pPr>
      <w:r>
        <w:rPr>
          <w:rFonts w:ascii="Book Antiqua" w:hAnsi="Book Antiqua" w:cs="Arial"/>
        </w:rPr>
        <w:t>For the Appellant:</w:t>
      </w:r>
      <w:r>
        <w:rPr>
          <w:rFonts w:ascii="Book Antiqua" w:hAnsi="Book Antiqua" w:cs="Arial"/>
        </w:rPr>
        <w:tab/>
        <w:t xml:space="preserve">Mr P Okoro, Legal Representative, </w:t>
      </w:r>
      <w:proofErr w:type="spellStart"/>
      <w:r>
        <w:rPr>
          <w:rFonts w:ascii="Book Antiqua" w:hAnsi="Book Antiqua" w:cs="Arial"/>
        </w:rPr>
        <w:t>Shaka</w:t>
      </w:r>
      <w:proofErr w:type="spellEnd"/>
      <w:r>
        <w:rPr>
          <w:rFonts w:ascii="Book Antiqua" w:hAnsi="Book Antiqua" w:cs="Arial"/>
        </w:rPr>
        <w:t xml:space="preserve"> Services</w:t>
      </w:r>
    </w:p>
    <w:p w14:paraId="73F3F991" w14:textId="77777777" w:rsidR="004341A4" w:rsidRDefault="004341A4">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 xml:space="preserve">Mr L </w:t>
      </w:r>
      <w:proofErr w:type="spellStart"/>
      <w:r>
        <w:rPr>
          <w:rFonts w:ascii="Book Antiqua" w:hAnsi="Book Antiqua" w:cs="Arial"/>
        </w:rPr>
        <w:t>Tarlow</w:t>
      </w:r>
      <w:proofErr w:type="spellEnd"/>
      <w:r>
        <w:rPr>
          <w:rFonts w:ascii="Book Antiqua" w:hAnsi="Book Antiqua" w:cs="Arial"/>
        </w:rPr>
        <w:t>, Senior Home Office Presenting Officer</w:t>
      </w:r>
    </w:p>
    <w:p w14:paraId="71BA277C" w14:textId="77777777" w:rsidR="004341A4" w:rsidRDefault="004341A4">
      <w:pPr>
        <w:tabs>
          <w:tab w:val="left" w:pos="2520"/>
        </w:tabs>
        <w:jc w:val="center"/>
        <w:rPr>
          <w:rFonts w:ascii="Book Antiqua" w:hAnsi="Book Antiqua" w:cs="Arial"/>
        </w:rPr>
      </w:pPr>
    </w:p>
    <w:p w14:paraId="0D89AAF9" w14:textId="77777777" w:rsidR="004341A4" w:rsidRDefault="004341A4">
      <w:pPr>
        <w:tabs>
          <w:tab w:val="left" w:pos="2520"/>
        </w:tabs>
        <w:jc w:val="center"/>
        <w:rPr>
          <w:rFonts w:ascii="Book Antiqua" w:hAnsi="Book Antiqua" w:cs="Arial"/>
        </w:rPr>
      </w:pPr>
    </w:p>
    <w:p w14:paraId="7570CDB9" w14:textId="77777777" w:rsidR="004341A4" w:rsidRDefault="004341A4">
      <w:pPr>
        <w:tabs>
          <w:tab w:val="left" w:pos="2520"/>
        </w:tabs>
        <w:jc w:val="center"/>
        <w:rPr>
          <w:rFonts w:ascii="Book Antiqua" w:hAnsi="Book Antiqua" w:cs="Arial"/>
        </w:rPr>
      </w:pPr>
      <w:r>
        <w:rPr>
          <w:rFonts w:ascii="Book Antiqua" w:hAnsi="Book Antiqua" w:cs="Arial"/>
          <w:b/>
          <w:u w:val="single"/>
        </w:rPr>
        <w:t>DECISION AND REASONS</w:t>
      </w:r>
    </w:p>
    <w:p w14:paraId="726D6D4D"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The appellant appeals on procedural fairness grounds from the decision of the First-tier Tribunal (Judge Moore sitting at Taylo</w:t>
      </w:r>
      <w:r w:rsidR="00665436">
        <w:rPr>
          <w:rFonts w:ascii="Book Antiqua" w:hAnsi="Book Antiqua" w:cs="Arial"/>
        </w:rPr>
        <w:t>r House on 10 April 2018) whereby the First-tier Tribunal Judge refused</w:t>
      </w:r>
      <w:r>
        <w:rPr>
          <w:rFonts w:ascii="Book Antiqua" w:hAnsi="Book Antiqua" w:cs="Arial"/>
        </w:rPr>
        <w:t xml:space="preserve"> an application at the hearing for an adjournment to “</w:t>
      </w:r>
      <w:r>
        <w:rPr>
          <w:rFonts w:ascii="Book Antiqua" w:hAnsi="Book Antiqua" w:cs="Arial"/>
          <w:i/>
          <w:iCs/>
        </w:rPr>
        <w:t>obtain full medical detail</w:t>
      </w:r>
      <w:r w:rsidR="00665436">
        <w:rPr>
          <w:rFonts w:ascii="Book Antiqua" w:hAnsi="Book Antiqua" w:cs="Arial"/>
          <w:i/>
          <w:iCs/>
        </w:rPr>
        <w:t>s in relation to the appellant”</w:t>
      </w:r>
      <w:r w:rsidR="00665436">
        <w:rPr>
          <w:rFonts w:ascii="Book Antiqua" w:hAnsi="Book Antiqua" w:cs="Arial"/>
          <w:iCs/>
        </w:rPr>
        <w:t xml:space="preserve">, and went on to dismiss his appeal on the merits. </w:t>
      </w:r>
      <w:r>
        <w:rPr>
          <w:rFonts w:ascii="Book Antiqua" w:hAnsi="Book Antiqua" w:cs="Arial"/>
        </w:rPr>
        <w:t>In support of the contention that the Judge’s refusal to grant an adjournment was wrong and unfair, the appellant</w:t>
      </w:r>
      <w:r w:rsidR="00665436">
        <w:rPr>
          <w:rFonts w:ascii="Book Antiqua" w:hAnsi="Book Antiqua" w:cs="Arial"/>
        </w:rPr>
        <w:t>’s representatives</w:t>
      </w:r>
      <w:r>
        <w:rPr>
          <w:rFonts w:ascii="Book Antiqua" w:hAnsi="Book Antiqua" w:cs="Arial"/>
        </w:rPr>
        <w:t xml:space="preserve"> </w:t>
      </w:r>
      <w:r w:rsidR="00665436">
        <w:rPr>
          <w:rFonts w:ascii="Book Antiqua" w:hAnsi="Book Antiqua" w:cs="Arial"/>
        </w:rPr>
        <w:t xml:space="preserve">have served </w:t>
      </w:r>
      <w:r>
        <w:rPr>
          <w:rFonts w:ascii="Book Antiqua" w:hAnsi="Book Antiqua" w:cs="Arial"/>
        </w:rPr>
        <w:t>a</w:t>
      </w:r>
      <w:r w:rsidR="00665436">
        <w:rPr>
          <w:rFonts w:ascii="Book Antiqua" w:hAnsi="Book Antiqua" w:cs="Arial"/>
        </w:rPr>
        <w:t xml:space="preserve"> supplementary</w:t>
      </w:r>
      <w:r>
        <w:rPr>
          <w:rFonts w:ascii="Book Antiqua" w:hAnsi="Book Antiqua" w:cs="Arial"/>
        </w:rPr>
        <w:t xml:space="preserve"> report from a consultant psychiatrist, Dr Louise Guest, which was obtained after t</w:t>
      </w:r>
      <w:r w:rsidR="00665436">
        <w:rPr>
          <w:rFonts w:ascii="Book Antiqua" w:hAnsi="Book Antiqua" w:cs="Arial"/>
        </w:rPr>
        <w:t>he Judge’s decision dismissing the appeal was</w:t>
      </w:r>
      <w:r>
        <w:rPr>
          <w:rFonts w:ascii="Book Antiqua" w:hAnsi="Book Antiqua" w:cs="Arial"/>
        </w:rPr>
        <w:t xml:space="preserve"> promulgated.</w:t>
      </w:r>
    </w:p>
    <w:p w14:paraId="6B072618" w14:textId="77777777" w:rsidR="004341A4" w:rsidRDefault="004341A4" w:rsidP="00135EE8">
      <w:pPr>
        <w:spacing w:before="160"/>
        <w:jc w:val="both"/>
        <w:rPr>
          <w:rFonts w:ascii="Book Antiqua" w:hAnsi="Book Antiqua" w:cs="Arial"/>
          <w:b/>
          <w:bCs/>
          <w:u w:val="single"/>
        </w:rPr>
      </w:pPr>
      <w:r>
        <w:rPr>
          <w:rFonts w:ascii="Book Antiqua" w:hAnsi="Book Antiqua" w:cs="Arial"/>
          <w:b/>
          <w:bCs/>
          <w:u w:val="single"/>
        </w:rPr>
        <w:lastRenderedPageBreak/>
        <w:t>The Reasons for the Grant of Permission to Appeal</w:t>
      </w:r>
    </w:p>
    <w:p w14:paraId="0C4D6221"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On 10 May 2018 First-tier Tribunal Judge JM Holmes granted permission to appeal for the following reasons: “</w:t>
      </w:r>
      <w:r>
        <w:rPr>
          <w:rFonts w:ascii="Book Antiqua" w:hAnsi="Book Antiqua" w:cs="Arial"/>
          <w:i/>
          <w:iCs/>
        </w:rPr>
        <w:t>Although the failure to obtain this evidence until after the hearing is unexplained, it is argued that in the light of Dr Guest’s opinion of 20 April 2018, that unknown to the Judge at the hearing, the appellant was so unwell that he was unfit to give evidence or instructions to his lawyers.  In the circumstances it is arguable that the Tribunal unwittingly erred in law, depriving the appellant of a fair hearing.”</w:t>
      </w:r>
    </w:p>
    <w:p w14:paraId="0FBA45C3" w14:textId="77777777" w:rsidR="004341A4" w:rsidRDefault="004341A4" w:rsidP="00135EE8">
      <w:pPr>
        <w:spacing w:before="160"/>
        <w:jc w:val="both"/>
        <w:rPr>
          <w:rFonts w:ascii="Book Antiqua" w:hAnsi="Book Antiqua" w:cs="Arial"/>
          <w:b/>
          <w:bCs/>
          <w:u w:val="single"/>
        </w:rPr>
      </w:pPr>
      <w:r>
        <w:rPr>
          <w:rFonts w:ascii="Book Antiqua" w:hAnsi="Book Antiqua" w:cs="Arial"/>
          <w:b/>
          <w:bCs/>
          <w:u w:val="single"/>
        </w:rPr>
        <w:t>The Rule 24 Response</w:t>
      </w:r>
    </w:p>
    <w:p w14:paraId="7812FF09"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 xml:space="preserve">On 25 May 2018 Stefan </w:t>
      </w:r>
      <w:proofErr w:type="spellStart"/>
      <w:r>
        <w:rPr>
          <w:rFonts w:ascii="Book Antiqua" w:hAnsi="Book Antiqua" w:cs="Arial"/>
        </w:rPr>
        <w:t>Kotas</w:t>
      </w:r>
      <w:proofErr w:type="spellEnd"/>
      <w:r>
        <w:rPr>
          <w:rFonts w:ascii="Book Antiqua" w:hAnsi="Book Antiqua" w:cs="Arial"/>
        </w:rPr>
        <w:t xml:space="preserve"> of the Specialist Appeals Team settled the Rule 24 Resp</w:t>
      </w:r>
      <w:r w:rsidR="00665436">
        <w:rPr>
          <w:rFonts w:ascii="Book Antiqua" w:hAnsi="Book Antiqua" w:cs="Arial"/>
        </w:rPr>
        <w:t>onse opposing the appeal.  He</w:t>
      </w:r>
      <w:r>
        <w:rPr>
          <w:rFonts w:ascii="Book Antiqua" w:hAnsi="Book Antiqua" w:cs="Arial"/>
        </w:rPr>
        <w:t xml:space="preserve"> submitted that the Judge of the First-tier Tribunal directed himself appropriately.  The Judge gave careful consideration to the adjournment request at paragraphs </w:t>
      </w:r>
      <w:r w:rsidR="00665436">
        <w:rPr>
          <w:rFonts w:ascii="Book Antiqua" w:hAnsi="Book Antiqua" w:cs="Arial"/>
        </w:rPr>
        <w:t>[</w:t>
      </w:r>
      <w:r>
        <w:rPr>
          <w:rFonts w:ascii="Book Antiqua" w:hAnsi="Book Antiqua" w:cs="Arial"/>
        </w:rPr>
        <w:t>7</w:t>
      </w:r>
      <w:r w:rsidR="00665436">
        <w:rPr>
          <w:rFonts w:ascii="Book Antiqua" w:hAnsi="Book Antiqua" w:cs="Arial"/>
        </w:rPr>
        <w:t>]</w:t>
      </w:r>
      <w:proofErr w:type="gramStart"/>
      <w:r>
        <w:rPr>
          <w:rFonts w:ascii="Book Antiqua" w:hAnsi="Book Antiqua" w:cs="Arial"/>
        </w:rPr>
        <w:t>-</w:t>
      </w:r>
      <w:r w:rsidR="00665436">
        <w:rPr>
          <w:rFonts w:ascii="Book Antiqua" w:hAnsi="Book Antiqua" w:cs="Arial"/>
        </w:rPr>
        <w:t>[</w:t>
      </w:r>
      <w:proofErr w:type="gramEnd"/>
      <w:r>
        <w:rPr>
          <w:rFonts w:ascii="Book Antiqua" w:hAnsi="Book Antiqua" w:cs="Arial"/>
        </w:rPr>
        <w:t>9</w:t>
      </w:r>
      <w:r w:rsidR="00665436">
        <w:rPr>
          <w:rFonts w:ascii="Book Antiqua" w:hAnsi="Book Antiqua" w:cs="Arial"/>
        </w:rPr>
        <w:t>]</w:t>
      </w:r>
      <w:r>
        <w:rPr>
          <w:rFonts w:ascii="Book Antiqua" w:hAnsi="Book Antiqua" w:cs="Arial"/>
        </w:rPr>
        <w:t xml:space="preserve"> of his determination.  In any </w:t>
      </w:r>
      <w:r w:rsidR="00665436">
        <w:rPr>
          <w:rFonts w:ascii="Book Antiqua" w:hAnsi="Book Antiqua" w:cs="Arial"/>
        </w:rPr>
        <w:t>event it was</w:t>
      </w:r>
      <w:r>
        <w:rPr>
          <w:rFonts w:ascii="Book Antiqua" w:hAnsi="Book Antiqua" w:cs="Arial"/>
        </w:rPr>
        <w:t xml:space="preserve"> questionable what the value was of adjourning, given that the evidence adduced post-hearing in the report </w:t>
      </w:r>
      <w:r w:rsidR="00665436">
        <w:rPr>
          <w:rFonts w:ascii="Book Antiqua" w:hAnsi="Book Antiqua" w:cs="Arial"/>
        </w:rPr>
        <w:t>of 20 April 2018 clearly revealed that the appellant was</w:t>
      </w:r>
      <w:r>
        <w:rPr>
          <w:rFonts w:ascii="Book Antiqua" w:hAnsi="Book Antiqua" w:cs="Arial"/>
        </w:rPr>
        <w:t xml:space="preserve"> not fit to give evidence in any event.</w:t>
      </w:r>
    </w:p>
    <w:p w14:paraId="0BCEFB20"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As to an</w:t>
      </w:r>
      <w:r w:rsidR="00665436">
        <w:rPr>
          <w:rFonts w:ascii="Book Antiqua" w:hAnsi="Book Antiqua" w:cs="Arial"/>
        </w:rPr>
        <w:t>y suggestion that the appellant</w:t>
      </w:r>
      <w:r>
        <w:rPr>
          <w:rFonts w:ascii="Book Antiqua" w:hAnsi="Book Antiqua" w:cs="Arial"/>
        </w:rPr>
        <w:t xml:space="preserve"> wish</w:t>
      </w:r>
      <w:r w:rsidR="00665436">
        <w:rPr>
          <w:rFonts w:ascii="Book Antiqua" w:hAnsi="Book Antiqua" w:cs="Arial"/>
        </w:rPr>
        <w:t>ed</w:t>
      </w:r>
      <w:r>
        <w:rPr>
          <w:rFonts w:ascii="Book Antiqua" w:hAnsi="Book Antiqua" w:cs="Arial"/>
        </w:rPr>
        <w:t xml:space="preserve"> to pursue an Article 3/8 medical claim, given that this was not raised in the groun</w:t>
      </w:r>
      <w:r w:rsidR="00665436">
        <w:rPr>
          <w:rFonts w:ascii="Book Antiqua" w:hAnsi="Book Antiqua" w:cs="Arial"/>
        </w:rPr>
        <w:t>ds of appeal, and given that no</w:t>
      </w:r>
      <w:r>
        <w:rPr>
          <w:rFonts w:ascii="Book Antiqua" w:hAnsi="Book Antiqua" w:cs="Arial"/>
        </w:rPr>
        <w:t xml:space="preserve"> application was made to amend the grounds, such an argument shou</w:t>
      </w:r>
      <w:r w:rsidR="00665436">
        <w:rPr>
          <w:rFonts w:ascii="Book Antiqua" w:hAnsi="Book Antiqua" w:cs="Arial"/>
        </w:rPr>
        <w:t>ld be given no weight.  There was</w:t>
      </w:r>
      <w:r>
        <w:rPr>
          <w:rFonts w:ascii="Book Antiqua" w:hAnsi="Book Antiqua" w:cs="Arial"/>
        </w:rPr>
        <w:t xml:space="preserve"> medical evidence before the </w:t>
      </w:r>
      <w:r w:rsidR="00665436">
        <w:rPr>
          <w:rFonts w:ascii="Book Antiqua" w:hAnsi="Book Antiqua" w:cs="Arial"/>
        </w:rPr>
        <w:t xml:space="preserve">First-tier </w:t>
      </w:r>
      <w:r>
        <w:rPr>
          <w:rFonts w:ascii="Book Antiqua" w:hAnsi="Book Antiqua" w:cs="Arial"/>
        </w:rPr>
        <w:t>Tribunal and it was clearly open to the representatives to make such an application prior to the hearing in the First-tier Tribunal.  Finally, any such argument would arguably constitute a “</w:t>
      </w:r>
      <w:r>
        <w:rPr>
          <w:rFonts w:ascii="Book Antiqua" w:hAnsi="Book Antiqua" w:cs="Arial"/>
          <w:i/>
          <w:iCs/>
        </w:rPr>
        <w:t xml:space="preserve">new matter” </w:t>
      </w:r>
      <w:r>
        <w:rPr>
          <w:rFonts w:ascii="Book Antiqua" w:hAnsi="Book Antiqua" w:cs="Arial"/>
        </w:rPr>
        <w:t xml:space="preserve">under section 85 of the NIAA 2002, and </w:t>
      </w:r>
      <w:r w:rsidR="00665436">
        <w:rPr>
          <w:rFonts w:ascii="Book Antiqua" w:hAnsi="Book Antiqua" w:cs="Arial"/>
        </w:rPr>
        <w:t xml:space="preserve">it </w:t>
      </w:r>
      <w:r>
        <w:rPr>
          <w:rFonts w:ascii="Book Antiqua" w:hAnsi="Book Antiqua" w:cs="Arial"/>
        </w:rPr>
        <w:t>could not have been consider</w:t>
      </w:r>
      <w:r w:rsidR="00665436">
        <w:rPr>
          <w:rFonts w:ascii="Book Antiqua" w:hAnsi="Book Antiqua" w:cs="Arial"/>
        </w:rPr>
        <w:t>ed by the</w:t>
      </w:r>
      <w:r>
        <w:rPr>
          <w:rFonts w:ascii="Book Antiqua" w:hAnsi="Book Antiqua" w:cs="Arial"/>
        </w:rPr>
        <w:t xml:space="preserve"> Tribunal without the consent of the Secretary of State, he </w:t>
      </w:r>
      <w:proofErr w:type="gramStart"/>
      <w:r>
        <w:rPr>
          <w:rFonts w:ascii="Book Antiqua" w:hAnsi="Book Antiqua" w:cs="Arial"/>
        </w:rPr>
        <w:t>having</w:t>
      </w:r>
      <w:proofErr w:type="gramEnd"/>
      <w:r>
        <w:rPr>
          <w:rFonts w:ascii="Book Antiqua" w:hAnsi="Book Antiqua" w:cs="Arial"/>
        </w:rPr>
        <w:t xml:space="preserve"> not previously considered the matter.</w:t>
      </w:r>
    </w:p>
    <w:p w14:paraId="1E84C209" w14:textId="77777777" w:rsidR="004341A4" w:rsidRDefault="004341A4" w:rsidP="00135EE8">
      <w:pPr>
        <w:spacing w:before="160"/>
        <w:jc w:val="both"/>
        <w:rPr>
          <w:rFonts w:ascii="Book Antiqua" w:hAnsi="Book Antiqua" w:cs="Arial"/>
          <w:b/>
          <w:bCs/>
          <w:u w:val="single"/>
        </w:rPr>
      </w:pPr>
      <w:r>
        <w:rPr>
          <w:rFonts w:ascii="Book Antiqua" w:hAnsi="Book Antiqua" w:cs="Arial"/>
          <w:b/>
          <w:bCs/>
          <w:u w:val="single"/>
        </w:rPr>
        <w:t>The Hearing in the Upper Tribunal</w:t>
      </w:r>
    </w:p>
    <w:p w14:paraId="66148AB7"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 xml:space="preserve">At the hearing before me to determine whether an error of law was made out, I reviewed the evidence that had been placed before the First-tier Tribunal and also the </w:t>
      </w:r>
      <w:r w:rsidR="00665436">
        <w:rPr>
          <w:rFonts w:ascii="Book Antiqua" w:hAnsi="Book Antiqua" w:cs="Arial"/>
        </w:rPr>
        <w:t xml:space="preserve">supplementary </w:t>
      </w:r>
      <w:r>
        <w:rPr>
          <w:rFonts w:ascii="Book Antiqua" w:hAnsi="Book Antiqua" w:cs="Arial"/>
        </w:rPr>
        <w:t>report of Dr Guest dated 20 April 2018.</w:t>
      </w:r>
    </w:p>
    <w:p w14:paraId="3D1A7834"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Mr Okoro, who has acted f</w:t>
      </w:r>
      <w:r w:rsidR="00665436">
        <w:rPr>
          <w:rFonts w:ascii="Book Antiqua" w:hAnsi="Book Antiqua" w:cs="Arial"/>
        </w:rPr>
        <w:t xml:space="preserve">or the appellant throughout </w:t>
      </w:r>
      <w:r>
        <w:rPr>
          <w:rFonts w:ascii="Book Antiqua" w:hAnsi="Book Antiqua" w:cs="Arial"/>
        </w:rPr>
        <w:t>the appeal proceedings, and who appeared before Judge Moore, developed the arguments advanced in the grounds of appeal to the Upper Tribunal.  In essence, his argument was two-fold.  Firstly, he submitted that the appellant had been deprived of a fair hearing of his asylum clai</w:t>
      </w:r>
      <w:r w:rsidR="00665436">
        <w:rPr>
          <w:rFonts w:ascii="Book Antiqua" w:hAnsi="Book Antiqua" w:cs="Arial"/>
        </w:rPr>
        <w:t>m in the First-tier Tribunal, because</w:t>
      </w:r>
      <w:r>
        <w:rPr>
          <w:rFonts w:ascii="Book Antiqua" w:hAnsi="Book Antiqua" w:cs="Arial"/>
        </w:rPr>
        <w:t xml:space="preserve"> he had been denied the opportunity to be cross-examined by a Presenting Officer on his claim that he had a well-</w:t>
      </w:r>
      <w:r w:rsidR="00665436">
        <w:rPr>
          <w:rFonts w:ascii="Book Antiqua" w:hAnsi="Book Antiqua" w:cs="Arial"/>
        </w:rPr>
        <w:t xml:space="preserve">founded fear of persecution </w:t>
      </w:r>
      <w:r>
        <w:rPr>
          <w:rFonts w:ascii="Book Antiqua" w:hAnsi="Book Antiqua" w:cs="Arial"/>
        </w:rPr>
        <w:t xml:space="preserve">in his home country at the hands of his aunt or </w:t>
      </w:r>
      <w:r w:rsidR="00665436">
        <w:rPr>
          <w:rFonts w:ascii="Book Antiqua" w:hAnsi="Book Antiqua" w:cs="Arial"/>
        </w:rPr>
        <w:t xml:space="preserve">his </w:t>
      </w:r>
      <w:r>
        <w:rPr>
          <w:rFonts w:ascii="Book Antiqua" w:hAnsi="Book Antiqua" w:cs="Arial"/>
        </w:rPr>
        <w:t>uncle or</w:t>
      </w:r>
      <w:r w:rsidR="00665436">
        <w:rPr>
          <w:rFonts w:ascii="Book Antiqua" w:hAnsi="Book Antiqua" w:cs="Arial"/>
        </w:rPr>
        <w:t xml:space="preserve"> his</w:t>
      </w:r>
      <w:r>
        <w:rPr>
          <w:rFonts w:ascii="Book Antiqua" w:hAnsi="Book Antiqua" w:cs="Arial"/>
        </w:rPr>
        <w:t xml:space="preserve"> cousins, on account of a land dispute which had first arisen in 1993.</w:t>
      </w:r>
    </w:p>
    <w:p w14:paraId="3B82480B"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Secondly, the medical evidence that had been adduced before the Judge had been solely adduced for the purpose of establishing that the appeal ought to be adjourned, and the Judge ought not to have addressed the merits of an Article 3 medical claim in</w:t>
      </w:r>
      <w:r w:rsidR="00665436">
        <w:rPr>
          <w:rFonts w:ascii="Book Antiqua" w:hAnsi="Book Antiqua" w:cs="Arial"/>
        </w:rPr>
        <w:t xml:space="preserve"> his</w:t>
      </w:r>
      <w:r>
        <w:rPr>
          <w:rFonts w:ascii="Book Antiqua" w:hAnsi="Book Antiqua" w:cs="Arial"/>
        </w:rPr>
        <w:t xml:space="preserve"> </w:t>
      </w:r>
      <w:r w:rsidR="00665436">
        <w:rPr>
          <w:rFonts w:ascii="Book Antiqua" w:hAnsi="Book Antiqua" w:cs="Arial"/>
        </w:rPr>
        <w:t xml:space="preserve">subsequent </w:t>
      </w:r>
      <w:r>
        <w:rPr>
          <w:rFonts w:ascii="Book Antiqua" w:hAnsi="Book Antiqua" w:cs="Arial"/>
        </w:rPr>
        <w:t>decision.  He was concerned that the Judge’s findings on an Article 3 medical claim would prejudice the outcome of a future claim of this nature which the Judge recognised that th</w:t>
      </w:r>
      <w:r w:rsidR="00665436">
        <w:rPr>
          <w:rFonts w:ascii="Book Antiqua" w:hAnsi="Book Antiqua" w:cs="Arial"/>
        </w:rPr>
        <w:t>e appellant might wish to bring in the future.</w:t>
      </w:r>
    </w:p>
    <w:p w14:paraId="1012B015"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lastRenderedPageBreak/>
        <w:t xml:space="preserve">On behalf of the respondent, Mr </w:t>
      </w:r>
      <w:proofErr w:type="spellStart"/>
      <w:r>
        <w:rPr>
          <w:rFonts w:ascii="Book Antiqua" w:hAnsi="Book Antiqua" w:cs="Arial"/>
        </w:rPr>
        <w:t>Tarlow</w:t>
      </w:r>
      <w:proofErr w:type="spellEnd"/>
      <w:r>
        <w:rPr>
          <w:rFonts w:ascii="Book Antiqua" w:hAnsi="Book Antiqua" w:cs="Arial"/>
        </w:rPr>
        <w:t xml:space="preserve"> adhered to the Rule 24 Response settled by his colleague.</w:t>
      </w:r>
    </w:p>
    <w:p w14:paraId="37F9C030" w14:textId="77777777" w:rsidR="004341A4" w:rsidRDefault="004341A4" w:rsidP="00135EE8">
      <w:pPr>
        <w:spacing w:before="160"/>
        <w:jc w:val="both"/>
        <w:rPr>
          <w:rFonts w:ascii="Book Antiqua" w:hAnsi="Book Antiqua" w:cs="Arial"/>
          <w:b/>
          <w:bCs/>
          <w:u w:val="single"/>
        </w:rPr>
      </w:pPr>
      <w:r>
        <w:rPr>
          <w:rFonts w:ascii="Book Antiqua" w:hAnsi="Book Antiqua" w:cs="Arial"/>
          <w:b/>
          <w:bCs/>
          <w:u w:val="single"/>
        </w:rPr>
        <w:t>Discussion</w:t>
      </w:r>
    </w:p>
    <w:p w14:paraId="034ED1E0"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The relevant background to this case is that the appel</w:t>
      </w:r>
      <w:r w:rsidR="00665436">
        <w:rPr>
          <w:rFonts w:ascii="Book Antiqua" w:hAnsi="Book Antiqua" w:cs="Arial"/>
        </w:rPr>
        <w:t>lant is a national of Trinidad and</w:t>
      </w:r>
      <w:r>
        <w:rPr>
          <w:rFonts w:ascii="Book Antiqua" w:hAnsi="Book Antiqua" w:cs="Arial"/>
        </w:rPr>
        <w:t xml:space="preserve"> Tobago, whose date of birth is 1 March 1965.  He claims to have first entered the UK as a visitor on 21 October 1994, and that </w:t>
      </w:r>
      <w:r w:rsidR="00E22F16">
        <w:rPr>
          <w:rFonts w:ascii="Book Antiqua" w:hAnsi="Book Antiqua" w:cs="Arial"/>
        </w:rPr>
        <w:t xml:space="preserve">he overstayed. He says </w:t>
      </w:r>
      <w:r>
        <w:rPr>
          <w:rFonts w:ascii="Book Antiqua" w:hAnsi="Book Antiqua" w:cs="Arial"/>
        </w:rPr>
        <w:t>he e</w:t>
      </w:r>
      <w:r w:rsidR="008966F8">
        <w:rPr>
          <w:rFonts w:ascii="Book Antiqua" w:hAnsi="Book Antiqua" w:cs="Arial"/>
        </w:rPr>
        <w:t>ventually returned to Trinidad and</w:t>
      </w:r>
      <w:r>
        <w:rPr>
          <w:rFonts w:ascii="Book Antiqua" w:hAnsi="Book Antiqua" w:cs="Arial"/>
        </w:rPr>
        <w:t xml:space="preserve"> To</w:t>
      </w:r>
      <w:r w:rsidR="00E22F16">
        <w:rPr>
          <w:rFonts w:ascii="Book Antiqua" w:hAnsi="Book Antiqua" w:cs="Arial"/>
        </w:rPr>
        <w:t>bago some time in 2003.  He says</w:t>
      </w:r>
      <w:r>
        <w:rPr>
          <w:rFonts w:ascii="Book Antiqua" w:hAnsi="Book Antiqua" w:cs="Arial"/>
        </w:rPr>
        <w:t xml:space="preserve"> that he re-entere</w:t>
      </w:r>
      <w:r w:rsidR="00E22F16">
        <w:rPr>
          <w:rFonts w:ascii="Book Antiqua" w:hAnsi="Book Antiqua" w:cs="Arial"/>
        </w:rPr>
        <w:t xml:space="preserve">d the UK as a visitor </w:t>
      </w:r>
      <w:r>
        <w:rPr>
          <w:rFonts w:ascii="Book Antiqua" w:hAnsi="Book Antiqua" w:cs="Arial"/>
        </w:rPr>
        <w:t>in May 2004, and it is not disputed by the respondent that on 21 October 2004 he applied for leave to remain as a student.  The application was successful, and he was granted leave to remain until 13 April 2005.  During the period of his student leave, the appellant claim</w:t>
      </w:r>
      <w:r w:rsidR="00E22F16">
        <w:rPr>
          <w:rFonts w:ascii="Book Antiqua" w:hAnsi="Book Antiqua" w:cs="Arial"/>
        </w:rPr>
        <w:t xml:space="preserve">s to have returned to Trinidad and Tobago for a </w:t>
      </w:r>
      <w:proofErr w:type="gramStart"/>
      <w:r w:rsidR="00E22F16">
        <w:rPr>
          <w:rFonts w:ascii="Book Antiqua" w:hAnsi="Book Antiqua" w:cs="Arial"/>
        </w:rPr>
        <w:t xml:space="preserve">six </w:t>
      </w:r>
      <w:r>
        <w:rPr>
          <w:rFonts w:ascii="Book Antiqua" w:hAnsi="Book Antiqua" w:cs="Arial"/>
        </w:rPr>
        <w:t>week</w:t>
      </w:r>
      <w:proofErr w:type="gramEnd"/>
      <w:r>
        <w:rPr>
          <w:rFonts w:ascii="Book Antiqua" w:hAnsi="Book Antiqua" w:cs="Arial"/>
        </w:rPr>
        <w:t xml:space="preserve"> </w:t>
      </w:r>
      <w:r w:rsidR="00E22F16">
        <w:rPr>
          <w:rFonts w:ascii="Book Antiqua" w:hAnsi="Book Antiqua" w:cs="Arial"/>
        </w:rPr>
        <w:t xml:space="preserve">family </w:t>
      </w:r>
      <w:r>
        <w:rPr>
          <w:rFonts w:ascii="Book Antiqua" w:hAnsi="Book Antiqua" w:cs="Arial"/>
        </w:rPr>
        <w:t>visit in May 2005.</w:t>
      </w:r>
    </w:p>
    <w:p w14:paraId="01D62917" w14:textId="77777777" w:rsidR="004341A4" w:rsidRDefault="008966F8" w:rsidP="00135EE8">
      <w:pPr>
        <w:numPr>
          <w:ilvl w:val="0"/>
          <w:numId w:val="1"/>
        </w:numPr>
        <w:spacing w:before="160"/>
        <w:jc w:val="both"/>
        <w:rPr>
          <w:rFonts w:ascii="Book Antiqua" w:hAnsi="Book Antiqua" w:cs="Arial"/>
        </w:rPr>
      </w:pPr>
      <w:r>
        <w:rPr>
          <w:rFonts w:ascii="Book Antiqua" w:hAnsi="Book Antiqua" w:cs="Arial"/>
        </w:rPr>
        <w:t>After</w:t>
      </w:r>
      <w:r w:rsidR="004341A4">
        <w:rPr>
          <w:rFonts w:ascii="Book Antiqua" w:hAnsi="Book Antiqua" w:cs="Arial"/>
        </w:rPr>
        <w:t xml:space="preserve"> the expiry of his student leave, the appellant overstayed.  On 8 December 2014 he was arrested by Wandsworth Police on suspicion of theft and actual bodily harm.  When he was arrested, he provided a false identity.  On 9 December 2014 he was interviewed by Immigration Officers, and </w:t>
      </w:r>
      <w:r w:rsidR="00E22F16">
        <w:rPr>
          <w:rFonts w:ascii="Book Antiqua" w:hAnsi="Book Antiqua" w:cs="Arial"/>
        </w:rPr>
        <w:t xml:space="preserve">he was </w:t>
      </w:r>
      <w:r w:rsidR="004341A4">
        <w:rPr>
          <w:rFonts w:ascii="Book Antiqua" w:hAnsi="Book Antiqua" w:cs="Arial"/>
        </w:rPr>
        <w:t>served with an IS15A notice as an overstayer.</w:t>
      </w:r>
    </w:p>
    <w:p w14:paraId="0FF2F901" w14:textId="77777777" w:rsidR="00E22F16" w:rsidRPr="00E9287A" w:rsidRDefault="004341A4" w:rsidP="00135EE8">
      <w:pPr>
        <w:numPr>
          <w:ilvl w:val="0"/>
          <w:numId w:val="1"/>
        </w:numPr>
        <w:spacing w:before="160"/>
        <w:jc w:val="both"/>
        <w:rPr>
          <w:rFonts w:ascii="Book Antiqua" w:hAnsi="Book Antiqua" w:cs="Arial"/>
        </w:rPr>
      </w:pPr>
      <w:r>
        <w:rPr>
          <w:rFonts w:ascii="Book Antiqua" w:hAnsi="Book Antiqua" w:cs="Arial"/>
        </w:rPr>
        <w:t>On 27 September 2016 the appellant was served with RED.000</w:t>
      </w:r>
      <w:r w:rsidR="00E22F16">
        <w:rPr>
          <w:rFonts w:ascii="Book Antiqua" w:hAnsi="Book Antiqua" w:cs="Arial"/>
        </w:rPr>
        <w:t>1 and RED.003 notices, informing</w:t>
      </w:r>
      <w:r>
        <w:rPr>
          <w:rFonts w:ascii="Book Antiqua" w:hAnsi="Book Antiqua" w:cs="Arial"/>
        </w:rPr>
        <w:t xml:space="preserve"> him of his liability to removal from the UK, but also giving him the opportunity to submit any additional grounds he might have for remaining in the UK.  On 25 Oct</w:t>
      </w:r>
      <w:r w:rsidR="00E22F16">
        <w:rPr>
          <w:rFonts w:ascii="Book Antiqua" w:hAnsi="Book Antiqua" w:cs="Arial"/>
        </w:rPr>
        <w:t>ober 2016 the appellant’s then r</w:t>
      </w:r>
      <w:r>
        <w:rPr>
          <w:rFonts w:ascii="Book Antiqua" w:hAnsi="Book Antiqua" w:cs="Arial"/>
        </w:rPr>
        <w:t>epresentatives served a statement of</w:t>
      </w:r>
      <w:r w:rsidR="00E22F16">
        <w:rPr>
          <w:rFonts w:ascii="Book Antiqua" w:hAnsi="Book Antiqua" w:cs="Arial"/>
        </w:rPr>
        <w:t xml:space="preserve"> additional grounds running to nine</w:t>
      </w:r>
      <w:r>
        <w:rPr>
          <w:rFonts w:ascii="Book Antiqua" w:hAnsi="Book Antiqua" w:cs="Arial"/>
        </w:rPr>
        <w:t xml:space="preserve"> pages, at the end of which was appended a statement of truth signed by the appellant. </w:t>
      </w:r>
      <w:r w:rsidR="00E22F16">
        <w:rPr>
          <w:rFonts w:ascii="Book Antiqua" w:hAnsi="Book Antiqua" w:cs="Arial"/>
        </w:rPr>
        <w:t>He sought to resist removal primarily on the basis of</w:t>
      </w:r>
      <w:r>
        <w:rPr>
          <w:rFonts w:ascii="Book Antiqua" w:hAnsi="Book Antiqua" w:cs="Arial"/>
        </w:rPr>
        <w:t xml:space="preserve"> family and private life established in the UK.  But at the end of the document, he </w:t>
      </w:r>
      <w:r w:rsidR="00E22F16">
        <w:rPr>
          <w:rFonts w:ascii="Book Antiqua" w:hAnsi="Book Antiqua" w:cs="Arial"/>
        </w:rPr>
        <w:t>said that his life in Trinidad and</w:t>
      </w:r>
      <w:r>
        <w:rPr>
          <w:rFonts w:ascii="Book Antiqua" w:hAnsi="Book Antiqua" w:cs="Arial"/>
        </w:rPr>
        <w:t xml:space="preserve"> Tobago was in danger because he had converted from Christianity to Islam, and his conversion had not been accepted by his family members and the community, and he had received threats from them.  In the final pa</w:t>
      </w:r>
      <w:r w:rsidR="008966F8">
        <w:rPr>
          <w:rFonts w:ascii="Book Antiqua" w:hAnsi="Book Antiqua" w:cs="Arial"/>
        </w:rPr>
        <w:t>ragraph of the document, he added</w:t>
      </w:r>
      <w:r>
        <w:rPr>
          <w:rFonts w:ascii="Book Antiqua" w:hAnsi="Book Antiqua" w:cs="Arial"/>
        </w:rPr>
        <w:t xml:space="preserve"> that he had also been involved in a dispute o</w:t>
      </w:r>
      <w:r w:rsidR="008966F8">
        <w:rPr>
          <w:rFonts w:ascii="Book Antiqua" w:hAnsi="Book Antiqua" w:cs="Arial"/>
        </w:rPr>
        <w:t xml:space="preserve">ver the inheritance of his deceased </w:t>
      </w:r>
      <w:r>
        <w:rPr>
          <w:rFonts w:ascii="Book Antiqua" w:hAnsi="Book Antiqua" w:cs="Arial"/>
        </w:rPr>
        <w:t>mother’s assets.  His mother’s sisters had unlawfully acquired his mother’s estate, a</w:t>
      </w:r>
      <w:r w:rsidR="00E22F16">
        <w:rPr>
          <w:rFonts w:ascii="Book Antiqua" w:hAnsi="Book Antiqua" w:cs="Arial"/>
        </w:rPr>
        <w:t>nd if he went back to Trinidad and</w:t>
      </w:r>
      <w:r>
        <w:rPr>
          <w:rFonts w:ascii="Book Antiqua" w:hAnsi="Book Antiqua" w:cs="Arial"/>
        </w:rPr>
        <w:t xml:space="preserve"> Tobago, his mother’s sister (singular) would want to kill </w:t>
      </w:r>
      <w:r w:rsidR="00E22F16">
        <w:rPr>
          <w:rFonts w:ascii="Book Antiqua" w:hAnsi="Book Antiqua" w:cs="Arial"/>
        </w:rPr>
        <w:t xml:space="preserve">him </w:t>
      </w:r>
      <w:r>
        <w:rPr>
          <w:rFonts w:ascii="Book Antiqua" w:hAnsi="Book Antiqua" w:cs="Arial"/>
        </w:rPr>
        <w:t>or harm him because he was the lawful inheritor.</w:t>
      </w:r>
    </w:p>
    <w:p w14:paraId="774754D3"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The appellant’s human rights application was refused on 9 N</w:t>
      </w:r>
      <w:r w:rsidR="00E22F16">
        <w:rPr>
          <w:rFonts w:ascii="Book Antiqua" w:hAnsi="Book Antiqua" w:cs="Arial"/>
        </w:rPr>
        <w:t xml:space="preserve">ovember 2016.  He was given a </w:t>
      </w:r>
      <w:r>
        <w:rPr>
          <w:rFonts w:ascii="Book Antiqua" w:hAnsi="Book Antiqua" w:cs="Arial"/>
        </w:rPr>
        <w:t xml:space="preserve">right of appeal, but he did not exercise it.  On 24 February 2017 the appellant was detained under Immigration provisions.  He remained in detention for a month or so, and in his subsequent screening interview in July 2017, he said that he had attempted to commit suicide while in detention.  He was asked briefly to explain why he could not return to his home country, and he answered that he could not return because his aunt, uncle and a couple of cousins had said that they would get rid of him if he stood in their way with regard to their seizure of his mum’s house.  His mum had died in 2005, and his aunt had taken the house, and </w:t>
      </w:r>
      <w:r w:rsidR="00E22F16">
        <w:rPr>
          <w:rFonts w:ascii="Book Antiqua" w:hAnsi="Book Antiqua" w:cs="Arial"/>
        </w:rPr>
        <w:t xml:space="preserve">had </w:t>
      </w:r>
      <w:r>
        <w:rPr>
          <w:rFonts w:ascii="Book Antiqua" w:hAnsi="Book Antiqua" w:cs="Arial"/>
        </w:rPr>
        <w:t>kicked his little sister out of it.</w:t>
      </w:r>
    </w:p>
    <w:p w14:paraId="068E2773"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lastRenderedPageBreak/>
        <w:t>The appellant was interviewed about his asylum claim on 14 August 2017, and on 28 August 2017 the respondent gave her reasons for refusing the appellant’s protection and human ri</w:t>
      </w:r>
      <w:r w:rsidR="00E22F16">
        <w:rPr>
          <w:rFonts w:ascii="Book Antiqua" w:hAnsi="Book Antiqua" w:cs="Arial"/>
        </w:rPr>
        <w:t xml:space="preserve">ghts claims, which are recorded as </w:t>
      </w:r>
      <w:r>
        <w:rPr>
          <w:rFonts w:ascii="Book Antiqua" w:hAnsi="Book Antiqua" w:cs="Arial"/>
        </w:rPr>
        <w:t xml:space="preserve">having been first made on 27 February 2017 while </w:t>
      </w:r>
      <w:r w:rsidR="00E22F16">
        <w:rPr>
          <w:rFonts w:ascii="Book Antiqua" w:hAnsi="Book Antiqua" w:cs="Arial"/>
        </w:rPr>
        <w:t>he was in detention.  His</w:t>
      </w:r>
      <w:r>
        <w:rPr>
          <w:rFonts w:ascii="Book Antiqua" w:hAnsi="Book Antiqua" w:cs="Arial"/>
        </w:rPr>
        <w:t xml:space="preserve"> account was considered to be internally inconsistent, incoherent, vague and implausible.  It was concluded that his behaviour was one to which sections 8(2), 8(3) and 8(5) of the Asylum &amp; </w:t>
      </w:r>
      <w:r w:rsidR="00CF2ABD">
        <w:rPr>
          <w:rFonts w:ascii="Book Antiqua" w:hAnsi="Book Antiqua" w:cs="Arial"/>
        </w:rPr>
        <w:t>Immigration (Treatment of Claimants</w:t>
      </w:r>
      <w:r>
        <w:rPr>
          <w:rFonts w:ascii="Book Antiqua" w:hAnsi="Book Antiqua" w:cs="Arial"/>
        </w:rPr>
        <w:t xml:space="preserve"> etc) Act [2004] applied.</w:t>
      </w:r>
    </w:p>
    <w:p w14:paraId="168C0D5E" w14:textId="77777777" w:rsidR="004341A4" w:rsidRDefault="00E22F16" w:rsidP="00135EE8">
      <w:pPr>
        <w:numPr>
          <w:ilvl w:val="0"/>
          <w:numId w:val="1"/>
        </w:numPr>
        <w:spacing w:before="160"/>
        <w:jc w:val="both"/>
        <w:rPr>
          <w:rFonts w:ascii="Book Antiqua" w:hAnsi="Book Antiqua" w:cs="Arial"/>
        </w:rPr>
      </w:pPr>
      <w:r>
        <w:rPr>
          <w:rFonts w:ascii="Book Antiqua" w:hAnsi="Book Antiqua" w:cs="Arial"/>
        </w:rPr>
        <w:t>On</w:t>
      </w:r>
      <w:r w:rsidR="004341A4">
        <w:rPr>
          <w:rFonts w:ascii="Book Antiqua" w:hAnsi="Book Antiqua" w:cs="Arial"/>
        </w:rPr>
        <w:t xml:space="preserve"> the issue of future ri</w:t>
      </w:r>
      <w:r>
        <w:rPr>
          <w:rFonts w:ascii="Book Antiqua" w:hAnsi="Book Antiqua" w:cs="Arial"/>
        </w:rPr>
        <w:t>sk, it was not shown that he could not</w:t>
      </w:r>
      <w:r w:rsidR="004341A4">
        <w:rPr>
          <w:rFonts w:ascii="Book Antiqua" w:hAnsi="Book Antiqua" w:cs="Arial"/>
        </w:rPr>
        <w:t xml:space="preserve"> </w:t>
      </w:r>
      <w:r>
        <w:rPr>
          <w:rFonts w:ascii="Book Antiqua" w:hAnsi="Book Antiqua" w:cs="Arial"/>
        </w:rPr>
        <w:t>access</w:t>
      </w:r>
      <w:r w:rsidR="004341A4">
        <w:rPr>
          <w:rFonts w:ascii="Book Antiqua" w:hAnsi="Book Antiqua" w:cs="Arial"/>
        </w:rPr>
        <w:t xml:space="preserve"> adequate protection fr</w:t>
      </w:r>
      <w:r>
        <w:rPr>
          <w:rFonts w:ascii="Book Antiqua" w:hAnsi="Book Antiqua" w:cs="Arial"/>
        </w:rPr>
        <w:t>om the authorities in Trinidad and</w:t>
      </w:r>
      <w:r w:rsidR="004341A4">
        <w:rPr>
          <w:rFonts w:ascii="Book Antiqua" w:hAnsi="Book Antiqua" w:cs="Arial"/>
        </w:rPr>
        <w:t xml:space="preserve"> Tobago, or that h</w:t>
      </w:r>
      <w:r>
        <w:rPr>
          <w:rFonts w:ascii="Book Antiqua" w:hAnsi="Book Antiqua" w:cs="Arial"/>
        </w:rPr>
        <w:t>e would be unable to relocate within</w:t>
      </w:r>
      <w:r w:rsidR="004341A4">
        <w:rPr>
          <w:rFonts w:ascii="Book Antiqua" w:hAnsi="Book Antiqua" w:cs="Arial"/>
        </w:rPr>
        <w:t xml:space="preserve"> his home country to </w:t>
      </w:r>
      <w:r>
        <w:rPr>
          <w:rFonts w:ascii="Book Antiqua" w:hAnsi="Book Antiqua" w:cs="Arial"/>
        </w:rPr>
        <w:t>a</w:t>
      </w:r>
      <w:r w:rsidR="004341A4">
        <w:rPr>
          <w:rFonts w:ascii="Book Antiqua" w:hAnsi="Book Antiqua" w:cs="Arial"/>
        </w:rPr>
        <w:t>void the relatives whom he claimed to fear.</w:t>
      </w:r>
    </w:p>
    <w:p w14:paraId="15E99788" w14:textId="77777777" w:rsidR="00E9287A" w:rsidRPr="00E9287A" w:rsidRDefault="00E9287A" w:rsidP="00135EE8">
      <w:pPr>
        <w:spacing w:before="160"/>
        <w:jc w:val="both"/>
        <w:rPr>
          <w:rFonts w:ascii="Book Antiqua" w:hAnsi="Book Antiqua" w:cs="Arial"/>
          <w:i/>
        </w:rPr>
      </w:pPr>
      <w:r>
        <w:rPr>
          <w:rFonts w:ascii="Book Antiqua" w:hAnsi="Book Antiqua" w:cs="Arial"/>
          <w:i/>
        </w:rPr>
        <w:t>The conduct of the appeal</w:t>
      </w:r>
    </w:p>
    <w:p w14:paraId="3D6701B7"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 xml:space="preserve">The appellant instructed </w:t>
      </w:r>
      <w:proofErr w:type="spellStart"/>
      <w:r>
        <w:rPr>
          <w:rFonts w:ascii="Book Antiqua" w:hAnsi="Book Antiqua" w:cs="Arial"/>
        </w:rPr>
        <w:t>Shaka</w:t>
      </w:r>
      <w:proofErr w:type="spellEnd"/>
      <w:r>
        <w:rPr>
          <w:rFonts w:ascii="Book Antiqua" w:hAnsi="Book Antiqua" w:cs="Arial"/>
        </w:rPr>
        <w:t xml:space="preserve"> Services to settle the grounds of appeal to the First-tier Tribunal.  After they had lodged </w:t>
      </w:r>
      <w:r w:rsidR="00E22F16">
        <w:rPr>
          <w:rFonts w:ascii="Book Antiqua" w:hAnsi="Book Antiqua" w:cs="Arial"/>
        </w:rPr>
        <w:t>the notice of appeal, they were subsequently notified</w:t>
      </w:r>
      <w:r>
        <w:rPr>
          <w:rFonts w:ascii="Book Antiqua" w:hAnsi="Book Antiqua" w:cs="Arial"/>
        </w:rPr>
        <w:t xml:space="preserve"> </w:t>
      </w:r>
      <w:r w:rsidR="00E22F16">
        <w:rPr>
          <w:rFonts w:ascii="Book Antiqua" w:hAnsi="Book Antiqua" w:cs="Arial"/>
        </w:rPr>
        <w:t>that a pre-hearing review would take</w:t>
      </w:r>
      <w:r>
        <w:rPr>
          <w:rFonts w:ascii="Book Antiqua" w:hAnsi="Book Antiqua" w:cs="Arial"/>
        </w:rPr>
        <w:t xml:space="preserve"> place on 5 October 2017 and they were asked to complete a reply notice, which they did on 3 October 2017.  They informed the Tribunal that the appeal was ready to proceed, and that there would be two witnesses at the appeal hearing scheduled for 19 October 2017.  They also notified the Tribunal that no expert evidence was going to be served.</w:t>
      </w:r>
    </w:p>
    <w:p w14:paraId="33B9A3FF" w14:textId="77777777" w:rsidR="00E9287A" w:rsidRPr="00E9287A" w:rsidRDefault="00E9287A" w:rsidP="00135EE8">
      <w:pPr>
        <w:spacing w:before="160"/>
        <w:jc w:val="both"/>
        <w:rPr>
          <w:rFonts w:ascii="Book Antiqua" w:hAnsi="Book Antiqua" w:cs="Arial"/>
          <w:i/>
        </w:rPr>
      </w:pPr>
      <w:r>
        <w:rPr>
          <w:rFonts w:ascii="Book Antiqua" w:hAnsi="Book Antiqua" w:cs="Arial"/>
          <w:i/>
        </w:rPr>
        <w:t>The first application for an adjournment</w:t>
      </w:r>
      <w:r w:rsidR="00FB55D8">
        <w:rPr>
          <w:rFonts w:ascii="Book Antiqua" w:hAnsi="Book Antiqua" w:cs="Arial"/>
          <w:i/>
        </w:rPr>
        <w:t xml:space="preserve"> made on 18</w:t>
      </w:r>
      <w:r>
        <w:rPr>
          <w:rFonts w:ascii="Book Antiqua" w:hAnsi="Book Antiqua" w:cs="Arial"/>
          <w:i/>
        </w:rPr>
        <w:t xml:space="preserve"> October 2017</w:t>
      </w:r>
      <w:r w:rsidR="00FB55D8">
        <w:rPr>
          <w:rFonts w:ascii="Book Antiqua" w:hAnsi="Book Antiqua" w:cs="Arial"/>
          <w:i/>
        </w:rPr>
        <w:t>, the day before the hearing scheduled for 19 October 2017</w:t>
      </w:r>
    </w:p>
    <w:p w14:paraId="73D5314B"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 xml:space="preserve">The day before the scheduled hearing of the appellant’s appeal, they applied for an adjournment on medical </w:t>
      </w:r>
      <w:r w:rsidR="00E22F16">
        <w:rPr>
          <w:rFonts w:ascii="Book Antiqua" w:hAnsi="Book Antiqua" w:cs="Arial"/>
        </w:rPr>
        <w:t xml:space="preserve">grounds.  They served a letter dated 18 October 2017 </w:t>
      </w:r>
      <w:r>
        <w:rPr>
          <w:rFonts w:ascii="Book Antiqua" w:hAnsi="Book Antiqua" w:cs="Arial"/>
        </w:rPr>
        <w:t>from a GP stating that the appellant had a very painful shoulder, and so he would not be fit to attend the hearing.  The request for an adjournment was granted, and the appeal was adjourned to 10 April 2018.</w:t>
      </w:r>
    </w:p>
    <w:p w14:paraId="54D10B46" w14:textId="77777777" w:rsidR="00FB55D8" w:rsidRPr="00FB55D8" w:rsidRDefault="00FB55D8" w:rsidP="00135EE8">
      <w:pPr>
        <w:spacing w:before="160"/>
        <w:jc w:val="both"/>
        <w:rPr>
          <w:rFonts w:ascii="Book Antiqua" w:hAnsi="Book Antiqua" w:cs="Arial"/>
          <w:i/>
        </w:rPr>
      </w:pPr>
      <w:r>
        <w:rPr>
          <w:rFonts w:ascii="Book Antiqua" w:hAnsi="Book Antiqua" w:cs="Arial"/>
          <w:i/>
        </w:rPr>
        <w:t>The Evidence served for the Re-scheduled hearing on 10 April 2018</w:t>
      </w:r>
    </w:p>
    <w:p w14:paraId="72AA4E2C" w14:textId="77777777" w:rsidR="00DE2538" w:rsidRDefault="004341A4" w:rsidP="00135EE8">
      <w:pPr>
        <w:numPr>
          <w:ilvl w:val="0"/>
          <w:numId w:val="1"/>
        </w:numPr>
        <w:spacing w:before="160"/>
        <w:jc w:val="both"/>
        <w:rPr>
          <w:rFonts w:ascii="Book Antiqua" w:hAnsi="Book Antiqua" w:cs="Arial"/>
        </w:rPr>
      </w:pPr>
      <w:r>
        <w:rPr>
          <w:rFonts w:ascii="Book Antiqua" w:hAnsi="Book Antiqua" w:cs="Arial"/>
        </w:rPr>
        <w:t>For the purpose of the hearing on 10 April 2018, the appellant’s representatives filed a bundle of docu</w:t>
      </w:r>
      <w:r w:rsidR="00E22F16">
        <w:rPr>
          <w:rFonts w:ascii="Book Antiqua" w:hAnsi="Book Antiqua" w:cs="Arial"/>
        </w:rPr>
        <w:t>ments containing a report from Dr Louie Guest,</w:t>
      </w:r>
      <w:r>
        <w:rPr>
          <w:rFonts w:ascii="Book Antiqua" w:hAnsi="Book Antiqua" w:cs="Arial"/>
        </w:rPr>
        <w:t xml:space="preserve"> consultant psychiatrist</w:t>
      </w:r>
      <w:r w:rsidR="00E22F16">
        <w:rPr>
          <w:rFonts w:ascii="Book Antiqua" w:hAnsi="Book Antiqua" w:cs="Arial"/>
        </w:rPr>
        <w:t>,</w:t>
      </w:r>
      <w:r>
        <w:rPr>
          <w:rFonts w:ascii="Book Antiqua" w:hAnsi="Book Antiqua" w:cs="Arial"/>
        </w:rPr>
        <w:t xml:space="preserve"> dated 23 March 2018 and a witness statement from the appella</w:t>
      </w:r>
      <w:r w:rsidR="00E22F16">
        <w:rPr>
          <w:rFonts w:ascii="Book Antiqua" w:hAnsi="Book Antiqua" w:cs="Arial"/>
        </w:rPr>
        <w:t>nt’s girlfriend, ST</w:t>
      </w:r>
      <w:r w:rsidR="00DE2538">
        <w:rPr>
          <w:rFonts w:ascii="Book Antiqua" w:hAnsi="Book Antiqua" w:cs="Arial"/>
        </w:rPr>
        <w:t>, dated 6 April 2018</w:t>
      </w:r>
      <w:r w:rsidR="00E22F16">
        <w:rPr>
          <w:rFonts w:ascii="Book Antiqua" w:hAnsi="Book Antiqua" w:cs="Arial"/>
        </w:rPr>
        <w:t>.  In her</w:t>
      </w:r>
      <w:r>
        <w:rPr>
          <w:rFonts w:ascii="Book Antiqua" w:hAnsi="Book Antiqua" w:cs="Arial"/>
        </w:rPr>
        <w:t xml:space="preserve"> report of 23 March 2018, Dr Guest said that the appellant had been under the care of Merton &amp; Sutton Early Intervention Service since November 2017.  He had been detained under section 2 of the Mental Health Act from 6 December 2017 until 18 December 2017.  </w:t>
      </w:r>
      <w:r w:rsidR="00DE2538">
        <w:rPr>
          <w:rFonts w:ascii="Book Antiqua" w:hAnsi="Book Antiqua" w:cs="Arial"/>
        </w:rPr>
        <w:t xml:space="preserve">(According to ST, he was discharged to her accommodation.) </w:t>
      </w:r>
    </w:p>
    <w:p w14:paraId="0A85F4B6"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He was referred by his GP on 7 November 2017, having presented with symptoms of first episode psychosis.  His treatment with anti-psychotic and anti-depressant medication was long-term and necessary for his stability.  He</w:t>
      </w:r>
      <w:r w:rsidR="00E22F16">
        <w:rPr>
          <w:rFonts w:ascii="Book Antiqua" w:hAnsi="Book Antiqua" w:cs="Arial"/>
        </w:rPr>
        <w:t xml:space="preserve"> remained</w:t>
      </w:r>
      <w:r>
        <w:rPr>
          <w:rFonts w:ascii="Book Antiqua" w:hAnsi="Book Antiqua" w:cs="Arial"/>
        </w:rPr>
        <w:t xml:space="preserve"> symptomatic, and so they anticipated him req</w:t>
      </w:r>
      <w:r w:rsidR="00E22F16">
        <w:rPr>
          <w:rFonts w:ascii="Book Antiqua" w:hAnsi="Book Antiqua" w:cs="Arial"/>
        </w:rPr>
        <w:t>uiring medication for at least two</w:t>
      </w:r>
      <w:r w:rsidR="00CF2ABD">
        <w:rPr>
          <w:rFonts w:ascii="Book Antiqua" w:hAnsi="Book Antiqua" w:cs="Arial"/>
        </w:rPr>
        <w:t xml:space="preserve"> more years.  It was</w:t>
      </w:r>
      <w:r>
        <w:rPr>
          <w:rFonts w:ascii="Book Antiqua" w:hAnsi="Book Antiqua" w:cs="Arial"/>
        </w:rPr>
        <w:t xml:space="preserve"> not possible at this state to formulate a robust treatment plan, as he had not responded to treatment so far.</w:t>
      </w:r>
    </w:p>
    <w:p w14:paraId="50098E02" w14:textId="77777777" w:rsidR="00FB55D8" w:rsidRPr="008966F8" w:rsidRDefault="004341A4" w:rsidP="00135EE8">
      <w:pPr>
        <w:numPr>
          <w:ilvl w:val="0"/>
          <w:numId w:val="1"/>
        </w:numPr>
        <w:spacing w:before="160"/>
        <w:jc w:val="both"/>
        <w:rPr>
          <w:rFonts w:ascii="Book Antiqua" w:hAnsi="Book Antiqua" w:cs="Arial"/>
        </w:rPr>
      </w:pPr>
      <w:r>
        <w:rPr>
          <w:rFonts w:ascii="Book Antiqua" w:hAnsi="Book Antiqua" w:cs="Arial"/>
        </w:rPr>
        <w:t>Dr</w:t>
      </w:r>
      <w:r w:rsidR="00E22F16">
        <w:rPr>
          <w:rFonts w:ascii="Book Antiqua" w:hAnsi="Book Antiqua" w:cs="Arial"/>
        </w:rPr>
        <w:t xml:space="preserve"> Guest went on to comment on a</w:t>
      </w:r>
      <w:r>
        <w:rPr>
          <w:rFonts w:ascii="Book Antiqua" w:hAnsi="Book Antiqua" w:cs="Arial"/>
        </w:rPr>
        <w:t xml:space="preserve"> World Health Organisation Report on mental health</w:t>
      </w:r>
      <w:r w:rsidR="00E22F16">
        <w:rPr>
          <w:rFonts w:ascii="Book Antiqua" w:hAnsi="Book Antiqua" w:cs="Arial"/>
        </w:rPr>
        <w:t xml:space="preserve"> service provision in Trinidad and</w:t>
      </w:r>
      <w:r>
        <w:rPr>
          <w:rFonts w:ascii="Book Antiqua" w:hAnsi="Book Antiqua" w:cs="Arial"/>
        </w:rPr>
        <w:t xml:space="preserve"> Tobago.  The report was from 2007.  She said that given that the appellant was suffering from a serious mental illness, it seemed </w:t>
      </w:r>
      <w:r>
        <w:rPr>
          <w:rFonts w:ascii="Book Antiqua" w:hAnsi="Book Antiqua" w:cs="Arial"/>
        </w:rPr>
        <w:lastRenderedPageBreak/>
        <w:t>un</w:t>
      </w:r>
      <w:r w:rsidR="00E22F16">
        <w:rPr>
          <w:rFonts w:ascii="Book Antiqua" w:hAnsi="Book Antiqua" w:cs="Arial"/>
        </w:rPr>
        <w:t>likely (given the information in</w:t>
      </w:r>
      <w:r>
        <w:rPr>
          <w:rFonts w:ascii="Book Antiqua" w:hAnsi="Book Antiqua" w:cs="Arial"/>
        </w:rPr>
        <w:t xml:space="preserve"> the WHO report) that there would be a ready availability of adequate needs </w:t>
      </w:r>
      <w:r w:rsidR="00E22F16">
        <w:rPr>
          <w:rFonts w:ascii="Book Antiqua" w:hAnsi="Book Antiqua" w:cs="Arial"/>
        </w:rPr>
        <w:t>management support in Trinidad and</w:t>
      </w:r>
      <w:r>
        <w:rPr>
          <w:rFonts w:ascii="Book Antiqua" w:hAnsi="Book Antiqua" w:cs="Arial"/>
        </w:rPr>
        <w:t xml:space="preserve"> Tobago, in view of the complexity of the appellant’s needs.  He was not currently mentally well enough to board an aeroplane.  He was afraid to use public transport unaccompanied due to paranoid thoughts and persecutory beliefs.  His girlfriend accompanied him on all journeys.</w:t>
      </w:r>
    </w:p>
    <w:p w14:paraId="1999BCCB" w14:textId="77777777" w:rsidR="004341A4" w:rsidRPr="00E9287A" w:rsidRDefault="00E9287A" w:rsidP="00135EE8">
      <w:pPr>
        <w:spacing w:before="160"/>
        <w:jc w:val="both"/>
        <w:rPr>
          <w:rFonts w:ascii="Book Antiqua" w:hAnsi="Book Antiqua" w:cs="Arial"/>
          <w:bCs/>
          <w:i/>
        </w:rPr>
      </w:pPr>
      <w:r>
        <w:rPr>
          <w:rFonts w:ascii="Book Antiqua" w:hAnsi="Book Antiqua" w:cs="Arial"/>
          <w:bCs/>
          <w:i/>
        </w:rPr>
        <w:t>The Renewed Application for an adjournment at the hearing before Judge Moore</w:t>
      </w:r>
    </w:p>
    <w:p w14:paraId="39EC77F6"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In his decision, Judge Moore gives a detailed account of the adjournment application: the reasons why an adjournment was sought, the grounds of opposition advanced by the Presenting Officer, and his r</w:t>
      </w:r>
      <w:r w:rsidR="00FB55D8">
        <w:rPr>
          <w:rFonts w:ascii="Book Antiqua" w:hAnsi="Book Antiqua" w:cs="Arial"/>
        </w:rPr>
        <w:t xml:space="preserve">easons for refusing to grant </w:t>
      </w:r>
      <w:r w:rsidR="00CF2ABD">
        <w:rPr>
          <w:rFonts w:ascii="Book Antiqua" w:hAnsi="Book Antiqua" w:cs="Arial"/>
        </w:rPr>
        <w:t>an</w:t>
      </w:r>
      <w:r>
        <w:rPr>
          <w:rFonts w:ascii="Book Antiqua" w:hAnsi="Book Antiqua" w:cs="Arial"/>
        </w:rPr>
        <w:t xml:space="preserve"> adjournment.</w:t>
      </w:r>
    </w:p>
    <w:p w14:paraId="3FC2E565"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 xml:space="preserve">Although the appellant’s representatives </w:t>
      </w:r>
      <w:r w:rsidR="00E9287A">
        <w:rPr>
          <w:rFonts w:ascii="Book Antiqua" w:hAnsi="Book Antiqua" w:cs="Arial"/>
        </w:rPr>
        <w:t>have served a supplementary report from</w:t>
      </w:r>
      <w:r>
        <w:rPr>
          <w:rFonts w:ascii="Book Antiqua" w:hAnsi="Book Antiqua" w:cs="Arial"/>
        </w:rPr>
        <w:t xml:space="preserve"> Dr Guest with the grounds of appeal to the Upper Tribunal, the grounds of appeal focus on the medical evidence that was before the Judge, not the medical evidence that came later.</w:t>
      </w:r>
    </w:p>
    <w:p w14:paraId="32E7230B" w14:textId="77777777" w:rsidR="00E9287A" w:rsidRPr="00E9287A" w:rsidRDefault="00E9287A" w:rsidP="00135EE8">
      <w:pPr>
        <w:spacing w:before="160"/>
        <w:jc w:val="both"/>
        <w:rPr>
          <w:rFonts w:ascii="Book Antiqua" w:hAnsi="Book Antiqua" w:cs="Arial"/>
          <w:i/>
        </w:rPr>
      </w:pPr>
      <w:r>
        <w:rPr>
          <w:rFonts w:ascii="Book Antiqua" w:hAnsi="Book Antiqua" w:cs="Arial"/>
          <w:i/>
        </w:rPr>
        <w:t>Ground 1 – Alleged error in not granting adjournment on basis of available medical evidence</w:t>
      </w:r>
    </w:p>
    <w:p w14:paraId="68381E2E" w14:textId="77777777" w:rsidR="00E9287A" w:rsidRDefault="00E9287A" w:rsidP="00135EE8">
      <w:pPr>
        <w:numPr>
          <w:ilvl w:val="0"/>
          <w:numId w:val="1"/>
        </w:numPr>
        <w:spacing w:before="160"/>
        <w:jc w:val="both"/>
        <w:rPr>
          <w:rFonts w:ascii="Book Antiqua" w:hAnsi="Book Antiqua" w:cs="Arial"/>
        </w:rPr>
      </w:pPr>
      <w:r w:rsidRPr="00E9287A">
        <w:rPr>
          <w:rFonts w:ascii="Book Antiqua" w:hAnsi="Book Antiqua" w:cs="Arial"/>
        </w:rPr>
        <w:t xml:space="preserve">The first point </w:t>
      </w:r>
      <w:r w:rsidR="004341A4" w:rsidRPr="00E9287A">
        <w:rPr>
          <w:rFonts w:ascii="Book Antiqua" w:hAnsi="Book Antiqua" w:cs="Arial"/>
        </w:rPr>
        <w:t>taken is that the Judge ought to have granted an adjournment on the basis of the medical evidence in the appellant’s bundle, because this showed that the appellant was so</w:t>
      </w:r>
      <w:r w:rsidRPr="00E9287A">
        <w:rPr>
          <w:rFonts w:ascii="Book Antiqua" w:hAnsi="Book Antiqua" w:cs="Arial"/>
        </w:rPr>
        <w:t xml:space="preserve"> ill that he was unable to give</w:t>
      </w:r>
      <w:r w:rsidR="004341A4" w:rsidRPr="00E9287A">
        <w:rPr>
          <w:rFonts w:ascii="Book Antiqua" w:hAnsi="Book Antiqua" w:cs="Arial"/>
        </w:rPr>
        <w:t xml:space="preserve"> instructions to hi</w:t>
      </w:r>
      <w:r w:rsidRPr="00E9287A">
        <w:rPr>
          <w:rFonts w:ascii="Book Antiqua" w:hAnsi="Book Antiqua" w:cs="Arial"/>
        </w:rPr>
        <w:t>s legal representatives</w:t>
      </w:r>
      <w:r>
        <w:rPr>
          <w:rFonts w:ascii="Book Antiqua" w:hAnsi="Book Antiqua" w:cs="Arial"/>
        </w:rPr>
        <w:t>.</w:t>
      </w:r>
    </w:p>
    <w:p w14:paraId="4BEACBF6" w14:textId="77777777" w:rsidR="004341A4" w:rsidRPr="00E9287A" w:rsidRDefault="004341A4" w:rsidP="00135EE8">
      <w:pPr>
        <w:numPr>
          <w:ilvl w:val="0"/>
          <w:numId w:val="1"/>
        </w:numPr>
        <w:spacing w:before="160"/>
        <w:jc w:val="both"/>
        <w:rPr>
          <w:rFonts w:ascii="Book Antiqua" w:hAnsi="Book Antiqua" w:cs="Arial"/>
        </w:rPr>
      </w:pPr>
      <w:r w:rsidRPr="00E9287A">
        <w:rPr>
          <w:rFonts w:ascii="Book Antiqua" w:hAnsi="Book Antiqua" w:cs="Arial"/>
        </w:rPr>
        <w:t xml:space="preserve">I do not consider that the medical evidence before the Judge established that the appellant had been too unwell to provide instructions to his legal representatives.  Firstly, there had been ample opportunity for the representatives to take a statement from the appellant in the period leading up to 19 October 2017, when it was first envisaged that appeal hearing would take place.  There was </w:t>
      </w:r>
      <w:r w:rsidR="00E9287A">
        <w:rPr>
          <w:rFonts w:ascii="Book Antiqua" w:hAnsi="Book Antiqua" w:cs="Arial"/>
        </w:rPr>
        <w:t xml:space="preserve">(and is) </w:t>
      </w:r>
      <w:r w:rsidRPr="00E9287A">
        <w:rPr>
          <w:rFonts w:ascii="Book Antiqua" w:hAnsi="Book Antiqua" w:cs="Arial"/>
        </w:rPr>
        <w:t xml:space="preserve">no evidence that the appellant was </w:t>
      </w:r>
      <w:r w:rsidR="00E9287A">
        <w:rPr>
          <w:rFonts w:ascii="Book Antiqua" w:hAnsi="Book Antiqua" w:cs="Arial"/>
        </w:rPr>
        <w:t>so mentally unwell at this</w:t>
      </w:r>
      <w:r w:rsidRPr="00E9287A">
        <w:rPr>
          <w:rFonts w:ascii="Book Antiqua" w:hAnsi="Book Antiqua" w:cs="Arial"/>
        </w:rPr>
        <w:t xml:space="preserve"> stage </w:t>
      </w:r>
      <w:r w:rsidR="00E9287A">
        <w:rPr>
          <w:rFonts w:ascii="Book Antiqua" w:hAnsi="Book Antiqua" w:cs="Arial"/>
        </w:rPr>
        <w:t>that he was</w:t>
      </w:r>
      <w:r w:rsidRPr="00E9287A">
        <w:rPr>
          <w:rFonts w:ascii="Book Antiqua" w:hAnsi="Book Antiqua" w:cs="Arial"/>
        </w:rPr>
        <w:t xml:space="preserve"> </w:t>
      </w:r>
      <w:r w:rsidR="00E9287A">
        <w:rPr>
          <w:rFonts w:ascii="Book Antiqua" w:hAnsi="Book Antiqua" w:cs="Arial"/>
        </w:rPr>
        <w:t xml:space="preserve">not </w:t>
      </w:r>
      <w:r w:rsidRPr="00E9287A">
        <w:rPr>
          <w:rFonts w:ascii="Book Antiqua" w:hAnsi="Book Antiqua" w:cs="Arial"/>
        </w:rPr>
        <w:t>able to give a witness stateme</w:t>
      </w:r>
      <w:r w:rsidR="00E9287A">
        <w:rPr>
          <w:rFonts w:ascii="Book Antiqua" w:hAnsi="Book Antiqua" w:cs="Arial"/>
        </w:rPr>
        <w:t xml:space="preserve">nt.  The ground on which </w:t>
      </w:r>
      <w:r w:rsidR="00A83707">
        <w:rPr>
          <w:rFonts w:ascii="Book Antiqua" w:hAnsi="Book Antiqua" w:cs="Arial"/>
        </w:rPr>
        <w:t>the appellant</w:t>
      </w:r>
      <w:r w:rsidR="00E9287A">
        <w:rPr>
          <w:rFonts w:ascii="Book Antiqua" w:hAnsi="Book Antiqua" w:cs="Arial"/>
        </w:rPr>
        <w:t xml:space="preserve"> successfully applied for an adjournment of the hearing in October 2017 </w:t>
      </w:r>
      <w:r w:rsidRPr="00E9287A">
        <w:rPr>
          <w:rFonts w:ascii="Book Antiqua" w:hAnsi="Book Antiqua" w:cs="Arial"/>
        </w:rPr>
        <w:t xml:space="preserve">was that </w:t>
      </w:r>
      <w:r w:rsidR="00A83707">
        <w:rPr>
          <w:rFonts w:ascii="Book Antiqua" w:hAnsi="Book Antiqua" w:cs="Arial"/>
        </w:rPr>
        <w:t xml:space="preserve">he </w:t>
      </w:r>
      <w:r w:rsidRPr="00E9287A">
        <w:rPr>
          <w:rFonts w:ascii="Book Antiqua" w:hAnsi="Book Antiqua" w:cs="Arial"/>
        </w:rPr>
        <w:t xml:space="preserve">was suffering from </w:t>
      </w:r>
      <w:r w:rsidR="00A83707">
        <w:rPr>
          <w:rFonts w:ascii="Book Antiqua" w:hAnsi="Book Antiqua" w:cs="Arial"/>
        </w:rPr>
        <w:t xml:space="preserve">acute </w:t>
      </w:r>
      <w:r w:rsidRPr="00E9287A">
        <w:rPr>
          <w:rFonts w:ascii="Book Antiqua" w:hAnsi="Book Antiqua" w:cs="Arial"/>
        </w:rPr>
        <w:t>pain in his shoulder - not that he was mentally ill.</w:t>
      </w:r>
    </w:p>
    <w:p w14:paraId="099F82DF" w14:textId="77777777" w:rsidR="004341A4" w:rsidRDefault="00FB55D8" w:rsidP="00135EE8">
      <w:pPr>
        <w:numPr>
          <w:ilvl w:val="0"/>
          <w:numId w:val="1"/>
        </w:numPr>
        <w:spacing w:before="160"/>
        <w:jc w:val="both"/>
        <w:rPr>
          <w:rFonts w:ascii="Book Antiqua" w:hAnsi="Book Antiqua" w:cs="Arial"/>
        </w:rPr>
      </w:pPr>
      <w:r>
        <w:rPr>
          <w:rFonts w:ascii="Book Antiqua" w:hAnsi="Book Antiqua" w:cs="Arial"/>
        </w:rPr>
        <w:t>Secondly, although there was</w:t>
      </w:r>
      <w:r w:rsidR="004341A4">
        <w:rPr>
          <w:rFonts w:ascii="Book Antiqua" w:hAnsi="Book Antiqua" w:cs="Arial"/>
        </w:rPr>
        <w:t xml:space="preserve"> clearly a period during which the appellant was unable to give instructions (namely, when he was detained under the Mental Health Act) this situation did not appertain for most of the period leading up to the appeal hearing.  It is clear that Mr Okoro was able to take instructions from the appellant</w:t>
      </w:r>
      <w:r>
        <w:rPr>
          <w:rFonts w:ascii="Book Antiqua" w:hAnsi="Book Antiqua" w:cs="Arial"/>
        </w:rPr>
        <w:t xml:space="preserve"> </w:t>
      </w:r>
      <w:r w:rsidR="004341A4">
        <w:rPr>
          <w:rFonts w:ascii="Book Antiqua" w:hAnsi="Book Antiqua" w:cs="Arial"/>
        </w:rPr>
        <w:t>as the report of 23 March 2018 fr</w:t>
      </w:r>
      <w:r w:rsidR="00E9287A">
        <w:rPr>
          <w:rFonts w:ascii="Book Antiqua" w:hAnsi="Book Antiqua" w:cs="Arial"/>
        </w:rPr>
        <w:t xml:space="preserve">om Dr Guest is addressed to Mr Okoro. </w:t>
      </w:r>
      <w:proofErr w:type="gramStart"/>
      <w:r>
        <w:rPr>
          <w:rFonts w:ascii="Book Antiqua" w:hAnsi="Book Antiqua" w:cs="Arial"/>
        </w:rPr>
        <w:t>So</w:t>
      </w:r>
      <w:proofErr w:type="gramEnd"/>
      <w:r>
        <w:rPr>
          <w:rFonts w:ascii="Book Antiqua" w:hAnsi="Book Antiqua" w:cs="Arial"/>
        </w:rPr>
        <w:t xml:space="preserve"> he </w:t>
      </w:r>
      <w:r w:rsidR="00E9287A">
        <w:rPr>
          <w:rFonts w:ascii="Book Antiqua" w:hAnsi="Book Antiqua" w:cs="Arial"/>
        </w:rPr>
        <w:t xml:space="preserve">must </w:t>
      </w:r>
      <w:r w:rsidR="00A83707">
        <w:rPr>
          <w:rFonts w:ascii="Book Antiqua" w:hAnsi="Book Antiqua" w:cs="Arial"/>
        </w:rPr>
        <w:t xml:space="preserve">have </w:t>
      </w:r>
      <w:r w:rsidR="00E9287A">
        <w:rPr>
          <w:rFonts w:ascii="Book Antiqua" w:hAnsi="Book Antiqua" w:cs="Arial"/>
        </w:rPr>
        <w:t>had the appellant’</w:t>
      </w:r>
      <w:r>
        <w:rPr>
          <w:rFonts w:ascii="Book Antiqua" w:hAnsi="Book Antiqua" w:cs="Arial"/>
        </w:rPr>
        <w:t>s co-operation and written authorisation to commission this report.</w:t>
      </w:r>
    </w:p>
    <w:p w14:paraId="476C6B12" w14:textId="77777777" w:rsidR="004341A4" w:rsidRDefault="00FB55D8" w:rsidP="00135EE8">
      <w:pPr>
        <w:numPr>
          <w:ilvl w:val="0"/>
          <w:numId w:val="1"/>
        </w:numPr>
        <w:spacing w:before="160"/>
        <w:jc w:val="both"/>
        <w:rPr>
          <w:rFonts w:ascii="Book Antiqua" w:hAnsi="Book Antiqua" w:cs="Arial"/>
        </w:rPr>
      </w:pPr>
      <w:r>
        <w:rPr>
          <w:rFonts w:ascii="Book Antiqua" w:hAnsi="Book Antiqua" w:cs="Arial"/>
        </w:rPr>
        <w:t xml:space="preserve">Thirdly, it is not the case that the Judge </w:t>
      </w:r>
      <w:r w:rsidR="00A83707">
        <w:rPr>
          <w:rFonts w:ascii="Book Antiqua" w:hAnsi="Book Antiqua" w:cs="Arial"/>
        </w:rPr>
        <w:t xml:space="preserve">unreasonably </w:t>
      </w:r>
      <w:r>
        <w:rPr>
          <w:rFonts w:ascii="Book Antiqua" w:hAnsi="Book Antiqua" w:cs="Arial"/>
        </w:rPr>
        <w:t xml:space="preserve">rejected the medical evidence which had </w:t>
      </w:r>
      <w:r w:rsidR="00A83707">
        <w:rPr>
          <w:rFonts w:ascii="Book Antiqua" w:hAnsi="Book Antiqua" w:cs="Arial"/>
        </w:rPr>
        <w:t xml:space="preserve">been </w:t>
      </w:r>
      <w:r>
        <w:rPr>
          <w:rFonts w:ascii="Book Antiqua" w:hAnsi="Book Antiqua" w:cs="Arial"/>
        </w:rPr>
        <w:t xml:space="preserve">placed before him. </w:t>
      </w:r>
      <w:r w:rsidR="004341A4">
        <w:rPr>
          <w:rFonts w:ascii="Book Antiqua" w:hAnsi="Book Antiqua" w:cs="Arial"/>
        </w:rPr>
        <w:t xml:space="preserve">The Presenting Officer opposed the adjournment request on the grounds, </w:t>
      </w:r>
      <w:r w:rsidR="004341A4">
        <w:rPr>
          <w:rFonts w:ascii="Book Antiqua" w:hAnsi="Book Antiqua" w:cs="Arial"/>
          <w:i/>
          <w:iCs/>
        </w:rPr>
        <w:t xml:space="preserve">inter alia, </w:t>
      </w:r>
      <w:r w:rsidR="004341A4">
        <w:rPr>
          <w:rFonts w:ascii="Book Antiqua" w:hAnsi="Book Antiqua" w:cs="Arial"/>
        </w:rPr>
        <w:t>that there was no medical prognosis and no reasonable likelihood that the appellant would appear at any adjourned hearing.  The Judge did not dispute that the appellant was suffering from some mental illness as set out in the re</w:t>
      </w:r>
      <w:r>
        <w:rPr>
          <w:rFonts w:ascii="Book Antiqua" w:hAnsi="Book Antiqua" w:cs="Arial"/>
        </w:rPr>
        <w:t>port of 23 March 2018.  He</w:t>
      </w:r>
      <w:r w:rsidR="004341A4">
        <w:rPr>
          <w:rFonts w:ascii="Book Antiqua" w:hAnsi="Book Antiqua" w:cs="Arial"/>
        </w:rPr>
        <w:t xml:space="preserve"> observed that this report stated it was not possible to comment definitively on the appellant’s prognosis at this early stage in his psychotic illness, and </w:t>
      </w:r>
      <w:r>
        <w:rPr>
          <w:rFonts w:ascii="Book Antiqua" w:hAnsi="Book Antiqua" w:cs="Arial"/>
        </w:rPr>
        <w:t xml:space="preserve">that </w:t>
      </w:r>
      <w:r w:rsidR="004341A4">
        <w:rPr>
          <w:rFonts w:ascii="Book Antiqua" w:hAnsi="Book Antiqua" w:cs="Arial"/>
        </w:rPr>
        <w:t>it was not possible to provide a detailed formulation as to his mental health condition or its diagnosis.</w:t>
      </w:r>
    </w:p>
    <w:p w14:paraId="25546503" w14:textId="77777777" w:rsidR="00A83707" w:rsidRDefault="004341A4" w:rsidP="00135EE8">
      <w:pPr>
        <w:numPr>
          <w:ilvl w:val="0"/>
          <w:numId w:val="1"/>
        </w:numPr>
        <w:spacing w:before="160"/>
        <w:jc w:val="both"/>
        <w:rPr>
          <w:rFonts w:ascii="Book Antiqua" w:hAnsi="Book Antiqua" w:cs="Arial"/>
        </w:rPr>
      </w:pPr>
      <w:r>
        <w:rPr>
          <w:rFonts w:ascii="Book Antiqua" w:hAnsi="Book Antiqua" w:cs="Arial"/>
        </w:rPr>
        <w:lastRenderedPageBreak/>
        <w:t>The Judge refused the adjournment for three reasons.  The first was that the mental health condition of the appellant was not in the grounds of appeal, and it was thus a new matter.  Secondly, it appeared that even if the matter was adjourned, the</w:t>
      </w:r>
      <w:r w:rsidR="00A83707">
        <w:rPr>
          <w:rFonts w:ascii="Book Antiqua" w:hAnsi="Book Antiqua" w:cs="Arial"/>
        </w:rPr>
        <w:t>re would be difficulty in getting</w:t>
      </w:r>
      <w:r>
        <w:rPr>
          <w:rFonts w:ascii="Book Antiqua" w:hAnsi="Book Antiqua" w:cs="Arial"/>
        </w:rPr>
        <w:t xml:space="preserve"> instructions from “</w:t>
      </w:r>
      <w:r>
        <w:rPr>
          <w:rFonts w:ascii="Book Antiqua" w:hAnsi="Book Antiqua" w:cs="Arial"/>
          <w:i/>
          <w:iCs/>
        </w:rPr>
        <w:t xml:space="preserve">this challenging appellant”.  </w:t>
      </w:r>
      <w:r w:rsidR="00A83707">
        <w:rPr>
          <w:rFonts w:ascii="Book Antiqua" w:hAnsi="Book Antiqua" w:cs="Arial"/>
        </w:rPr>
        <w:t>Thirdly</w:t>
      </w:r>
      <w:r>
        <w:rPr>
          <w:rFonts w:ascii="Book Antiqua" w:hAnsi="Book Antiqua" w:cs="Arial"/>
        </w:rPr>
        <w:t>, it was unclear as to how long it would take for a full medical/mental prognosis to materialise.  The Judge concluded that, at this stage, any further delay in resolution was not warranted by the grant of an adjournment.</w:t>
      </w:r>
      <w:r w:rsidR="008966F8">
        <w:rPr>
          <w:rFonts w:ascii="Book Antiqua" w:hAnsi="Book Antiqua" w:cs="Arial"/>
        </w:rPr>
        <w:t xml:space="preserve"> </w:t>
      </w:r>
      <w:r w:rsidRPr="008966F8">
        <w:rPr>
          <w:rFonts w:ascii="Book Antiqua" w:hAnsi="Book Antiqua" w:cs="Arial"/>
        </w:rPr>
        <w:t xml:space="preserve">I consider that this was a reasonable case management decision on the evidence that was before the Judge, and </w:t>
      </w:r>
      <w:r w:rsidR="00A83707">
        <w:rPr>
          <w:rFonts w:ascii="Book Antiqua" w:hAnsi="Book Antiqua" w:cs="Arial"/>
        </w:rPr>
        <w:t xml:space="preserve">also having regard to the procedural history. </w:t>
      </w:r>
    </w:p>
    <w:p w14:paraId="31B3E4E7" w14:textId="77777777" w:rsidR="00A83707" w:rsidRPr="00A83707" w:rsidRDefault="00A83707" w:rsidP="00135EE8">
      <w:pPr>
        <w:spacing w:before="160"/>
        <w:jc w:val="both"/>
        <w:rPr>
          <w:rFonts w:ascii="Book Antiqua" w:hAnsi="Book Antiqua" w:cs="Arial"/>
          <w:i/>
        </w:rPr>
      </w:pPr>
      <w:r>
        <w:rPr>
          <w:rFonts w:ascii="Book Antiqua" w:hAnsi="Book Antiqua" w:cs="Arial"/>
          <w:i/>
        </w:rPr>
        <w:t>Ground 2 – whether refusal to adjourn was unfair in retrospect</w:t>
      </w:r>
    </w:p>
    <w:p w14:paraId="5D615053" w14:textId="77777777" w:rsidR="004341A4" w:rsidRPr="008966F8" w:rsidRDefault="004341A4" w:rsidP="00135EE8">
      <w:pPr>
        <w:numPr>
          <w:ilvl w:val="0"/>
          <w:numId w:val="1"/>
        </w:numPr>
        <w:spacing w:before="160"/>
        <w:jc w:val="both"/>
        <w:rPr>
          <w:rFonts w:ascii="Book Antiqua" w:hAnsi="Book Antiqua" w:cs="Arial"/>
        </w:rPr>
      </w:pPr>
      <w:r w:rsidRPr="008966F8">
        <w:rPr>
          <w:rFonts w:ascii="Book Antiqua" w:hAnsi="Book Antiqua" w:cs="Arial"/>
        </w:rPr>
        <w:t>I do not consider that the stance taken by the Judge is retrospe</w:t>
      </w:r>
      <w:r w:rsidR="00A83707">
        <w:rPr>
          <w:rFonts w:ascii="Book Antiqua" w:hAnsi="Book Antiqua" w:cs="Arial"/>
        </w:rPr>
        <w:t>ctively undermined by the supplementary</w:t>
      </w:r>
      <w:r w:rsidRPr="008966F8">
        <w:rPr>
          <w:rFonts w:ascii="Book Antiqua" w:hAnsi="Book Antiqua" w:cs="Arial"/>
        </w:rPr>
        <w:t xml:space="preserve"> report of Dr Guest.  While she opines that the appellant was unfit to give evidence at the hearing on 10 April 2018, this weake</w:t>
      </w:r>
      <w:r w:rsidR="0030358C">
        <w:rPr>
          <w:rFonts w:ascii="Book Antiqua" w:hAnsi="Book Antiqua" w:cs="Arial"/>
        </w:rPr>
        <w:t>ns, rather than strengthens, Mr Okoro’s</w:t>
      </w:r>
      <w:r w:rsidRPr="008966F8">
        <w:rPr>
          <w:rFonts w:ascii="Book Antiqua" w:hAnsi="Book Antiqua" w:cs="Arial"/>
        </w:rPr>
        <w:t xml:space="preserve"> case</w:t>
      </w:r>
      <w:r w:rsidR="00A83707">
        <w:rPr>
          <w:rFonts w:ascii="Book Antiqua" w:hAnsi="Book Antiqua" w:cs="Arial"/>
        </w:rPr>
        <w:t xml:space="preserve"> that the appellant was </w:t>
      </w:r>
      <w:r w:rsidR="0030358C">
        <w:rPr>
          <w:rFonts w:ascii="Book Antiqua" w:hAnsi="Book Antiqua" w:cs="Arial"/>
        </w:rPr>
        <w:t xml:space="preserve">thereby </w:t>
      </w:r>
      <w:r w:rsidRPr="008966F8">
        <w:rPr>
          <w:rFonts w:ascii="Book Antiqua" w:hAnsi="Book Antiqua" w:cs="Arial"/>
        </w:rPr>
        <w:t>deprived of a fair hearing</w:t>
      </w:r>
      <w:r w:rsidR="0030358C">
        <w:rPr>
          <w:rFonts w:ascii="Book Antiqua" w:hAnsi="Book Antiqua" w:cs="Arial"/>
        </w:rPr>
        <w:t xml:space="preserve"> of his appeal against the refusal of his asylum claim.</w:t>
      </w:r>
    </w:p>
    <w:p w14:paraId="79537B42" w14:textId="77777777" w:rsidR="004341A4" w:rsidRDefault="004341A4" w:rsidP="00135EE8">
      <w:pPr>
        <w:numPr>
          <w:ilvl w:val="0"/>
          <w:numId w:val="1"/>
        </w:numPr>
        <w:spacing w:before="160"/>
        <w:jc w:val="both"/>
        <w:rPr>
          <w:rFonts w:ascii="Book Antiqua" w:hAnsi="Book Antiqua" w:cs="Arial"/>
        </w:rPr>
      </w:pPr>
      <w:r>
        <w:rPr>
          <w:rFonts w:ascii="Book Antiqua" w:hAnsi="Book Antiqua" w:cs="Arial"/>
        </w:rPr>
        <w:t>The argu</w:t>
      </w:r>
      <w:r w:rsidR="00A83707">
        <w:rPr>
          <w:rFonts w:ascii="Book Antiqua" w:hAnsi="Book Antiqua" w:cs="Arial"/>
        </w:rPr>
        <w:t>ment that the appellant was</w:t>
      </w:r>
      <w:r>
        <w:rPr>
          <w:rFonts w:ascii="Book Antiqua" w:hAnsi="Book Antiqua" w:cs="Arial"/>
        </w:rPr>
        <w:t xml:space="preserve"> deprived of the opportunity to be cross-examined on his asylum claim might have </w:t>
      </w:r>
      <w:r w:rsidR="0030358C">
        <w:rPr>
          <w:rFonts w:ascii="Book Antiqua" w:hAnsi="Book Antiqua" w:cs="Arial"/>
        </w:rPr>
        <w:t xml:space="preserve">had </w:t>
      </w:r>
      <w:r>
        <w:rPr>
          <w:rFonts w:ascii="Book Antiqua" w:hAnsi="Book Antiqua" w:cs="Arial"/>
        </w:rPr>
        <w:t>some traction if there had been a me</w:t>
      </w:r>
      <w:r w:rsidR="00A83707">
        <w:rPr>
          <w:rFonts w:ascii="Book Antiqua" w:hAnsi="Book Antiqua" w:cs="Arial"/>
        </w:rPr>
        <w:t xml:space="preserve">aningful attempt to pursue the asylum </w:t>
      </w:r>
      <w:r>
        <w:rPr>
          <w:rFonts w:ascii="Book Antiqua" w:hAnsi="Book Antiqua" w:cs="Arial"/>
        </w:rPr>
        <w:t>claim at an earlier stage - such as a witness statement being taken from the appellant in which he addressed the asserted inconsistencies in his account</w:t>
      </w:r>
      <w:r w:rsidR="00A83707">
        <w:rPr>
          <w:rFonts w:ascii="Book Antiqua" w:hAnsi="Book Antiqua" w:cs="Arial"/>
        </w:rPr>
        <w:t xml:space="preserve"> of past persecution.  But</w:t>
      </w:r>
      <w:r>
        <w:rPr>
          <w:rFonts w:ascii="Book Antiqua" w:hAnsi="Book Antiqua" w:cs="Arial"/>
        </w:rPr>
        <w:t xml:space="preserve"> nothing </w:t>
      </w:r>
      <w:r w:rsidR="00A83707">
        <w:rPr>
          <w:rFonts w:ascii="Book Antiqua" w:hAnsi="Book Antiqua" w:cs="Arial"/>
        </w:rPr>
        <w:t>was done in this regard. In addition,</w:t>
      </w:r>
      <w:r>
        <w:rPr>
          <w:rFonts w:ascii="Book Antiqua" w:hAnsi="Book Antiqua" w:cs="Arial"/>
        </w:rPr>
        <w:t xml:space="preserve"> </w:t>
      </w:r>
      <w:r w:rsidR="00A83707">
        <w:rPr>
          <w:rFonts w:ascii="Book Antiqua" w:hAnsi="Book Antiqua" w:cs="Arial"/>
        </w:rPr>
        <w:t xml:space="preserve">his representatives </w:t>
      </w:r>
      <w:r>
        <w:rPr>
          <w:rFonts w:ascii="Book Antiqua" w:hAnsi="Book Antiqua" w:cs="Arial"/>
        </w:rPr>
        <w:t xml:space="preserve">never filed any </w:t>
      </w:r>
      <w:r w:rsidR="00A83707">
        <w:rPr>
          <w:rFonts w:ascii="Book Antiqua" w:hAnsi="Book Antiqua" w:cs="Arial"/>
        </w:rPr>
        <w:t xml:space="preserve">expert or background </w:t>
      </w:r>
      <w:r>
        <w:rPr>
          <w:rFonts w:ascii="Book Antiqua" w:hAnsi="Book Antiqua" w:cs="Arial"/>
        </w:rPr>
        <w:t xml:space="preserve">evidence in rebuttal of the respondent’s alternative case, which is that, even </w:t>
      </w:r>
      <w:r w:rsidR="00A83707">
        <w:rPr>
          <w:rFonts w:ascii="Book Antiqua" w:hAnsi="Book Antiqua" w:cs="Arial"/>
        </w:rPr>
        <w:t xml:space="preserve">if the claim is taken at its highest (i.e. even if it is assumed that the appellant is telling the truth about various relatives threatening to kill him </w:t>
      </w:r>
      <w:r w:rsidR="0030358C">
        <w:rPr>
          <w:rFonts w:ascii="Book Antiqua" w:hAnsi="Book Antiqua" w:cs="Arial"/>
        </w:rPr>
        <w:t xml:space="preserve">in order to prevent him from taking back land which they have unlawfully seized from his late mother’s estate – as to which there is not a shred of supporting documentary evidence) </w:t>
      </w:r>
      <w:r>
        <w:rPr>
          <w:rFonts w:ascii="Book Antiqua" w:hAnsi="Book Antiqua" w:cs="Arial"/>
        </w:rPr>
        <w:t>there are not substantial grounds f</w:t>
      </w:r>
      <w:r w:rsidR="0030358C">
        <w:rPr>
          <w:rFonts w:ascii="Book Antiqua" w:hAnsi="Book Antiqua" w:cs="Arial"/>
        </w:rPr>
        <w:t xml:space="preserve">or believing that the authorities in </w:t>
      </w:r>
      <w:r w:rsidR="00A83707">
        <w:rPr>
          <w:rFonts w:ascii="Book Antiqua" w:hAnsi="Book Antiqua" w:cs="Arial"/>
        </w:rPr>
        <w:t>Trinidad and</w:t>
      </w:r>
      <w:r w:rsidR="0030358C">
        <w:rPr>
          <w:rFonts w:ascii="Book Antiqua" w:hAnsi="Book Antiqua" w:cs="Arial"/>
        </w:rPr>
        <w:t xml:space="preserve"> Tobago would be unwilling or unable to provide the appellant with adequate protection. </w:t>
      </w:r>
      <w:r>
        <w:rPr>
          <w:rFonts w:ascii="Book Antiqua" w:hAnsi="Book Antiqua" w:cs="Arial"/>
        </w:rPr>
        <w:t xml:space="preserve"> </w:t>
      </w:r>
      <w:r w:rsidR="006B5BF6">
        <w:rPr>
          <w:rFonts w:ascii="Book Antiqua" w:hAnsi="Book Antiqua" w:cs="Arial"/>
        </w:rPr>
        <w:t>In oral argument before me, Mr Okoro acknowledged that the appellant’s asylum claim rested entirely on his own evidence, and that it was not supported by any external evidence.</w:t>
      </w:r>
    </w:p>
    <w:p w14:paraId="12AC7D87" w14:textId="77777777" w:rsidR="002F3107" w:rsidRDefault="006B5BF6" w:rsidP="00135EE8">
      <w:pPr>
        <w:numPr>
          <w:ilvl w:val="0"/>
          <w:numId w:val="1"/>
        </w:numPr>
        <w:spacing w:before="160"/>
        <w:jc w:val="both"/>
        <w:rPr>
          <w:rFonts w:ascii="Book Antiqua" w:hAnsi="Book Antiqua" w:cs="Arial"/>
        </w:rPr>
      </w:pPr>
      <w:r w:rsidRPr="002F3107">
        <w:rPr>
          <w:rFonts w:ascii="Book Antiqua" w:hAnsi="Book Antiqua" w:cs="Arial"/>
        </w:rPr>
        <w:t>For the above reasons, I am wholly un</w:t>
      </w:r>
      <w:r w:rsidR="004341A4" w:rsidRPr="002F3107">
        <w:rPr>
          <w:rFonts w:ascii="Book Antiqua" w:hAnsi="Book Antiqua" w:cs="Arial"/>
        </w:rPr>
        <w:t xml:space="preserve">persuaded that the appellant has been a victim of procedural unfairness with regard to the </w:t>
      </w:r>
      <w:r w:rsidR="00F55D3D">
        <w:rPr>
          <w:rFonts w:ascii="Book Antiqua" w:hAnsi="Book Antiqua" w:cs="Arial"/>
        </w:rPr>
        <w:t xml:space="preserve">hearing and </w:t>
      </w:r>
      <w:r w:rsidR="004341A4" w:rsidRPr="002F3107">
        <w:rPr>
          <w:rFonts w:ascii="Book Antiqua" w:hAnsi="Book Antiqua" w:cs="Arial"/>
        </w:rPr>
        <w:t>resolution of his asylum claim.</w:t>
      </w:r>
      <w:r w:rsidRPr="002F3107">
        <w:rPr>
          <w:rFonts w:ascii="Book Antiqua" w:hAnsi="Book Antiqua" w:cs="Arial"/>
        </w:rPr>
        <w:t xml:space="preserve"> </w:t>
      </w:r>
      <w:r w:rsidR="002F3107">
        <w:rPr>
          <w:rFonts w:ascii="Book Antiqua" w:hAnsi="Book Antiqua" w:cs="Arial"/>
        </w:rPr>
        <w:t>I note that in her supplementary report Dr Guest says that there has been some improvement in the appellant’s condition, which raises the possibility of him being fit to give evidence in three months’ time (i.e. in July 2018). But I do not consider that this is material, as I consider that the appellant has already had a fair hearing of his asylum claim, and he has not shown that he ought to be afforded another hearing.</w:t>
      </w:r>
    </w:p>
    <w:p w14:paraId="7E5862E8" w14:textId="77777777" w:rsidR="002F3107" w:rsidRPr="002F3107" w:rsidRDefault="002F3107" w:rsidP="00135EE8">
      <w:pPr>
        <w:spacing w:before="160"/>
        <w:jc w:val="both"/>
        <w:rPr>
          <w:rFonts w:ascii="Book Antiqua" w:hAnsi="Book Antiqua" w:cs="Arial"/>
          <w:i/>
        </w:rPr>
      </w:pPr>
      <w:r>
        <w:rPr>
          <w:rFonts w:ascii="Book Antiqua" w:hAnsi="Book Antiqua" w:cs="Arial"/>
          <w:i/>
        </w:rPr>
        <w:t>Ground 3 – whether procedural irregularity in Judge addressing Article 3 medical claim on the merits after refusing to grant an adjo</w:t>
      </w:r>
      <w:r w:rsidR="006E239E">
        <w:rPr>
          <w:rFonts w:ascii="Book Antiqua" w:hAnsi="Book Antiqua" w:cs="Arial"/>
          <w:i/>
        </w:rPr>
        <w:t>urnment to enable further medical evidence to be obtained</w:t>
      </w:r>
    </w:p>
    <w:p w14:paraId="1FD74755" w14:textId="77777777" w:rsidR="004341A4" w:rsidRPr="002F3107" w:rsidRDefault="006E239E" w:rsidP="00135EE8">
      <w:pPr>
        <w:numPr>
          <w:ilvl w:val="0"/>
          <w:numId w:val="1"/>
        </w:numPr>
        <w:spacing w:before="160"/>
        <w:jc w:val="both"/>
        <w:rPr>
          <w:rFonts w:ascii="Book Antiqua" w:hAnsi="Book Antiqua" w:cs="Arial"/>
        </w:rPr>
      </w:pPr>
      <w:r>
        <w:rPr>
          <w:rFonts w:ascii="Book Antiqua" w:hAnsi="Book Antiqua" w:cs="Arial"/>
        </w:rPr>
        <w:t>Mr Okoro submits that</w:t>
      </w:r>
      <w:r w:rsidR="004341A4" w:rsidRPr="002F3107">
        <w:rPr>
          <w:rFonts w:ascii="Book Antiqua" w:hAnsi="Book Antiqua" w:cs="Arial"/>
        </w:rPr>
        <w:t xml:space="preserve"> the Judge ought not to have considered an Article 3 medical claim, as </w:t>
      </w:r>
      <w:r>
        <w:rPr>
          <w:rFonts w:ascii="Book Antiqua" w:hAnsi="Book Antiqua" w:cs="Arial"/>
        </w:rPr>
        <w:t>(</w:t>
      </w:r>
      <w:r w:rsidR="004341A4" w:rsidRPr="002F3107">
        <w:rPr>
          <w:rFonts w:ascii="Book Antiqua" w:hAnsi="Book Antiqua" w:cs="Arial"/>
        </w:rPr>
        <w:t xml:space="preserve">a) the medical evidence </w:t>
      </w:r>
      <w:r>
        <w:rPr>
          <w:rFonts w:ascii="Book Antiqua" w:hAnsi="Book Antiqua" w:cs="Arial"/>
        </w:rPr>
        <w:t xml:space="preserve">in the bundle was not introduced for the </w:t>
      </w:r>
      <w:r w:rsidR="004341A4" w:rsidRPr="002F3107">
        <w:rPr>
          <w:rFonts w:ascii="Book Antiqua" w:hAnsi="Book Antiqua" w:cs="Arial"/>
        </w:rPr>
        <w:t>purpose</w:t>
      </w:r>
      <w:r w:rsidR="00DE2538">
        <w:rPr>
          <w:rFonts w:ascii="Book Antiqua" w:hAnsi="Book Antiqua" w:cs="Arial"/>
        </w:rPr>
        <w:t xml:space="preserve"> of</w:t>
      </w:r>
      <w:r>
        <w:rPr>
          <w:rFonts w:ascii="Book Antiqua" w:hAnsi="Book Antiqua" w:cs="Arial"/>
        </w:rPr>
        <w:t xml:space="preserve"> supporting such a claim</w:t>
      </w:r>
      <w:r w:rsidR="004341A4" w:rsidRPr="002F3107">
        <w:rPr>
          <w:rFonts w:ascii="Book Antiqua" w:hAnsi="Book Antiqua" w:cs="Arial"/>
        </w:rPr>
        <w:t xml:space="preserve">, and </w:t>
      </w:r>
      <w:r>
        <w:rPr>
          <w:rFonts w:ascii="Book Antiqua" w:hAnsi="Book Antiqua" w:cs="Arial"/>
        </w:rPr>
        <w:t>(</w:t>
      </w:r>
      <w:r w:rsidR="004341A4" w:rsidRPr="002F3107">
        <w:rPr>
          <w:rFonts w:ascii="Book Antiqua" w:hAnsi="Book Antiqua" w:cs="Arial"/>
        </w:rPr>
        <w:t xml:space="preserve">b) the Judge </w:t>
      </w:r>
      <w:r>
        <w:rPr>
          <w:rFonts w:ascii="Book Antiqua" w:hAnsi="Book Antiqua" w:cs="Arial"/>
        </w:rPr>
        <w:t>had refused to grant an</w:t>
      </w:r>
      <w:r w:rsidR="004341A4" w:rsidRPr="002F3107">
        <w:rPr>
          <w:rFonts w:ascii="Book Antiqua" w:hAnsi="Book Antiqua" w:cs="Arial"/>
        </w:rPr>
        <w:t xml:space="preserve"> adjournment on the basis that it was a new matter.</w:t>
      </w:r>
    </w:p>
    <w:p w14:paraId="20D854D5" w14:textId="77777777" w:rsidR="006E239E" w:rsidRDefault="006E239E" w:rsidP="00135EE8">
      <w:pPr>
        <w:numPr>
          <w:ilvl w:val="0"/>
          <w:numId w:val="1"/>
        </w:numPr>
        <w:spacing w:before="160"/>
        <w:jc w:val="both"/>
        <w:rPr>
          <w:rFonts w:ascii="Book Antiqua" w:hAnsi="Book Antiqua" w:cs="Arial"/>
        </w:rPr>
      </w:pPr>
      <w:r>
        <w:rPr>
          <w:rFonts w:ascii="Book Antiqua" w:hAnsi="Book Antiqua" w:cs="Arial"/>
        </w:rPr>
        <w:lastRenderedPageBreak/>
        <w:t>It is</w:t>
      </w:r>
      <w:r w:rsidR="004341A4">
        <w:rPr>
          <w:rFonts w:ascii="Book Antiqua" w:hAnsi="Book Antiqua" w:cs="Arial"/>
        </w:rPr>
        <w:t xml:space="preserve"> clear from the contents </w:t>
      </w:r>
      <w:r>
        <w:rPr>
          <w:rFonts w:ascii="Book Antiqua" w:hAnsi="Book Antiqua" w:cs="Arial"/>
        </w:rPr>
        <w:t xml:space="preserve">of the report of 23 March 2018 </w:t>
      </w:r>
      <w:r w:rsidR="004341A4">
        <w:rPr>
          <w:rFonts w:ascii="Book Antiqua" w:hAnsi="Book Antiqua" w:cs="Arial"/>
        </w:rPr>
        <w:t>that it was prepared at Mr Okoro’s</w:t>
      </w:r>
      <w:r>
        <w:rPr>
          <w:rFonts w:ascii="Book Antiqua" w:hAnsi="Book Antiqua" w:cs="Arial"/>
        </w:rPr>
        <w:t xml:space="preserve"> request, and with the appellant’s authority, to support an </w:t>
      </w:r>
      <w:r w:rsidR="004341A4">
        <w:rPr>
          <w:rFonts w:ascii="Book Antiqua" w:hAnsi="Book Antiqua" w:cs="Arial"/>
        </w:rPr>
        <w:t xml:space="preserve">Article 3 medical claim. </w:t>
      </w:r>
      <w:r>
        <w:rPr>
          <w:rFonts w:ascii="Book Antiqua" w:hAnsi="Book Antiqua" w:cs="Arial"/>
        </w:rPr>
        <w:t xml:space="preserve">Hence Dr Guest consulted a WHO report in order to offer an opinion about the availability of treatment for the appellant’s mental illness in his home country. </w:t>
      </w:r>
      <w:proofErr w:type="gramStart"/>
      <w:r>
        <w:rPr>
          <w:rFonts w:ascii="Book Antiqua" w:hAnsi="Book Antiqua" w:cs="Arial"/>
        </w:rPr>
        <w:t>So</w:t>
      </w:r>
      <w:proofErr w:type="gramEnd"/>
      <w:r>
        <w:rPr>
          <w:rFonts w:ascii="Book Antiqua" w:hAnsi="Book Antiqua" w:cs="Arial"/>
        </w:rPr>
        <w:t xml:space="preserve"> the argument that the report was only introduced in order to support an adjournment application is not sustainable. </w:t>
      </w:r>
    </w:p>
    <w:p w14:paraId="263B37C3" w14:textId="77777777" w:rsidR="00972C46" w:rsidRDefault="006E239E" w:rsidP="00135EE8">
      <w:pPr>
        <w:numPr>
          <w:ilvl w:val="0"/>
          <w:numId w:val="1"/>
        </w:numPr>
        <w:spacing w:before="160"/>
        <w:jc w:val="both"/>
        <w:rPr>
          <w:rFonts w:ascii="Book Antiqua" w:hAnsi="Book Antiqua" w:cs="Arial"/>
        </w:rPr>
      </w:pPr>
      <w:r>
        <w:rPr>
          <w:rFonts w:ascii="Book Antiqua" w:hAnsi="Book Antiqua" w:cs="Arial"/>
        </w:rPr>
        <w:t>It was not inconsistent of the Judge</w:t>
      </w:r>
      <w:r w:rsidR="00972C46">
        <w:rPr>
          <w:rFonts w:ascii="Book Antiqua" w:hAnsi="Book Antiqua" w:cs="Arial"/>
        </w:rPr>
        <w:t>, or procedurally irregular,</w:t>
      </w:r>
      <w:r>
        <w:rPr>
          <w:rFonts w:ascii="Book Antiqua" w:hAnsi="Book Antiqua" w:cs="Arial"/>
        </w:rPr>
        <w:t xml:space="preserve"> to refuse to grant an adjournment so that the appellant could obtain </w:t>
      </w:r>
      <w:r w:rsidRPr="00972C46">
        <w:rPr>
          <w:rFonts w:ascii="Book Antiqua" w:hAnsi="Book Antiqua" w:cs="Arial"/>
          <w:u w:val="single"/>
        </w:rPr>
        <w:t>further</w:t>
      </w:r>
      <w:r>
        <w:rPr>
          <w:rFonts w:ascii="Book Antiqua" w:hAnsi="Book Antiqua" w:cs="Arial"/>
        </w:rPr>
        <w:t xml:space="preserve"> medical evidence to buttress an Article 3 medical claim on the ground that </w:t>
      </w:r>
      <w:r w:rsidR="00972C46">
        <w:rPr>
          <w:rFonts w:ascii="Book Antiqua" w:hAnsi="Book Antiqua" w:cs="Arial"/>
        </w:rPr>
        <w:t>such a claim was a new matter; but to go on nonetheless to consider the medical evidence which was</w:t>
      </w:r>
      <w:r w:rsidR="00972C46" w:rsidRPr="00972C46">
        <w:rPr>
          <w:rFonts w:ascii="Book Antiqua" w:hAnsi="Book Antiqua" w:cs="Arial"/>
          <w:u w:val="single"/>
        </w:rPr>
        <w:t xml:space="preserve"> already</w:t>
      </w:r>
      <w:r w:rsidR="00972C46">
        <w:rPr>
          <w:rFonts w:ascii="Book Antiqua" w:hAnsi="Book Antiqua" w:cs="Arial"/>
        </w:rPr>
        <w:t xml:space="preserve"> before him in order to assess and resolve the appellant’s appeal against the refusal of his human rights claim. </w:t>
      </w:r>
    </w:p>
    <w:p w14:paraId="48D6F926" w14:textId="77777777" w:rsidR="004341A4" w:rsidRDefault="00972C46" w:rsidP="00135EE8">
      <w:pPr>
        <w:numPr>
          <w:ilvl w:val="0"/>
          <w:numId w:val="1"/>
        </w:numPr>
        <w:spacing w:before="160"/>
        <w:jc w:val="both"/>
        <w:rPr>
          <w:rFonts w:ascii="Book Antiqua" w:hAnsi="Book Antiqua" w:cs="Arial"/>
        </w:rPr>
      </w:pPr>
      <w:r>
        <w:rPr>
          <w:rFonts w:ascii="Book Antiqua" w:hAnsi="Book Antiqua" w:cs="Arial"/>
        </w:rPr>
        <w:t xml:space="preserve">The Judge did not thereby prejudice a future application for leave to remain on mental health grounds which he expressly recognised the appellant might wish to make. </w:t>
      </w:r>
      <w:r w:rsidR="00287A36">
        <w:rPr>
          <w:rFonts w:ascii="Book Antiqua" w:hAnsi="Book Antiqua" w:cs="Arial"/>
        </w:rPr>
        <w:t xml:space="preserve">It was not unfair of the Judge to find that on the available evidence an Article 3 medical claim was not made out, while also acknowledging that it was open to the appellant to present to the respondent </w:t>
      </w:r>
      <w:proofErr w:type="gramStart"/>
      <w:r w:rsidR="00287A36">
        <w:rPr>
          <w:rFonts w:ascii="Book Antiqua" w:hAnsi="Book Antiqua" w:cs="Arial"/>
        </w:rPr>
        <w:t>a fresh human rights</w:t>
      </w:r>
      <w:proofErr w:type="gramEnd"/>
      <w:r w:rsidR="00287A36">
        <w:rPr>
          <w:rFonts w:ascii="Book Antiqua" w:hAnsi="Book Antiqua" w:cs="Arial"/>
        </w:rPr>
        <w:t xml:space="preserve"> claim in the future based upon a clearer diagnosis and prognosis of his mental health condition.  </w:t>
      </w:r>
    </w:p>
    <w:p w14:paraId="5F3C6A73" w14:textId="77777777" w:rsidR="004341A4" w:rsidRDefault="004341A4" w:rsidP="00135EE8">
      <w:pPr>
        <w:spacing w:before="160"/>
        <w:jc w:val="both"/>
        <w:outlineLvl w:val="0"/>
        <w:rPr>
          <w:rFonts w:ascii="Book Antiqua" w:hAnsi="Book Antiqua" w:cs="Arial"/>
          <w:b/>
          <w:u w:val="single"/>
        </w:rPr>
      </w:pPr>
      <w:r>
        <w:rPr>
          <w:rFonts w:ascii="Book Antiqua" w:hAnsi="Book Antiqua" w:cs="Arial"/>
          <w:b/>
          <w:u w:val="single"/>
        </w:rPr>
        <w:t>Notice of Decision</w:t>
      </w:r>
    </w:p>
    <w:p w14:paraId="6303D884" w14:textId="77777777" w:rsidR="004341A4" w:rsidRDefault="004341A4" w:rsidP="00135EE8">
      <w:pPr>
        <w:tabs>
          <w:tab w:val="left" w:pos="567"/>
        </w:tabs>
        <w:spacing w:before="160"/>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14:paraId="0E6D641F" w14:textId="77777777" w:rsidR="004341A4" w:rsidRPr="00DE2538" w:rsidRDefault="004341A4" w:rsidP="00135EE8">
      <w:pPr>
        <w:spacing w:before="160"/>
        <w:jc w:val="both"/>
        <w:rPr>
          <w:rFonts w:ascii="Book Antiqua" w:hAnsi="Book Antiqua"/>
        </w:rPr>
      </w:pPr>
      <w:r w:rsidRPr="00DE2538">
        <w:rPr>
          <w:rFonts w:ascii="Book Antiqua" w:hAnsi="Book Antiqua"/>
          <w:b/>
          <w:u w:val="single"/>
        </w:rPr>
        <w:t xml:space="preserve">Direction Regarding Anonymity – </w:t>
      </w:r>
      <w:r w:rsidR="00DE2538">
        <w:rPr>
          <w:rFonts w:ascii="Book Antiqua" w:hAnsi="Book Antiqua" w:cs="Arial"/>
          <w:b/>
          <w:u w:val="single"/>
        </w:rPr>
        <w:t>rule 14</w:t>
      </w:r>
      <w:r w:rsidRPr="00DE2538">
        <w:rPr>
          <w:rFonts w:ascii="Book Antiqua" w:hAnsi="Book Antiqua" w:cs="Arial"/>
          <w:b/>
          <w:u w:val="single"/>
        </w:rPr>
        <w:t xml:space="preserve"> of th</w:t>
      </w:r>
      <w:r w:rsidR="00DE2538">
        <w:rPr>
          <w:rFonts w:ascii="Book Antiqua" w:hAnsi="Book Antiqua" w:cs="Arial"/>
          <w:b/>
          <w:u w:val="single"/>
        </w:rPr>
        <w:t xml:space="preserve">e Tribunal Procedure (Upper Tribunal) </w:t>
      </w:r>
      <w:r w:rsidRPr="00DE2538">
        <w:rPr>
          <w:rFonts w:ascii="Book Antiqua" w:hAnsi="Book Antiqua" w:cs="Arial"/>
          <w:b/>
          <w:u w:val="single"/>
        </w:rPr>
        <w:t>Rules 20</w:t>
      </w:r>
      <w:r w:rsidR="00DE2538">
        <w:rPr>
          <w:rFonts w:ascii="Book Antiqua" w:hAnsi="Book Antiqua" w:cs="Arial"/>
          <w:b/>
          <w:u w:val="single"/>
        </w:rPr>
        <w:t>08</w:t>
      </w:r>
    </w:p>
    <w:p w14:paraId="394B7D28" w14:textId="77777777" w:rsidR="004341A4" w:rsidRPr="00DE2538" w:rsidRDefault="004341A4" w:rsidP="00135EE8">
      <w:pPr>
        <w:spacing w:before="160"/>
        <w:jc w:val="both"/>
        <w:rPr>
          <w:rFonts w:ascii="Book Antiqua" w:hAnsi="Book Antiqua" w:cs="Arial"/>
        </w:rPr>
      </w:pPr>
      <w:r w:rsidRPr="00DE2538">
        <w:rPr>
          <w:rFonts w:ascii="Book Antiqua" w:hAnsi="Book Antiqua"/>
        </w:rPr>
        <w:t>Unless and 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741266FE" w14:textId="5C5E9CD6" w:rsidR="004341A4" w:rsidRDefault="004341A4">
      <w:pPr>
        <w:jc w:val="both"/>
        <w:rPr>
          <w:rFonts w:ascii="Book Antiqua" w:hAnsi="Book Antiqua" w:cs="Arial"/>
          <w:color w:val="0000FF"/>
        </w:rPr>
      </w:pPr>
    </w:p>
    <w:p w14:paraId="34B3B7A7" w14:textId="77777777" w:rsidR="00135EE8" w:rsidRDefault="00135EE8">
      <w:pPr>
        <w:jc w:val="both"/>
        <w:rPr>
          <w:rFonts w:ascii="Book Antiqua" w:hAnsi="Book Antiqua" w:cs="Arial"/>
        </w:rPr>
      </w:pPr>
    </w:p>
    <w:p w14:paraId="0106084D" w14:textId="77777777" w:rsidR="004341A4" w:rsidRDefault="004341A4">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DE2538">
        <w:rPr>
          <w:rFonts w:ascii="Book Antiqua" w:hAnsi="Book Antiqua" w:cs="Arial"/>
        </w:rPr>
        <w:t>2</w:t>
      </w:r>
      <w:r>
        <w:rPr>
          <w:rFonts w:ascii="Book Antiqua" w:hAnsi="Book Antiqua" w:cs="Arial"/>
        </w:rPr>
        <w:t>5 July 2018</w:t>
      </w:r>
    </w:p>
    <w:p w14:paraId="5F792659" w14:textId="77777777" w:rsidR="004341A4" w:rsidRDefault="004341A4">
      <w:pPr>
        <w:jc w:val="both"/>
        <w:rPr>
          <w:rFonts w:ascii="Book Antiqua" w:hAnsi="Book Antiqua" w:cs="Arial"/>
        </w:rPr>
      </w:pPr>
    </w:p>
    <w:p w14:paraId="17B2DD52" w14:textId="77777777" w:rsidR="004341A4" w:rsidRDefault="00DE2538">
      <w:pPr>
        <w:jc w:val="both"/>
        <w:rPr>
          <w:rFonts w:ascii="Book Antiqua" w:hAnsi="Book Antiqua" w:cs="Arial"/>
        </w:rPr>
      </w:pPr>
      <w:r>
        <w:rPr>
          <w:rFonts w:ascii="Book Antiqua" w:hAnsi="Book Antiqua" w:cs="Arial"/>
        </w:rPr>
        <w:t xml:space="preserve">Deputy Upper Tribunal </w:t>
      </w:r>
      <w:r w:rsidR="004341A4">
        <w:rPr>
          <w:rFonts w:ascii="Book Antiqua" w:hAnsi="Book Antiqua" w:cs="Arial"/>
        </w:rPr>
        <w:t>Judge Monson</w:t>
      </w:r>
    </w:p>
    <w:p w14:paraId="43E15D7E" w14:textId="77777777" w:rsidR="004341A4" w:rsidRDefault="004341A4">
      <w:pPr>
        <w:jc w:val="both"/>
        <w:rPr>
          <w:rFonts w:ascii="Book Antiqua" w:hAnsi="Book Antiqua" w:cs="Arial"/>
        </w:rPr>
      </w:pPr>
    </w:p>
    <w:sectPr w:rsidR="004341A4" w:rsidSect="00775792">
      <w:headerReference w:type="default" r:id="rId8"/>
      <w:footerReference w:type="default" r:id="rId9"/>
      <w:headerReference w:type="first" r:id="rId10"/>
      <w:footerReference w:type="first" r:id="rId11"/>
      <w:type w:val="continuous"/>
      <w:pgSz w:w="11906" w:h="16838" w:code="9"/>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562DF" w14:textId="77777777" w:rsidR="004341A4" w:rsidRDefault="004341A4">
      <w:r>
        <w:separator/>
      </w:r>
    </w:p>
  </w:endnote>
  <w:endnote w:type="continuationSeparator" w:id="0">
    <w:p w14:paraId="771A6540" w14:textId="77777777" w:rsidR="004341A4" w:rsidRDefault="00434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B0A2F" w14:textId="6C9A5DA4" w:rsidR="004341A4" w:rsidRDefault="004341A4">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0A522E">
      <w:rPr>
        <w:rStyle w:val="PageNumber"/>
        <w:rFonts w:ascii="Book Antiqua" w:hAnsi="Book Antiqua" w:cs="Arial"/>
        <w:noProof/>
        <w:sz w:val="16"/>
        <w:szCs w:val="16"/>
      </w:rPr>
      <w:t>7</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7FE4D" w14:textId="77777777" w:rsidR="004341A4" w:rsidRDefault="004341A4">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C7713" w14:textId="77777777" w:rsidR="004341A4" w:rsidRDefault="004341A4">
      <w:r>
        <w:separator/>
      </w:r>
    </w:p>
  </w:footnote>
  <w:footnote w:type="continuationSeparator" w:id="0">
    <w:p w14:paraId="5A766AE1" w14:textId="77777777" w:rsidR="004341A4" w:rsidRDefault="00434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3A471" w14:textId="77777777" w:rsidR="004341A4" w:rsidRDefault="004341A4">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PA/09156/2017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5196C" w14:textId="77777777" w:rsidR="004341A4" w:rsidRDefault="004341A4">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A522E"/>
    <w:rsid w:val="00135EE8"/>
    <w:rsid w:val="00172A27"/>
    <w:rsid w:val="001F169F"/>
    <w:rsid w:val="00287A36"/>
    <w:rsid w:val="002F3107"/>
    <w:rsid w:val="0030358C"/>
    <w:rsid w:val="004341A4"/>
    <w:rsid w:val="00665436"/>
    <w:rsid w:val="006B5BF6"/>
    <w:rsid w:val="006E239E"/>
    <w:rsid w:val="00715D43"/>
    <w:rsid w:val="00775792"/>
    <w:rsid w:val="008966F8"/>
    <w:rsid w:val="00972C46"/>
    <w:rsid w:val="00A83707"/>
    <w:rsid w:val="00AB1DAA"/>
    <w:rsid w:val="00BC1AE8"/>
    <w:rsid w:val="00CA1DBA"/>
    <w:rsid w:val="00CF2ABD"/>
    <w:rsid w:val="00DE2538"/>
    <w:rsid w:val="00E22F16"/>
    <w:rsid w:val="00E9287A"/>
    <w:rsid w:val="00F55D3D"/>
    <w:rsid w:val="00FB55D8"/>
    <w:rsid w:val="01025BDF"/>
    <w:rsid w:val="017770E9"/>
    <w:rsid w:val="03E1783D"/>
    <w:rsid w:val="057D74F1"/>
    <w:rsid w:val="059A5658"/>
    <w:rsid w:val="0CE06A9D"/>
    <w:rsid w:val="0D9D376D"/>
    <w:rsid w:val="0E0202C3"/>
    <w:rsid w:val="0E1C2B52"/>
    <w:rsid w:val="0F19354B"/>
    <w:rsid w:val="126E172F"/>
    <w:rsid w:val="13F5090E"/>
    <w:rsid w:val="14132D1C"/>
    <w:rsid w:val="14B71948"/>
    <w:rsid w:val="172C630B"/>
    <w:rsid w:val="174635BB"/>
    <w:rsid w:val="17914C39"/>
    <w:rsid w:val="1A25057E"/>
    <w:rsid w:val="1F036D4B"/>
    <w:rsid w:val="2029338F"/>
    <w:rsid w:val="20E00039"/>
    <w:rsid w:val="214841D7"/>
    <w:rsid w:val="21F903AD"/>
    <w:rsid w:val="23B57380"/>
    <w:rsid w:val="23C710EF"/>
    <w:rsid w:val="26D91087"/>
    <w:rsid w:val="274B127A"/>
    <w:rsid w:val="29447648"/>
    <w:rsid w:val="2A74080D"/>
    <w:rsid w:val="2C7D6E9D"/>
    <w:rsid w:val="2CDF0A78"/>
    <w:rsid w:val="30593EC5"/>
    <w:rsid w:val="3360420D"/>
    <w:rsid w:val="3847685C"/>
    <w:rsid w:val="3A1958AE"/>
    <w:rsid w:val="3D953662"/>
    <w:rsid w:val="3FE14789"/>
    <w:rsid w:val="4599530C"/>
    <w:rsid w:val="46F72B3E"/>
    <w:rsid w:val="47334429"/>
    <w:rsid w:val="47D5272C"/>
    <w:rsid w:val="48ED08B0"/>
    <w:rsid w:val="48F2781B"/>
    <w:rsid w:val="4A4C588A"/>
    <w:rsid w:val="4B342B13"/>
    <w:rsid w:val="4CC32A5F"/>
    <w:rsid w:val="4D8F66A6"/>
    <w:rsid w:val="4FF8249B"/>
    <w:rsid w:val="51111E5A"/>
    <w:rsid w:val="529A0E8C"/>
    <w:rsid w:val="56EF1C6F"/>
    <w:rsid w:val="5B6B5594"/>
    <w:rsid w:val="5C396EE6"/>
    <w:rsid w:val="5D6436BD"/>
    <w:rsid w:val="5DA36897"/>
    <w:rsid w:val="5E55107B"/>
    <w:rsid w:val="5E585404"/>
    <w:rsid w:val="5E857CE8"/>
    <w:rsid w:val="5EF51AD7"/>
    <w:rsid w:val="638F284C"/>
    <w:rsid w:val="64E651BE"/>
    <w:rsid w:val="650132BD"/>
    <w:rsid w:val="655B0196"/>
    <w:rsid w:val="655C01FB"/>
    <w:rsid w:val="676D5DDC"/>
    <w:rsid w:val="684952A6"/>
    <w:rsid w:val="68F82D2A"/>
    <w:rsid w:val="690865AE"/>
    <w:rsid w:val="695C13C0"/>
    <w:rsid w:val="6AE506BA"/>
    <w:rsid w:val="6B186404"/>
    <w:rsid w:val="6BDC3232"/>
    <w:rsid w:val="6C073C6A"/>
    <w:rsid w:val="6D6B2C02"/>
    <w:rsid w:val="6D6C07F2"/>
    <w:rsid w:val="6E693E10"/>
    <w:rsid w:val="6EBF1317"/>
    <w:rsid w:val="71215A9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3756B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3336</Words>
  <Characters>16249</Characters>
  <Application>Microsoft Office Word</Application>
  <DocSecurity>0</DocSecurity>
  <PresentationFormat/>
  <Lines>135</Lines>
  <Paragraphs>39</Paragraphs>
  <Slides>0</Slides>
  <Notes>0</Notes>
  <HiddenSlides>0</HiddenSlides>
  <MMClips>0</MMClips>
  <ScaleCrop>false</ScaleCrop>
  <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2018-08-16T14:18:00Z</dcterms:created>
  <dcterms:modified xsi:type="dcterms:W3CDTF">2018-08-16T14:18:00Z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