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BB2F53" w:rsidP="006B6451">
      <w:pPr>
        <w:jc w:val="center"/>
        <w:rPr>
          <w:rFonts w:ascii="Book Antiqua" w:hAnsi="Book Antiqua" w:cs="Arial"/>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A325C2" w:rsidRDefault="006B6451" w:rsidP="00B626FA">
      <w:pPr>
        <w:tabs>
          <w:tab w:val="right" w:pos="9639"/>
        </w:tabs>
        <w:rPr>
          <w:rFonts w:ascii="Book Antiqua" w:hAnsi="Book Antiqua" w:cs="Arial"/>
          <w:b/>
        </w:rPr>
      </w:pPr>
      <w:r w:rsidRPr="00C01D77">
        <w:rPr>
          <w:rFonts w:ascii="Book Antiqua" w:hAnsi="Book Antiqua" w:cs="Arial"/>
          <w:b/>
        </w:rPr>
        <w:t xml:space="preserve">(Immigration and Asylum </w:t>
      </w:r>
      <w:proofErr w:type="gramStart"/>
      <w:r w:rsidRPr="00C01D77">
        <w:rPr>
          <w:rFonts w:ascii="Book Antiqua" w:hAnsi="Book Antiqua" w:cs="Arial"/>
          <w:b/>
        </w:rPr>
        <w:t>Chamber)</w:t>
      </w:r>
      <w:r w:rsidR="00A325C2">
        <w:rPr>
          <w:rFonts w:ascii="Book Antiqua" w:hAnsi="Book Antiqua" w:cs="Arial"/>
          <w:b/>
        </w:rPr>
        <w:t xml:space="preserve">   </w:t>
      </w:r>
      <w:proofErr w:type="gramEnd"/>
      <w:r w:rsidR="00A325C2">
        <w:rPr>
          <w:rFonts w:ascii="Book Antiqua" w:hAnsi="Book Antiqua" w:cs="Arial"/>
          <w:b/>
        </w:rPr>
        <w:t xml:space="preserve">                     </w:t>
      </w:r>
      <w:r w:rsidR="00B3524D" w:rsidRPr="00A325C2">
        <w:rPr>
          <w:rFonts w:ascii="Book Antiqua" w:hAnsi="Book Antiqua" w:cs="Arial"/>
          <w:b/>
        </w:rPr>
        <w:t>Appeal Number</w:t>
      </w:r>
      <w:r w:rsidR="00D53769" w:rsidRPr="00A325C2">
        <w:rPr>
          <w:rFonts w:ascii="Book Antiqua" w:hAnsi="Book Antiqua" w:cs="Arial"/>
          <w:b/>
        </w:rPr>
        <w:t>:</w:t>
      </w:r>
      <w:r w:rsidR="00B3524D" w:rsidRPr="00A325C2">
        <w:rPr>
          <w:rFonts w:ascii="Book Antiqua" w:hAnsi="Book Antiqua" w:cs="Arial"/>
          <w:b/>
        </w:rPr>
        <w:t xml:space="preserve"> </w:t>
      </w:r>
      <w:r w:rsidR="00BB2F53" w:rsidRPr="00A325C2">
        <w:rPr>
          <w:rFonts w:ascii="Book Antiqua" w:hAnsi="Book Antiqua" w:cs="Arial"/>
          <w:b/>
          <w:caps/>
        </w:rPr>
        <w:t>PA/09161/2017</w:t>
      </w: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C01D77" w:rsidTr="00A325C2">
        <w:tc>
          <w:tcPr>
            <w:tcW w:w="5387"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BB2F53">
              <w:rPr>
                <w:rFonts w:ascii="Book Antiqua" w:hAnsi="Book Antiqua" w:cs="Arial"/>
                <w:b/>
              </w:rPr>
              <w:t>Bradford</w:t>
            </w:r>
          </w:p>
        </w:tc>
        <w:tc>
          <w:tcPr>
            <w:tcW w:w="4621" w:type="dxa"/>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A325C2">
        <w:tc>
          <w:tcPr>
            <w:tcW w:w="5387"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BB2F53">
              <w:rPr>
                <w:rFonts w:ascii="Book Antiqua" w:hAnsi="Book Antiqua" w:cs="Arial"/>
                <w:b/>
              </w:rPr>
              <w:t>25</w:t>
            </w:r>
            <w:r w:rsidR="00BB2F53" w:rsidRPr="00BB2F53">
              <w:rPr>
                <w:rFonts w:ascii="Book Antiqua" w:hAnsi="Book Antiqua" w:cs="Arial"/>
                <w:b/>
                <w:vertAlign w:val="superscript"/>
              </w:rPr>
              <w:t>th</w:t>
            </w:r>
            <w:r w:rsidR="00BB2F53">
              <w:rPr>
                <w:rFonts w:ascii="Book Antiqua" w:hAnsi="Book Antiqua" w:cs="Arial"/>
                <w:b/>
              </w:rPr>
              <w:t xml:space="preserve"> June 2018</w:t>
            </w:r>
          </w:p>
        </w:tc>
        <w:tc>
          <w:tcPr>
            <w:tcW w:w="4621" w:type="dxa"/>
          </w:tcPr>
          <w:p w:rsidR="00D22636" w:rsidRPr="00C01D77" w:rsidRDefault="007C6A8D" w:rsidP="004A1848">
            <w:pPr>
              <w:jc w:val="both"/>
              <w:rPr>
                <w:rFonts w:ascii="Book Antiqua" w:hAnsi="Book Antiqua" w:cs="Arial"/>
                <w:b/>
              </w:rPr>
            </w:pPr>
            <w:r>
              <w:rPr>
                <w:rFonts w:ascii="Book Antiqua" w:hAnsi="Book Antiqua" w:cs="Arial"/>
                <w:b/>
              </w:rPr>
              <w:t xml:space="preserve">On </w:t>
            </w:r>
            <w:r w:rsidR="009E1C6B">
              <w:rPr>
                <w:rFonts w:ascii="Book Antiqua" w:hAnsi="Book Antiqua" w:cs="Arial"/>
                <w:b/>
              </w:rPr>
              <w:t>2</w:t>
            </w:r>
            <w:r w:rsidR="009E1C6B" w:rsidRPr="009E1C6B">
              <w:rPr>
                <w:rFonts w:ascii="Book Antiqua" w:hAnsi="Book Antiqua" w:cs="Arial"/>
                <w:b/>
                <w:vertAlign w:val="superscript"/>
              </w:rPr>
              <w:t>nd</w:t>
            </w:r>
            <w:r w:rsidR="009E1C6B">
              <w:rPr>
                <w:rFonts w:ascii="Book Antiqua" w:hAnsi="Book Antiqua" w:cs="Arial"/>
                <w:b/>
              </w:rPr>
              <w:t xml:space="preserve"> </w:t>
            </w:r>
            <w:r>
              <w:rPr>
                <w:rFonts w:ascii="Book Antiqua" w:hAnsi="Book Antiqua" w:cs="Arial"/>
                <w:b/>
              </w:rPr>
              <w:t>July 2018</w:t>
            </w:r>
          </w:p>
        </w:tc>
      </w:tr>
      <w:tr w:rsidR="00D22636" w:rsidRPr="00C01D77" w:rsidTr="00A325C2">
        <w:tc>
          <w:tcPr>
            <w:tcW w:w="5387" w:type="dxa"/>
          </w:tcPr>
          <w:p w:rsidR="00D22636" w:rsidRPr="00C01D77" w:rsidRDefault="00D22636" w:rsidP="004A1848">
            <w:pPr>
              <w:jc w:val="both"/>
              <w:rPr>
                <w:rFonts w:ascii="Book Antiqua" w:hAnsi="Book Antiqua" w:cs="Arial"/>
                <w:b/>
              </w:rPr>
            </w:pPr>
          </w:p>
        </w:tc>
        <w:tc>
          <w:tcPr>
            <w:tcW w:w="4621"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C01D77">
        <w:rPr>
          <w:rFonts w:ascii="Book Antiqua" w:hAnsi="Book Antiqua" w:cs="Arial"/>
          <w:b/>
        </w:rPr>
        <w:t>Between</w:t>
      </w:r>
    </w:p>
    <w:p w:rsidR="00A845DC" w:rsidRDefault="00A845DC" w:rsidP="00BB2F53">
      <w:pPr>
        <w:rPr>
          <w:rFonts w:ascii="Book Antiqua" w:hAnsi="Book Antiqua" w:cs="Arial"/>
          <w:b/>
        </w:rPr>
      </w:pPr>
    </w:p>
    <w:p w:rsidR="00A325C2" w:rsidRDefault="00A325C2" w:rsidP="00A325C2">
      <w:pPr>
        <w:jc w:val="center"/>
        <w:rPr>
          <w:rFonts w:ascii="Book Antiqua" w:hAnsi="Book Antiqua" w:cs="Arial"/>
          <w:b/>
        </w:rPr>
      </w:pPr>
      <w:r>
        <w:rPr>
          <w:rFonts w:ascii="Book Antiqua" w:hAnsi="Book Antiqua" w:cs="Arial"/>
          <w:b/>
        </w:rPr>
        <w:t>THE SECRETARY OF STATE FOR THE HOME DEPARTMENT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6D1DFA" w:rsidRPr="00C01D77" w:rsidRDefault="006D1DFA" w:rsidP="00704B61">
      <w:pPr>
        <w:jc w:val="center"/>
        <w:rPr>
          <w:rFonts w:ascii="Book Antiqua" w:hAnsi="Book Antiqua" w:cs="Arial"/>
          <w:b/>
        </w:rPr>
      </w:pPr>
    </w:p>
    <w:p w:rsidR="00A325C2" w:rsidRDefault="00A325C2"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BB2F53">
      <w:pPr>
        <w:rPr>
          <w:rFonts w:ascii="Book Antiqua" w:hAnsi="Book Antiqua" w:cs="Arial"/>
          <w:b/>
          <w:caps/>
        </w:rPr>
      </w:pPr>
    </w:p>
    <w:p w:rsidR="00BB2F53" w:rsidRDefault="00BB2F53" w:rsidP="00BB2F53">
      <w:pPr>
        <w:jc w:val="center"/>
        <w:rPr>
          <w:rFonts w:ascii="Book Antiqua" w:hAnsi="Book Antiqua" w:cs="Arial"/>
          <w:b/>
          <w:caps/>
        </w:rPr>
      </w:pPr>
      <w:r>
        <w:rPr>
          <w:rFonts w:ascii="Book Antiqua" w:hAnsi="Book Antiqua" w:cs="Arial"/>
          <w:b/>
          <w:caps/>
        </w:rPr>
        <w:t>Mr A</w:t>
      </w:r>
      <w:r w:rsidR="00AC6EE4">
        <w:rPr>
          <w:rFonts w:ascii="Book Antiqua" w:hAnsi="Book Antiqua" w:cs="Arial"/>
          <w:b/>
          <w:caps/>
        </w:rPr>
        <w:t>.</w:t>
      </w:r>
      <w:r>
        <w:rPr>
          <w:rFonts w:ascii="Book Antiqua" w:hAnsi="Book Antiqua" w:cs="Arial"/>
          <w:b/>
          <w:caps/>
        </w:rPr>
        <w:t>A</w:t>
      </w:r>
      <w:r w:rsidR="00AC6EE4">
        <w:rPr>
          <w:rFonts w:ascii="Book Antiqua" w:hAnsi="Book Antiqua" w:cs="Arial"/>
          <w:b/>
          <w:caps/>
        </w:rPr>
        <w:t>.</w:t>
      </w:r>
    </w:p>
    <w:p w:rsidR="00BB2F53" w:rsidRPr="00A325C2" w:rsidRDefault="00BB2F53" w:rsidP="00BB2F53">
      <w:pPr>
        <w:jc w:val="center"/>
        <w:rPr>
          <w:rFonts w:ascii="Book Antiqua" w:hAnsi="Book Antiqua" w:cs="Arial"/>
          <w:caps/>
        </w:rPr>
      </w:pPr>
      <w:r w:rsidRPr="00A325C2">
        <w:rPr>
          <w:rFonts w:ascii="Book Antiqua" w:hAnsi="Book Antiqua" w:cs="Arial"/>
          <w:caps/>
        </w:rPr>
        <w:t>(ANONYMITY DIRECTION MADE)</w:t>
      </w: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BB2F53">
        <w:rPr>
          <w:rFonts w:ascii="Book Antiqua" w:hAnsi="Book Antiqua" w:cs="Arial"/>
        </w:rPr>
        <w:t xml:space="preserve">Mr M </w:t>
      </w:r>
      <w:proofErr w:type="spellStart"/>
      <w:r w:rsidR="00BB2F53">
        <w:rPr>
          <w:rFonts w:ascii="Book Antiqua" w:hAnsi="Book Antiqua" w:cs="Arial"/>
        </w:rPr>
        <w:t>Diwnycz</w:t>
      </w:r>
      <w:proofErr w:type="spellEnd"/>
      <w:r w:rsidR="00BB2F53">
        <w:rPr>
          <w:rFonts w:ascii="Book Antiqua" w:hAnsi="Book Antiqua" w:cs="Arial"/>
        </w:rPr>
        <w:t xml:space="preserve">, Senior Home Office Presenting Officer </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D37422">
        <w:rPr>
          <w:rFonts w:ascii="Book Antiqua" w:hAnsi="Book Antiqua" w:cs="Arial"/>
        </w:rPr>
        <w:t xml:space="preserve">Miss Pickering, </w:t>
      </w:r>
      <w:r w:rsidR="00BB2F53">
        <w:rPr>
          <w:rFonts w:ascii="Book Antiqua" w:hAnsi="Book Antiqua" w:cs="Arial"/>
        </w:rPr>
        <w:t>Counsel</w:t>
      </w:r>
    </w:p>
    <w:p w:rsidR="00DE7DB7" w:rsidRPr="00C01D77" w:rsidRDefault="00DE7DB7" w:rsidP="00402B9E">
      <w:pPr>
        <w:tabs>
          <w:tab w:val="left" w:pos="2520"/>
        </w:tabs>
        <w:jc w:val="center"/>
        <w:rPr>
          <w:rFonts w:ascii="Book Antiqua" w:hAnsi="Book Antiqua" w:cs="Arial"/>
        </w:rPr>
      </w:pPr>
    </w:p>
    <w:p w:rsidR="00AC6EE4" w:rsidRDefault="00AC6EE4" w:rsidP="00AC6EE4">
      <w:pPr>
        <w:rPr>
          <w:rFonts w:ascii="Book Antiqua" w:hAnsi="Book Antiqua" w:cs="Arial"/>
          <w:b/>
          <w:u w:val="single"/>
        </w:rPr>
      </w:pPr>
      <w:r>
        <w:rPr>
          <w:rFonts w:ascii="Book Antiqua" w:hAnsi="Book Antiqua" w:cs="Arial"/>
          <w:b/>
          <w:u w:val="single"/>
        </w:rPr>
        <w:t>Anonymity</w:t>
      </w:r>
    </w:p>
    <w:p w:rsidR="00AC6EE4" w:rsidRDefault="00AC6EE4" w:rsidP="00AC6EE4">
      <w:pPr>
        <w:rPr>
          <w:rFonts w:ascii="Book Antiqua" w:hAnsi="Book Antiqua" w:cs="Arial"/>
        </w:rPr>
      </w:pPr>
    </w:p>
    <w:p w:rsidR="00AC6EE4" w:rsidRPr="002B111E" w:rsidRDefault="00AC6EE4" w:rsidP="00AC6EE4">
      <w:pPr>
        <w:rPr>
          <w:rFonts w:ascii="Book Antiqua" w:hAnsi="Book Antiqua" w:cs="Arial"/>
          <w:i/>
        </w:rPr>
      </w:pPr>
      <w:r w:rsidRPr="002B111E">
        <w:rPr>
          <w:rFonts w:ascii="Book Antiqua" w:hAnsi="Book Antiqua" w:cs="Arial"/>
          <w:i/>
        </w:rPr>
        <w:t>Rule 14: The Tribunal Procedure (Upper Tribunal) Rules 2008</w:t>
      </w:r>
    </w:p>
    <w:p w:rsidR="00AC6EE4" w:rsidRPr="002B111E" w:rsidRDefault="00AC6EE4" w:rsidP="00AC6EE4">
      <w:pPr>
        <w:rPr>
          <w:rFonts w:ascii="Book Antiqua" w:hAnsi="Book Antiqua" w:cs="Arial"/>
        </w:rPr>
      </w:pPr>
      <w:r>
        <w:rPr>
          <w:rFonts w:ascii="Book Antiqua" w:hAnsi="Book Antiqua" w:cs="Arial"/>
        </w:rPr>
        <w:t xml:space="preserve">An anonymity direction was made by the First-tier Tribunal.  It is appropriate to continue that direction. </w:t>
      </w:r>
    </w:p>
    <w:p w:rsidR="00A325C2" w:rsidRDefault="00A325C2" w:rsidP="00A325C2">
      <w:pPr>
        <w:rPr>
          <w:rFonts w:ascii="Book Antiqua" w:hAnsi="Book Antiqua" w:cs="Arial"/>
          <w:b/>
          <w:u w:val="single"/>
        </w:rPr>
      </w:pPr>
    </w:p>
    <w:p w:rsidR="00DE7DB7" w:rsidRPr="00C01D77" w:rsidRDefault="00073E80" w:rsidP="00A325C2">
      <w:pPr>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073E80" w:rsidRPr="00C01D77" w:rsidRDefault="00073E80" w:rsidP="00402B9E">
      <w:pPr>
        <w:tabs>
          <w:tab w:val="left" w:pos="2520"/>
        </w:tabs>
        <w:jc w:val="both"/>
        <w:rPr>
          <w:rFonts w:ascii="Book Antiqua" w:hAnsi="Book Antiqua" w:cs="Arial"/>
        </w:rPr>
      </w:pPr>
    </w:p>
    <w:p w:rsidR="00E943B7" w:rsidRDefault="00BB2F53" w:rsidP="00E943B7">
      <w:pPr>
        <w:numPr>
          <w:ilvl w:val="0"/>
          <w:numId w:val="3"/>
        </w:numPr>
        <w:spacing w:before="240"/>
        <w:jc w:val="both"/>
        <w:rPr>
          <w:rFonts w:ascii="Book Antiqua" w:hAnsi="Book Antiqua" w:cs="Arial"/>
        </w:rPr>
      </w:pPr>
      <w:r>
        <w:rPr>
          <w:rFonts w:ascii="Book Antiqua" w:hAnsi="Book Antiqua" w:cs="Arial"/>
        </w:rPr>
        <w:t xml:space="preserve">The Secretary of State appeals with permission against the decision of the First-tier Tribunal (Judge Howard) </w:t>
      </w:r>
      <w:r w:rsidR="00CF7CA6">
        <w:rPr>
          <w:rFonts w:ascii="Book Antiqua" w:hAnsi="Book Antiqua" w:cs="Arial"/>
        </w:rPr>
        <w:t>dismissing the appeal of A</w:t>
      </w:r>
      <w:r w:rsidR="00AC6EE4">
        <w:rPr>
          <w:rFonts w:ascii="Book Antiqua" w:hAnsi="Book Antiqua" w:cs="Arial"/>
        </w:rPr>
        <w:t>.</w:t>
      </w:r>
      <w:r w:rsidR="00CF7CA6">
        <w:rPr>
          <w:rFonts w:ascii="Book Antiqua" w:hAnsi="Book Antiqua" w:cs="Arial"/>
        </w:rPr>
        <w:t>A</w:t>
      </w:r>
      <w:r w:rsidR="00AC6EE4">
        <w:rPr>
          <w:rFonts w:ascii="Book Antiqua" w:hAnsi="Book Antiqua" w:cs="Arial"/>
        </w:rPr>
        <w:t>.</w:t>
      </w:r>
      <w:r w:rsidR="00CF7CA6">
        <w:rPr>
          <w:rFonts w:ascii="Book Antiqua" w:hAnsi="Book Antiqua" w:cs="Arial"/>
        </w:rPr>
        <w:t xml:space="preserve"> for asylum/humanitarian protection, but </w:t>
      </w:r>
      <w:r>
        <w:rPr>
          <w:rFonts w:ascii="Book Antiqua" w:hAnsi="Book Antiqua" w:cs="Arial"/>
        </w:rPr>
        <w:t xml:space="preserve">allowing the </w:t>
      </w:r>
      <w:r w:rsidR="00CF7CA6">
        <w:rPr>
          <w:rFonts w:ascii="Book Antiqua" w:hAnsi="Book Antiqua" w:cs="Arial"/>
        </w:rPr>
        <w:t>appeal on Human Rights grounds</w:t>
      </w:r>
      <w:r>
        <w:rPr>
          <w:rFonts w:ascii="Book Antiqua" w:hAnsi="Book Antiqua" w:cs="Arial"/>
        </w:rPr>
        <w:t xml:space="preserve">.  </w:t>
      </w:r>
    </w:p>
    <w:p w:rsidR="00BB2F53" w:rsidRDefault="00BB2F53" w:rsidP="00E943B7">
      <w:pPr>
        <w:numPr>
          <w:ilvl w:val="0"/>
          <w:numId w:val="3"/>
        </w:numPr>
        <w:spacing w:before="240"/>
        <w:jc w:val="both"/>
        <w:rPr>
          <w:rFonts w:ascii="Book Antiqua" w:hAnsi="Book Antiqua" w:cs="Arial"/>
        </w:rPr>
      </w:pPr>
      <w:r>
        <w:rPr>
          <w:rFonts w:ascii="Book Antiqua" w:hAnsi="Book Antiqua" w:cs="Arial"/>
        </w:rPr>
        <w:lastRenderedPageBreak/>
        <w:t>For the sake of convenience throughout this decision I shall refer to the Secretary of State as “the Respondent” and to A</w:t>
      </w:r>
      <w:r w:rsidR="00AC6EE4">
        <w:rPr>
          <w:rFonts w:ascii="Book Antiqua" w:hAnsi="Book Antiqua" w:cs="Arial"/>
        </w:rPr>
        <w:t>.</w:t>
      </w:r>
      <w:r>
        <w:rPr>
          <w:rFonts w:ascii="Book Antiqua" w:hAnsi="Book Antiqua" w:cs="Arial"/>
        </w:rPr>
        <w:t>A</w:t>
      </w:r>
      <w:r w:rsidR="00AC6EE4">
        <w:rPr>
          <w:rFonts w:ascii="Book Antiqua" w:hAnsi="Book Antiqua" w:cs="Arial"/>
        </w:rPr>
        <w:t>.</w:t>
      </w:r>
      <w:r>
        <w:rPr>
          <w:rFonts w:ascii="Book Antiqua" w:hAnsi="Book Antiqua" w:cs="Arial"/>
        </w:rPr>
        <w:t xml:space="preserve"> as “the Appellant”, thereby reflecting their respective positions before the First-tier Tribunal.</w:t>
      </w:r>
    </w:p>
    <w:p w:rsidR="00BB2F53" w:rsidRPr="00BB2F53" w:rsidRDefault="00BB2F53" w:rsidP="00BB2F53">
      <w:pPr>
        <w:spacing w:before="240"/>
        <w:jc w:val="both"/>
        <w:rPr>
          <w:rFonts w:ascii="Book Antiqua" w:hAnsi="Book Antiqua" w:cs="Arial"/>
          <w:b/>
          <w:u w:val="single"/>
        </w:rPr>
      </w:pPr>
      <w:r>
        <w:rPr>
          <w:rFonts w:ascii="Book Antiqua" w:hAnsi="Book Antiqua" w:cs="Arial"/>
          <w:b/>
          <w:u w:val="single"/>
        </w:rPr>
        <w:t xml:space="preserve">Background </w:t>
      </w:r>
    </w:p>
    <w:p w:rsidR="00BB2F53" w:rsidRDefault="00BB2F53" w:rsidP="00E943B7">
      <w:pPr>
        <w:numPr>
          <w:ilvl w:val="0"/>
          <w:numId w:val="3"/>
        </w:numPr>
        <w:spacing w:before="240"/>
        <w:jc w:val="both"/>
        <w:rPr>
          <w:rFonts w:ascii="Book Antiqua" w:hAnsi="Book Antiqua" w:cs="Arial"/>
        </w:rPr>
      </w:pPr>
      <w:r>
        <w:rPr>
          <w:rFonts w:ascii="Book Antiqua" w:hAnsi="Book Antiqua" w:cs="Arial"/>
        </w:rPr>
        <w:t>The Appellant is a citizen of Pakistan born 11</w:t>
      </w:r>
      <w:r w:rsidRPr="00BB2F53">
        <w:rPr>
          <w:rFonts w:ascii="Book Antiqua" w:hAnsi="Book Antiqua" w:cs="Arial"/>
          <w:vertAlign w:val="superscript"/>
        </w:rPr>
        <w:t>th</w:t>
      </w:r>
      <w:r>
        <w:rPr>
          <w:rFonts w:ascii="Book Antiqua" w:hAnsi="Book Antiqua" w:cs="Arial"/>
        </w:rPr>
        <w:t xml:space="preserve"> November 1984.  He first entered the UK in June 2011 on a student visa valid until May 2013.  </w:t>
      </w:r>
    </w:p>
    <w:p w:rsidR="00BB2F53" w:rsidRDefault="00BB2F53" w:rsidP="00E943B7">
      <w:pPr>
        <w:numPr>
          <w:ilvl w:val="0"/>
          <w:numId w:val="3"/>
        </w:numPr>
        <w:spacing w:before="240"/>
        <w:jc w:val="both"/>
        <w:rPr>
          <w:rFonts w:ascii="Book Antiqua" w:hAnsi="Book Antiqua" w:cs="Arial"/>
        </w:rPr>
      </w:pPr>
      <w:r>
        <w:rPr>
          <w:rFonts w:ascii="Book Antiqua" w:hAnsi="Book Antiqua" w:cs="Arial"/>
        </w:rPr>
        <w:t>On 17</w:t>
      </w:r>
      <w:r w:rsidRPr="00BB2F53">
        <w:rPr>
          <w:rFonts w:ascii="Book Antiqua" w:hAnsi="Book Antiqua" w:cs="Arial"/>
          <w:vertAlign w:val="superscript"/>
        </w:rPr>
        <w:t>th</w:t>
      </w:r>
      <w:r>
        <w:rPr>
          <w:rFonts w:ascii="Book Antiqua" w:hAnsi="Book Antiqua" w:cs="Arial"/>
        </w:rPr>
        <w:t xml:space="preserve"> March 2013 he made an application for leave to remain outside the Rules </w:t>
      </w:r>
      <w:proofErr w:type="gramStart"/>
      <w:r>
        <w:rPr>
          <w:rFonts w:ascii="Book Antiqua" w:hAnsi="Book Antiqua" w:cs="Arial"/>
        </w:rPr>
        <w:t>on the basis of</w:t>
      </w:r>
      <w:proofErr w:type="gramEnd"/>
      <w:r>
        <w:rPr>
          <w:rFonts w:ascii="Book Antiqua" w:hAnsi="Book Antiqua" w:cs="Arial"/>
        </w:rPr>
        <w:t xml:space="preserve"> his relationship with Ms D</w:t>
      </w:r>
      <w:r w:rsidR="00AC6EE4">
        <w:rPr>
          <w:rFonts w:ascii="Book Antiqua" w:hAnsi="Book Antiqua" w:cs="Arial"/>
        </w:rPr>
        <w:t>.</w:t>
      </w:r>
      <w:r>
        <w:rPr>
          <w:rFonts w:ascii="Book Antiqua" w:hAnsi="Book Antiqua" w:cs="Arial"/>
        </w:rPr>
        <w:t>W</w:t>
      </w:r>
      <w:r w:rsidR="00AC6EE4">
        <w:rPr>
          <w:rFonts w:ascii="Book Antiqua" w:hAnsi="Book Antiqua" w:cs="Arial"/>
        </w:rPr>
        <w:t>.</w:t>
      </w:r>
      <w:r>
        <w:rPr>
          <w:rFonts w:ascii="Book Antiqua" w:hAnsi="Book Antiqua" w:cs="Arial"/>
        </w:rPr>
        <w:t xml:space="preserve">, a British national, “the Sponsor”.  </w:t>
      </w:r>
    </w:p>
    <w:p w:rsidR="00BB2F53" w:rsidRDefault="00BB2F53" w:rsidP="00E943B7">
      <w:pPr>
        <w:numPr>
          <w:ilvl w:val="0"/>
          <w:numId w:val="3"/>
        </w:numPr>
        <w:spacing w:before="240"/>
        <w:jc w:val="both"/>
        <w:rPr>
          <w:rFonts w:ascii="Book Antiqua" w:hAnsi="Book Antiqua" w:cs="Arial"/>
        </w:rPr>
      </w:pPr>
      <w:r>
        <w:rPr>
          <w:rFonts w:ascii="Book Antiqua" w:hAnsi="Book Antiqua" w:cs="Arial"/>
        </w:rPr>
        <w:t>The Appellant and Sponsor celebrated an Islamic marriage on 15</w:t>
      </w:r>
      <w:r w:rsidRPr="00BB2F53">
        <w:rPr>
          <w:rFonts w:ascii="Book Antiqua" w:hAnsi="Book Antiqua" w:cs="Arial"/>
          <w:vertAlign w:val="superscript"/>
        </w:rPr>
        <w:t>th</w:t>
      </w:r>
      <w:r>
        <w:rPr>
          <w:rFonts w:ascii="Book Antiqua" w:hAnsi="Book Antiqua" w:cs="Arial"/>
        </w:rPr>
        <w:t xml:space="preserve"> March 2013.  This was deemed by the Respondent to be a marriage of convenience.  Further action ensued challenging this assessment, but suffice to say for the purposes of this hearing, the contention that the marriage was one of convenience was withdrawn by the Respondent</w:t>
      </w:r>
      <w:r w:rsidR="00CF7CA6">
        <w:rPr>
          <w:rFonts w:ascii="Book Antiqua" w:hAnsi="Book Antiqua" w:cs="Arial"/>
        </w:rPr>
        <w:t>.</w:t>
      </w:r>
      <w:r>
        <w:rPr>
          <w:rFonts w:ascii="Book Antiqua" w:hAnsi="Book Antiqua" w:cs="Arial"/>
        </w:rPr>
        <w:t xml:space="preserve"> </w:t>
      </w:r>
      <w:r w:rsidR="00CF7CA6">
        <w:rPr>
          <w:rFonts w:ascii="Book Antiqua" w:hAnsi="Book Antiqua" w:cs="Arial"/>
        </w:rPr>
        <w:t xml:space="preserve"> T</w:t>
      </w:r>
      <w:r>
        <w:rPr>
          <w:rFonts w:ascii="Book Antiqua" w:hAnsi="Book Antiqua" w:cs="Arial"/>
        </w:rPr>
        <w:t xml:space="preserve">he Appellant, who had been detained pending removal, was released from detention.  </w:t>
      </w:r>
    </w:p>
    <w:p w:rsidR="00BB2F53" w:rsidRDefault="00BB2F53" w:rsidP="00E943B7">
      <w:pPr>
        <w:numPr>
          <w:ilvl w:val="0"/>
          <w:numId w:val="3"/>
        </w:numPr>
        <w:spacing w:before="240"/>
        <w:jc w:val="both"/>
        <w:rPr>
          <w:rFonts w:ascii="Book Antiqua" w:hAnsi="Book Antiqua" w:cs="Arial"/>
        </w:rPr>
      </w:pPr>
      <w:r>
        <w:rPr>
          <w:rFonts w:ascii="Book Antiqua" w:hAnsi="Book Antiqua" w:cs="Arial"/>
        </w:rPr>
        <w:t>By 17</w:t>
      </w:r>
      <w:r w:rsidRPr="00BB2F53">
        <w:rPr>
          <w:rFonts w:ascii="Book Antiqua" w:hAnsi="Book Antiqua" w:cs="Arial"/>
          <w:vertAlign w:val="superscript"/>
        </w:rPr>
        <w:t>th</w:t>
      </w:r>
      <w:r>
        <w:rPr>
          <w:rFonts w:ascii="Book Antiqua" w:hAnsi="Book Antiqua" w:cs="Arial"/>
        </w:rPr>
        <w:t xml:space="preserve"> February 2017 the A</w:t>
      </w:r>
      <w:r w:rsidR="00D37422">
        <w:rPr>
          <w:rFonts w:ascii="Book Antiqua" w:hAnsi="Book Antiqua" w:cs="Arial"/>
        </w:rPr>
        <w:t>ppellant made a claim to asylum based on threats emanating from his family because he had failed to</w:t>
      </w:r>
      <w:r w:rsidR="00D35017">
        <w:rPr>
          <w:rFonts w:ascii="Book Antiqua" w:hAnsi="Book Antiqua" w:cs="Arial"/>
        </w:rPr>
        <w:t xml:space="preserve"> honour</w:t>
      </w:r>
      <w:r w:rsidR="00231FEB">
        <w:rPr>
          <w:rFonts w:ascii="Book Antiqua" w:hAnsi="Book Antiqua" w:cs="Arial"/>
        </w:rPr>
        <w:t xml:space="preserve"> his parents</w:t>
      </w:r>
      <w:r w:rsidR="00CF7CA6">
        <w:rPr>
          <w:rFonts w:ascii="Book Antiqua" w:hAnsi="Book Antiqua" w:cs="Arial"/>
        </w:rPr>
        <w:t>’</w:t>
      </w:r>
      <w:r w:rsidR="00231FEB">
        <w:rPr>
          <w:rFonts w:ascii="Book Antiqua" w:hAnsi="Book Antiqua" w:cs="Arial"/>
        </w:rPr>
        <w:t xml:space="preserve"> wishes that he</w:t>
      </w:r>
      <w:r w:rsidR="00D37422">
        <w:rPr>
          <w:rFonts w:ascii="Book Antiqua" w:hAnsi="Book Antiqua" w:cs="Arial"/>
        </w:rPr>
        <w:t xml:space="preserve"> return to Pakist</w:t>
      </w:r>
      <w:r w:rsidR="00231FEB">
        <w:rPr>
          <w:rFonts w:ascii="Book Antiqua" w:hAnsi="Book Antiqua" w:cs="Arial"/>
        </w:rPr>
        <w:t>an to marry his</w:t>
      </w:r>
      <w:r w:rsidR="00D37422">
        <w:rPr>
          <w:rFonts w:ascii="Book Antiqua" w:hAnsi="Book Antiqua" w:cs="Arial"/>
        </w:rPr>
        <w:t xml:space="preserve"> cousin</w:t>
      </w:r>
      <w:r w:rsidR="00CF7CA6">
        <w:rPr>
          <w:rFonts w:ascii="Book Antiqua" w:hAnsi="Book Antiqua" w:cs="Arial"/>
        </w:rPr>
        <w:t>.</w:t>
      </w:r>
      <w:r>
        <w:rPr>
          <w:rFonts w:ascii="Book Antiqua" w:hAnsi="Book Antiqua" w:cs="Arial"/>
        </w:rPr>
        <w:t xml:space="preserve">  The Respondent refused the protection claim and having </w:t>
      </w:r>
      <w:r w:rsidR="00794FC8">
        <w:rPr>
          <w:rFonts w:ascii="Book Antiqua" w:hAnsi="Book Antiqua" w:cs="Arial"/>
        </w:rPr>
        <w:t>done so</w:t>
      </w:r>
      <w:r w:rsidR="00D37422">
        <w:rPr>
          <w:rFonts w:ascii="Book Antiqua" w:hAnsi="Book Antiqua" w:cs="Arial"/>
        </w:rPr>
        <w:t xml:space="preserve">, </w:t>
      </w:r>
      <w:proofErr w:type="gramStart"/>
      <w:r w:rsidR="00794FC8">
        <w:rPr>
          <w:rFonts w:ascii="Book Antiqua" w:hAnsi="Book Antiqua" w:cs="Arial"/>
        </w:rPr>
        <w:t>gave consideration</w:t>
      </w:r>
      <w:r>
        <w:rPr>
          <w:rFonts w:ascii="Book Antiqua" w:hAnsi="Book Antiqua" w:cs="Arial"/>
        </w:rPr>
        <w:t xml:space="preserve"> to</w:t>
      </w:r>
      <w:proofErr w:type="gramEnd"/>
      <w:r>
        <w:rPr>
          <w:rFonts w:ascii="Book Antiqua" w:hAnsi="Book Antiqua" w:cs="Arial"/>
        </w:rPr>
        <w:t xml:space="preserve"> whether the removal of the Appellant would breach his right to family/private life under Article 8</w:t>
      </w:r>
      <w:r w:rsidR="00D37422">
        <w:rPr>
          <w:rFonts w:ascii="Book Antiqua" w:hAnsi="Book Antiqua" w:cs="Arial"/>
        </w:rPr>
        <w:t xml:space="preserve"> ECHR</w:t>
      </w:r>
      <w:r>
        <w:rPr>
          <w:rFonts w:ascii="Book Antiqua" w:hAnsi="Book Antiqua" w:cs="Arial"/>
        </w:rPr>
        <w:t>.  The Respondent considered</w:t>
      </w:r>
      <w:r w:rsidR="00D37422">
        <w:rPr>
          <w:rFonts w:ascii="Book Antiqua" w:hAnsi="Book Antiqua" w:cs="Arial"/>
        </w:rPr>
        <w:t xml:space="preserve"> firstly</w:t>
      </w:r>
      <w:r>
        <w:rPr>
          <w:rFonts w:ascii="Book Antiqua" w:hAnsi="Book Antiqua" w:cs="Arial"/>
        </w:rPr>
        <w:t xml:space="preserve"> the Immigration Rules and found there was nothing to show that a return to Pakistan would result in significant obstacles either for the Appellant’s private life or in respect of his relationship with </w:t>
      </w:r>
      <w:r w:rsidR="00794FC8">
        <w:rPr>
          <w:rFonts w:ascii="Book Antiqua" w:hAnsi="Book Antiqua" w:cs="Arial"/>
        </w:rPr>
        <w:t>the Sponsor</w:t>
      </w:r>
      <w:r>
        <w:rPr>
          <w:rFonts w:ascii="Book Antiqua" w:hAnsi="Book Antiqua" w:cs="Arial"/>
        </w:rPr>
        <w:t>.</w:t>
      </w:r>
    </w:p>
    <w:p w:rsidR="0045060A" w:rsidRDefault="0045060A" w:rsidP="00E943B7">
      <w:pPr>
        <w:numPr>
          <w:ilvl w:val="0"/>
          <w:numId w:val="3"/>
        </w:numPr>
        <w:spacing w:before="240"/>
        <w:jc w:val="both"/>
        <w:rPr>
          <w:rFonts w:ascii="Book Antiqua" w:hAnsi="Book Antiqua" w:cs="Arial"/>
        </w:rPr>
      </w:pPr>
      <w:r>
        <w:rPr>
          <w:rFonts w:ascii="Book Antiqua" w:hAnsi="Book Antiqua" w:cs="Arial"/>
        </w:rPr>
        <w:t>Article 8 outside the Rules was</w:t>
      </w:r>
      <w:r w:rsidR="00D37422">
        <w:rPr>
          <w:rFonts w:ascii="Book Antiqua" w:hAnsi="Book Antiqua" w:cs="Arial"/>
        </w:rPr>
        <w:t xml:space="preserve"> then</w:t>
      </w:r>
      <w:r>
        <w:rPr>
          <w:rFonts w:ascii="Book Antiqua" w:hAnsi="Book Antiqua" w:cs="Arial"/>
        </w:rPr>
        <w:t xml:space="preserve"> considered but t</w:t>
      </w:r>
      <w:r w:rsidR="00D37422">
        <w:rPr>
          <w:rFonts w:ascii="Book Antiqua" w:hAnsi="Book Antiqua" w:cs="Arial"/>
        </w:rPr>
        <w:t>he Secretary of State found</w:t>
      </w:r>
      <w:r>
        <w:rPr>
          <w:rFonts w:ascii="Book Antiqua" w:hAnsi="Book Antiqua" w:cs="Arial"/>
        </w:rPr>
        <w:t xml:space="preserve"> there was nothing compelling in the Appellant’s circumstances to raise exceptionality.  The Appellant appealed</w:t>
      </w:r>
      <w:r w:rsidR="00231FEB">
        <w:rPr>
          <w:rFonts w:ascii="Book Antiqua" w:hAnsi="Book Antiqua" w:cs="Arial"/>
        </w:rPr>
        <w:t xml:space="preserve"> against</w:t>
      </w:r>
      <w:r w:rsidR="00D37422">
        <w:rPr>
          <w:rFonts w:ascii="Book Antiqua" w:hAnsi="Book Antiqua" w:cs="Arial"/>
        </w:rPr>
        <w:t xml:space="preserve"> both</w:t>
      </w:r>
      <w:r>
        <w:rPr>
          <w:rFonts w:ascii="Book Antiqua" w:hAnsi="Book Antiqua" w:cs="Arial"/>
        </w:rPr>
        <w:t xml:space="preserve"> the</w:t>
      </w:r>
      <w:r w:rsidR="00231FEB">
        <w:rPr>
          <w:rFonts w:ascii="Book Antiqua" w:hAnsi="Book Antiqua" w:cs="Arial"/>
        </w:rPr>
        <w:t xml:space="preserve"> refusal of the</w:t>
      </w:r>
      <w:r>
        <w:rPr>
          <w:rFonts w:ascii="Book Antiqua" w:hAnsi="Book Antiqua" w:cs="Arial"/>
        </w:rPr>
        <w:t xml:space="preserve"> protection claim</w:t>
      </w:r>
      <w:r w:rsidR="00D37422">
        <w:rPr>
          <w:rFonts w:ascii="Book Antiqua" w:hAnsi="Book Antiqua" w:cs="Arial"/>
        </w:rPr>
        <w:t xml:space="preserve"> and the Article 8 </w:t>
      </w:r>
      <w:r w:rsidR="00231FEB">
        <w:rPr>
          <w:rFonts w:ascii="Book Antiqua" w:hAnsi="Book Antiqua" w:cs="Arial"/>
        </w:rPr>
        <w:t xml:space="preserve">assessment. </w:t>
      </w:r>
      <w:r w:rsidR="00794FC8">
        <w:rPr>
          <w:rFonts w:ascii="Book Antiqua" w:hAnsi="Book Antiqua" w:cs="Arial"/>
        </w:rPr>
        <w:t xml:space="preserve"> </w:t>
      </w:r>
      <w:r w:rsidR="00231FEB">
        <w:rPr>
          <w:rFonts w:ascii="Book Antiqua" w:hAnsi="Book Antiqua" w:cs="Arial"/>
        </w:rPr>
        <w:t>T</w:t>
      </w:r>
      <w:r>
        <w:rPr>
          <w:rFonts w:ascii="Book Antiqua" w:hAnsi="Book Antiqua" w:cs="Arial"/>
        </w:rPr>
        <w:t xml:space="preserve">he matter came before the First-tier Tribunal.  </w:t>
      </w:r>
    </w:p>
    <w:p w:rsidR="0045060A" w:rsidRPr="0045060A" w:rsidRDefault="0045060A" w:rsidP="0045060A">
      <w:pPr>
        <w:spacing w:before="240"/>
        <w:jc w:val="both"/>
        <w:rPr>
          <w:rFonts w:ascii="Book Antiqua" w:hAnsi="Book Antiqua" w:cs="Arial"/>
          <w:b/>
          <w:u w:val="single"/>
        </w:rPr>
      </w:pPr>
      <w:r>
        <w:rPr>
          <w:rFonts w:ascii="Book Antiqua" w:hAnsi="Book Antiqua" w:cs="Arial"/>
          <w:b/>
          <w:u w:val="single"/>
        </w:rPr>
        <w:t>First-tier Tribunal Hearing</w:t>
      </w:r>
    </w:p>
    <w:p w:rsidR="0045060A" w:rsidRDefault="00D37422" w:rsidP="00E943B7">
      <w:pPr>
        <w:numPr>
          <w:ilvl w:val="0"/>
          <w:numId w:val="3"/>
        </w:numPr>
        <w:spacing w:before="240"/>
        <w:jc w:val="both"/>
        <w:rPr>
          <w:rFonts w:ascii="Book Antiqua" w:hAnsi="Book Antiqua" w:cs="Arial"/>
        </w:rPr>
      </w:pPr>
      <w:r>
        <w:rPr>
          <w:rFonts w:ascii="Book Antiqua" w:hAnsi="Book Antiqua" w:cs="Arial"/>
        </w:rPr>
        <w:t xml:space="preserve">The </w:t>
      </w:r>
      <w:proofErr w:type="spellStart"/>
      <w:r>
        <w:rPr>
          <w:rFonts w:ascii="Book Antiqua" w:hAnsi="Book Antiqua" w:cs="Arial"/>
        </w:rPr>
        <w:t>FtTJ</w:t>
      </w:r>
      <w:proofErr w:type="spellEnd"/>
      <w:r w:rsidR="0045060A">
        <w:rPr>
          <w:rFonts w:ascii="Book Antiqua" w:hAnsi="Book Antiqua" w:cs="Arial"/>
        </w:rPr>
        <w:t xml:space="preserve"> heard </w:t>
      </w:r>
      <w:r>
        <w:rPr>
          <w:rFonts w:ascii="Book Antiqua" w:hAnsi="Book Antiqua" w:cs="Arial"/>
        </w:rPr>
        <w:t xml:space="preserve">evidence from the Appellant and the Sponsor. </w:t>
      </w:r>
      <w:r w:rsidR="00794FC8">
        <w:rPr>
          <w:rFonts w:ascii="Book Antiqua" w:hAnsi="Book Antiqua" w:cs="Arial"/>
        </w:rPr>
        <w:t xml:space="preserve"> </w:t>
      </w:r>
      <w:r>
        <w:rPr>
          <w:rFonts w:ascii="Book Antiqua" w:hAnsi="Book Antiqua" w:cs="Arial"/>
        </w:rPr>
        <w:t>He</w:t>
      </w:r>
      <w:r w:rsidR="0045060A">
        <w:rPr>
          <w:rFonts w:ascii="Book Antiqua" w:hAnsi="Book Antiqua" w:cs="Arial"/>
        </w:rPr>
        <w:t xml:space="preserve"> </w:t>
      </w:r>
      <w:proofErr w:type="gramStart"/>
      <w:r w:rsidR="0045060A">
        <w:rPr>
          <w:rFonts w:ascii="Book Antiqua" w:hAnsi="Book Antiqua" w:cs="Arial"/>
        </w:rPr>
        <w:t>took into account</w:t>
      </w:r>
      <w:proofErr w:type="gramEnd"/>
      <w:r w:rsidR="0045060A">
        <w:rPr>
          <w:rFonts w:ascii="Book Antiqua" w:hAnsi="Book Antiqua" w:cs="Arial"/>
        </w:rPr>
        <w:t xml:space="preserve"> various documents including</w:t>
      </w:r>
      <w:r w:rsidR="00231FEB">
        <w:rPr>
          <w:rFonts w:ascii="Book Antiqua" w:hAnsi="Book Antiqua" w:cs="Arial"/>
        </w:rPr>
        <w:t xml:space="preserve"> in particular</w:t>
      </w:r>
      <w:r w:rsidR="0045060A">
        <w:rPr>
          <w:rFonts w:ascii="Book Antiqua" w:hAnsi="Book Antiqua" w:cs="Arial"/>
        </w:rPr>
        <w:t xml:space="preserve"> a medical report outlining</w:t>
      </w:r>
      <w:r w:rsidR="00231FEB">
        <w:rPr>
          <w:rFonts w:ascii="Book Antiqua" w:hAnsi="Book Antiqua" w:cs="Arial"/>
        </w:rPr>
        <w:t xml:space="preserve"> the Sponsor’s</w:t>
      </w:r>
      <w:r w:rsidR="0045060A">
        <w:rPr>
          <w:rFonts w:ascii="Book Antiqua" w:hAnsi="Book Antiqua" w:cs="Arial"/>
        </w:rPr>
        <w:t xml:space="preserve"> history of mental health problems.  </w:t>
      </w:r>
    </w:p>
    <w:p w:rsidR="0045060A" w:rsidRDefault="00231FEB" w:rsidP="00E943B7">
      <w:pPr>
        <w:numPr>
          <w:ilvl w:val="0"/>
          <w:numId w:val="3"/>
        </w:numPr>
        <w:spacing w:before="240"/>
        <w:jc w:val="both"/>
        <w:rPr>
          <w:rFonts w:ascii="Book Antiqua" w:hAnsi="Book Antiqua" w:cs="Arial"/>
        </w:rPr>
      </w:pPr>
      <w:r>
        <w:rPr>
          <w:rFonts w:ascii="Book Antiqua" w:hAnsi="Book Antiqua" w:cs="Arial"/>
        </w:rPr>
        <w:t>The judge made a</w:t>
      </w:r>
      <w:r w:rsidR="0045060A">
        <w:rPr>
          <w:rFonts w:ascii="Book Antiqua" w:hAnsi="Book Antiqua" w:cs="Arial"/>
        </w:rPr>
        <w:t xml:space="preserve"> finding dismissing the Appellant’s asylum and humanitarian protection claim.</w:t>
      </w:r>
      <w:r>
        <w:rPr>
          <w:rFonts w:ascii="Book Antiqua" w:hAnsi="Book Antiqua" w:cs="Arial"/>
        </w:rPr>
        <w:t xml:space="preserve"> </w:t>
      </w:r>
      <w:r w:rsidR="00794FC8">
        <w:rPr>
          <w:rFonts w:ascii="Book Antiqua" w:hAnsi="Book Antiqua" w:cs="Arial"/>
        </w:rPr>
        <w:t xml:space="preserve"> </w:t>
      </w:r>
      <w:r>
        <w:rPr>
          <w:rFonts w:ascii="Book Antiqua" w:hAnsi="Book Antiqua" w:cs="Arial"/>
        </w:rPr>
        <w:t>He deemed that claim to be incredible.</w:t>
      </w:r>
      <w:r w:rsidR="0045060A">
        <w:rPr>
          <w:rFonts w:ascii="Book Antiqua" w:hAnsi="Book Antiqua" w:cs="Arial"/>
        </w:rPr>
        <w:t xml:space="preserve">  There has been no challenge raised to th</w:t>
      </w:r>
      <w:r>
        <w:rPr>
          <w:rFonts w:ascii="Book Antiqua" w:hAnsi="Book Antiqua" w:cs="Arial"/>
        </w:rPr>
        <w:t>at finding and accordingly it</w:t>
      </w:r>
      <w:r w:rsidR="0045060A">
        <w:rPr>
          <w:rFonts w:ascii="Book Antiqua" w:hAnsi="Book Antiqua" w:cs="Arial"/>
        </w:rPr>
        <w:t xml:space="preserve"> is to be regarded as final.  </w:t>
      </w:r>
    </w:p>
    <w:p w:rsidR="0045060A" w:rsidRDefault="0045060A" w:rsidP="00E943B7">
      <w:pPr>
        <w:numPr>
          <w:ilvl w:val="0"/>
          <w:numId w:val="3"/>
        </w:numPr>
        <w:spacing w:before="240"/>
        <w:jc w:val="both"/>
        <w:rPr>
          <w:rFonts w:ascii="Book Antiqua" w:hAnsi="Book Antiqua" w:cs="Arial"/>
        </w:rPr>
      </w:pPr>
      <w:r>
        <w:rPr>
          <w:rFonts w:ascii="Book Antiqua" w:hAnsi="Book Antiqua" w:cs="Arial"/>
        </w:rPr>
        <w:t>Having dismissed the protection claim, the judge co</w:t>
      </w:r>
      <w:r w:rsidR="00AC5BDB">
        <w:rPr>
          <w:rFonts w:ascii="Book Antiqua" w:hAnsi="Book Antiqua" w:cs="Arial"/>
        </w:rPr>
        <w:t xml:space="preserve">nsidered the Appellant’s claim </w:t>
      </w:r>
      <w:r>
        <w:rPr>
          <w:rFonts w:ascii="Book Antiqua" w:hAnsi="Book Antiqua" w:cs="Arial"/>
        </w:rPr>
        <w:t>under Article 8</w:t>
      </w:r>
      <w:r w:rsidR="00AC5BDB">
        <w:rPr>
          <w:rFonts w:ascii="Book Antiqua" w:hAnsi="Book Antiqua" w:cs="Arial"/>
        </w:rPr>
        <w:t xml:space="preserve">. </w:t>
      </w:r>
      <w:r>
        <w:rPr>
          <w:rFonts w:ascii="Book Antiqua" w:hAnsi="Book Antiqua" w:cs="Arial"/>
        </w:rPr>
        <w:t>He acknowledged that the Appellant could not meet the requirements of the Immigration Rules</w:t>
      </w:r>
      <w:r w:rsidR="00AC5BDB">
        <w:rPr>
          <w:rFonts w:ascii="Book Antiqua" w:hAnsi="Book Antiqua" w:cs="Arial"/>
        </w:rPr>
        <w:t>,</w:t>
      </w:r>
      <w:r>
        <w:rPr>
          <w:rFonts w:ascii="Book Antiqua" w:hAnsi="Book Antiqua" w:cs="Arial"/>
        </w:rPr>
        <w:t xml:space="preserve"> </w:t>
      </w:r>
      <w:proofErr w:type="gramStart"/>
      <w:r>
        <w:rPr>
          <w:rFonts w:ascii="Book Antiqua" w:hAnsi="Book Antiqua" w:cs="Arial"/>
        </w:rPr>
        <w:t>on account of the fact that</w:t>
      </w:r>
      <w:proofErr w:type="gramEnd"/>
      <w:r>
        <w:rPr>
          <w:rFonts w:ascii="Book Antiqua" w:hAnsi="Book Antiqua" w:cs="Arial"/>
        </w:rPr>
        <w:t xml:space="preserve"> the Appellant was in the</w:t>
      </w:r>
      <w:r w:rsidR="00AC5BDB">
        <w:rPr>
          <w:rFonts w:ascii="Book Antiqua" w:hAnsi="Book Antiqua" w:cs="Arial"/>
        </w:rPr>
        <w:t xml:space="preserve"> United Kingdom unlawfully. </w:t>
      </w:r>
      <w:r w:rsidR="00794FC8">
        <w:rPr>
          <w:rFonts w:ascii="Book Antiqua" w:hAnsi="Book Antiqua" w:cs="Arial"/>
        </w:rPr>
        <w:t xml:space="preserve"> </w:t>
      </w:r>
      <w:r w:rsidR="00AC5BDB">
        <w:rPr>
          <w:rFonts w:ascii="Book Antiqua" w:hAnsi="Book Antiqua" w:cs="Arial"/>
        </w:rPr>
        <w:t>T</w:t>
      </w:r>
      <w:r>
        <w:rPr>
          <w:rFonts w:ascii="Book Antiqua" w:hAnsi="Book Antiqua" w:cs="Arial"/>
        </w:rPr>
        <w:t>he judge therefore looked at Article</w:t>
      </w:r>
      <w:r w:rsidR="00AC5BDB">
        <w:rPr>
          <w:rFonts w:ascii="Book Antiqua" w:hAnsi="Book Antiqua" w:cs="Arial"/>
        </w:rPr>
        <w:t xml:space="preserve"> 8 outside the Rules.  Having</w:t>
      </w:r>
      <w:r>
        <w:rPr>
          <w:rFonts w:ascii="Book Antiqua" w:hAnsi="Book Antiqua" w:cs="Arial"/>
        </w:rPr>
        <w:t xml:space="preserve"> done</w:t>
      </w:r>
      <w:r w:rsidR="00AC5BDB">
        <w:rPr>
          <w:rFonts w:ascii="Book Antiqua" w:hAnsi="Book Antiqua" w:cs="Arial"/>
        </w:rPr>
        <w:t xml:space="preserve"> so</w:t>
      </w:r>
      <w:r>
        <w:rPr>
          <w:rFonts w:ascii="Book Antiqua" w:hAnsi="Book Antiqua" w:cs="Arial"/>
        </w:rPr>
        <w:t xml:space="preserve">, he allowed the appeal.  </w:t>
      </w:r>
    </w:p>
    <w:p w:rsidR="00625569" w:rsidRDefault="00625569" w:rsidP="0045060A">
      <w:pPr>
        <w:spacing w:before="240"/>
        <w:jc w:val="both"/>
        <w:rPr>
          <w:rFonts w:ascii="Book Antiqua" w:hAnsi="Book Antiqua" w:cs="Arial"/>
          <w:b/>
          <w:u w:val="single"/>
        </w:rPr>
      </w:pPr>
    </w:p>
    <w:p w:rsidR="0045060A" w:rsidRPr="00FA472C" w:rsidRDefault="00FA472C" w:rsidP="0045060A">
      <w:pPr>
        <w:spacing w:before="240"/>
        <w:jc w:val="both"/>
        <w:rPr>
          <w:rFonts w:ascii="Book Antiqua" w:hAnsi="Book Antiqua" w:cs="Arial"/>
        </w:rPr>
      </w:pPr>
      <w:r>
        <w:rPr>
          <w:rFonts w:ascii="Book Antiqua" w:hAnsi="Book Antiqua" w:cs="Arial"/>
          <w:b/>
          <w:u w:val="single"/>
        </w:rPr>
        <w:lastRenderedPageBreak/>
        <w:t xml:space="preserve">Onward Appeal </w:t>
      </w:r>
    </w:p>
    <w:p w:rsidR="00FA472C" w:rsidRDefault="00FA472C" w:rsidP="00E943B7">
      <w:pPr>
        <w:numPr>
          <w:ilvl w:val="0"/>
          <w:numId w:val="3"/>
        </w:numPr>
        <w:spacing w:before="240"/>
        <w:jc w:val="both"/>
        <w:rPr>
          <w:rFonts w:ascii="Book Antiqua" w:hAnsi="Book Antiqua" w:cs="Arial"/>
        </w:rPr>
      </w:pPr>
      <w:r>
        <w:rPr>
          <w:rFonts w:ascii="Book Antiqua" w:hAnsi="Book Antiqua" w:cs="Arial"/>
        </w:rPr>
        <w:t>The Respondent sought and was granted permission to appeal.  Permission was granted on a narrow basis</w:t>
      </w:r>
      <w:r w:rsidR="00AC5BDB">
        <w:rPr>
          <w:rFonts w:ascii="Book Antiqua" w:hAnsi="Book Antiqua" w:cs="Arial"/>
        </w:rPr>
        <w:t>. T</w:t>
      </w:r>
      <w:r>
        <w:rPr>
          <w:rFonts w:ascii="Book Antiqua" w:hAnsi="Book Antiqua" w:cs="Arial"/>
        </w:rPr>
        <w:t>he relevant part of the grant reads as follows:</w:t>
      </w:r>
    </w:p>
    <w:p w:rsidR="00FA472C" w:rsidRDefault="00FA472C" w:rsidP="00FA472C">
      <w:pPr>
        <w:spacing w:before="240"/>
        <w:ind w:left="1134"/>
        <w:jc w:val="both"/>
        <w:rPr>
          <w:rFonts w:ascii="Book Antiqua" w:hAnsi="Book Antiqua" w:cs="Arial"/>
        </w:rPr>
      </w:pPr>
      <w:r>
        <w:rPr>
          <w:rFonts w:ascii="Book Antiqua" w:hAnsi="Book Antiqua" w:cs="Arial"/>
        </w:rPr>
        <w:t>“It is arguable that the way in which the judge approached the proportionality assessment was flawed in that it failed to properly assess the issue of proportionality and of compelling circumsta</w:t>
      </w:r>
      <w:r w:rsidR="00794FC8">
        <w:rPr>
          <w:rFonts w:ascii="Book Antiqua" w:hAnsi="Book Antiqua" w:cs="Arial"/>
        </w:rPr>
        <w:t>nces to justify permitting the a</w:t>
      </w:r>
      <w:r>
        <w:rPr>
          <w:rFonts w:ascii="Book Antiqua" w:hAnsi="Book Antiqua" w:cs="Arial"/>
        </w:rPr>
        <w:t xml:space="preserve">ppellant to remain in the UK </w:t>
      </w:r>
      <w:proofErr w:type="gramStart"/>
      <w:r>
        <w:rPr>
          <w:rFonts w:ascii="Book Antiqua" w:hAnsi="Book Antiqua" w:cs="Arial"/>
        </w:rPr>
        <w:t>on the basis of</w:t>
      </w:r>
      <w:proofErr w:type="gramEnd"/>
      <w:r>
        <w:rPr>
          <w:rFonts w:ascii="Book Antiqua" w:hAnsi="Book Antiqua" w:cs="Arial"/>
        </w:rPr>
        <w:t xml:space="preserve"> his partner’s circumstances</w:t>
      </w:r>
      <w:r w:rsidR="00794FC8">
        <w:rPr>
          <w:rFonts w:ascii="Book Antiqua" w:hAnsi="Book Antiqua" w:cs="Arial"/>
        </w:rPr>
        <w:t>.</w:t>
      </w:r>
      <w:r>
        <w:rPr>
          <w:rFonts w:ascii="Book Antiqua" w:hAnsi="Book Antiqua" w:cs="Arial"/>
        </w:rPr>
        <w:t xml:space="preserve">”  </w:t>
      </w:r>
    </w:p>
    <w:p w:rsidR="00FA472C" w:rsidRDefault="00FA472C" w:rsidP="00FA472C">
      <w:pPr>
        <w:spacing w:before="240"/>
        <w:ind w:left="567"/>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matter comes before me to decide whether the decision of the First-tier Tribunal contains</w:t>
      </w:r>
      <w:r w:rsidR="00AC5BDB">
        <w:rPr>
          <w:rFonts w:ascii="Book Antiqua" w:hAnsi="Book Antiqua" w:cs="Arial"/>
        </w:rPr>
        <w:t xml:space="preserve"> a</w:t>
      </w:r>
      <w:r>
        <w:rPr>
          <w:rFonts w:ascii="Book Antiqua" w:hAnsi="Book Antiqua" w:cs="Arial"/>
        </w:rPr>
        <w:t xml:space="preserve"> material error of law, requiring it to be set aside and re-made.</w:t>
      </w:r>
    </w:p>
    <w:p w:rsidR="00BB2F53" w:rsidRDefault="00FA472C" w:rsidP="00FA472C">
      <w:pPr>
        <w:spacing w:before="240"/>
        <w:jc w:val="both"/>
        <w:rPr>
          <w:rFonts w:ascii="Book Antiqua" w:hAnsi="Book Antiqua" w:cs="Arial"/>
        </w:rPr>
      </w:pPr>
      <w:r>
        <w:rPr>
          <w:rFonts w:ascii="Book Antiqua" w:hAnsi="Book Antiqua" w:cs="Arial"/>
          <w:b/>
          <w:u w:val="single"/>
        </w:rPr>
        <w:t>Error of Law Hearing</w:t>
      </w:r>
      <w:r w:rsidR="00BB2F53">
        <w:rPr>
          <w:rFonts w:ascii="Book Antiqua" w:hAnsi="Book Antiqua" w:cs="Arial"/>
        </w:rPr>
        <w:t xml:space="preserve"> </w:t>
      </w:r>
    </w:p>
    <w:p w:rsidR="00BB2F53" w:rsidRDefault="00FA472C" w:rsidP="00E943B7">
      <w:pPr>
        <w:numPr>
          <w:ilvl w:val="0"/>
          <w:numId w:val="3"/>
        </w:numPr>
        <w:spacing w:before="240"/>
        <w:jc w:val="both"/>
        <w:rPr>
          <w:rFonts w:ascii="Book Antiqua" w:hAnsi="Book Antiqua" w:cs="Arial"/>
        </w:rPr>
      </w:pPr>
      <w:r>
        <w:rPr>
          <w:rFonts w:ascii="Book Antiqua" w:hAnsi="Book Antiqua" w:cs="Arial"/>
        </w:rPr>
        <w:t xml:space="preserve">Before me Mr </w:t>
      </w:r>
      <w:proofErr w:type="spellStart"/>
      <w:r>
        <w:rPr>
          <w:rFonts w:ascii="Book Antiqua" w:hAnsi="Book Antiqua" w:cs="Arial"/>
        </w:rPr>
        <w:t>Diwnycz</w:t>
      </w:r>
      <w:proofErr w:type="spellEnd"/>
      <w:r>
        <w:rPr>
          <w:rFonts w:ascii="Book Antiqua" w:hAnsi="Book Antiqua" w:cs="Arial"/>
        </w:rPr>
        <w:t xml:space="preserve"> appeared for the Respondent and Miss Pickering for the Appellant.  Mr </w:t>
      </w:r>
      <w:proofErr w:type="spellStart"/>
      <w:r>
        <w:rPr>
          <w:rFonts w:ascii="Book Antiqua" w:hAnsi="Book Antiqua" w:cs="Arial"/>
        </w:rPr>
        <w:t>Diwnycz</w:t>
      </w:r>
      <w:proofErr w:type="spellEnd"/>
      <w:r>
        <w:rPr>
          <w:rFonts w:ascii="Book Antiqua" w:hAnsi="Book Antiqua" w:cs="Arial"/>
        </w:rPr>
        <w:t xml:space="preserve"> acknowledged that the issue before </w:t>
      </w:r>
      <w:r w:rsidR="00AC5BDB">
        <w:rPr>
          <w:rFonts w:ascii="Book Antiqua" w:hAnsi="Book Antiqua" w:cs="Arial"/>
        </w:rPr>
        <w:t xml:space="preserve">me was a narrow one and centred on </w:t>
      </w:r>
      <w:r>
        <w:rPr>
          <w:rFonts w:ascii="Book Antiqua" w:hAnsi="Book Antiqua" w:cs="Arial"/>
        </w:rPr>
        <w:t>whether the judge’s proportionality assessment was sufficient in its reasoning, to be sustainable.  He described the judge’s reasons as ones which “could have been fuller” but properly said that it was a matter for me to decide wh</w:t>
      </w:r>
      <w:r w:rsidR="00AC5BDB">
        <w:rPr>
          <w:rFonts w:ascii="Book Antiqua" w:hAnsi="Book Antiqua" w:cs="Arial"/>
        </w:rPr>
        <w:t>ether reasons which were sparse were nevertheless</w:t>
      </w:r>
      <w:r>
        <w:rPr>
          <w:rFonts w:ascii="Book Antiqua" w:hAnsi="Book Antiqua" w:cs="Arial"/>
        </w:rPr>
        <w:t xml:space="preserve"> adequate.</w:t>
      </w:r>
    </w:p>
    <w:p w:rsidR="00FA472C" w:rsidRDefault="00AC5BDB" w:rsidP="00E943B7">
      <w:pPr>
        <w:numPr>
          <w:ilvl w:val="0"/>
          <w:numId w:val="3"/>
        </w:numPr>
        <w:spacing w:before="240"/>
        <w:jc w:val="both"/>
        <w:rPr>
          <w:rFonts w:ascii="Book Antiqua" w:hAnsi="Book Antiqua" w:cs="Arial"/>
        </w:rPr>
      </w:pPr>
      <w:r>
        <w:rPr>
          <w:rFonts w:ascii="Book Antiqua" w:hAnsi="Book Antiqua" w:cs="Arial"/>
        </w:rPr>
        <w:t>Miss Pickering</w:t>
      </w:r>
      <w:r w:rsidR="00FA472C">
        <w:rPr>
          <w:rFonts w:ascii="Book Antiqua" w:hAnsi="Book Antiqua" w:cs="Arial"/>
        </w:rPr>
        <w:t xml:space="preserve"> handed up the Supreme Court decision in </w:t>
      </w:r>
      <w:proofErr w:type="spellStart"/>
      <w:r w:rsidR="00FA472C" w:rsidRPr="00FA472C">
        <w:rPr>
          <w:rFonts w:ascii="Book Antiqua" w:hAnsi="Book Antiqua" w:cs="Arial"/>
          <w:b/>
          <w:u w:val="single"/>
        </w:rPr>
        <w:t>Agyarko</w:t>
      </w:r>
      <w:proofErr w:type="spellEnd"/>
      <w:r w:rsidR="00FA472C" w:rsidRPr="00FA472C">
        <w:rPr>
          <w:rFonts w:ascii="Book Antiqua" w:hAnsi="Book Antiqua" w:cs="Arial"/>
          <w:b/>
          <w:u w:val="single"/>
        </w:rPr>
        <w:t xml:space="preserve"> and Others v SSHD</w:t>
      </w:r>
      <w:r w:rsidR="00FA472C" w:rsidRPr="00FA472C">
        <w:rPr>
          <w:rFonts w:ascii="Book Antiqua" w:hAnsi="Book Antiqua" w:cs="Arial"/>
          <w:b/>
        </w:rPr>
        <w:t xml:space="preserve"> [2017] UKSC 11</w:t>
      </w:r>
      <w:r w:rsidR="00FA472C">
        <w:rPr>
          <w:rFonts w:ascii="Book Antiqua" w:hAnsi="Book Antiqua" w:cs="Arial"/>
        </w:rPr>
        <w:t>.  Her submissions focused on saying that the judge’s decision showed that he had fully engaged with the evidence before him.  The assessment of propo</w:t>
      </w:r>
      <w:r>
        <w:rPr>
          <w:rFonts w:ascii="Book Antiqua" w:hAnsi="Book Antiqua" w:cs="Arial"/>
        </w:rPr>
        <w:t>rtionality is fact-specific albeit</w:t>
      </w:r>
      <w:r w:rsidR="00794FC8">
        <w:rPr>
          <w:rFonts w:ascii="Book Antiqua" w:hAnsi="Book Antiqua" w:cs="Arial"/>
        </w:rPr>
        <w:t>,</w:t>
      </w:r>
      <w:r>
        <w:rPr>
          <w:rFonts w:ascii="Book Antiqua" w:hAnsi="Book Antiqua" w:cs="Arial"/>
        </w:rPr>
        <w:t xml:space="preserve"> as </w:t>
      </w:r>
      <w:r w:rsidR="00FA472C">
        <w:rPr>
          <w:rFonts w:ascii="Book Antiqua" w:hAnsi="Book Antiqua" w:cs="Arial"/>
        </w:rPr>
        <w:t>she acknowledged</w:t>
      </w:r>
      <w:r w:rsidR="00794FC8">
        <w:rPr>
          <w:rFonts w:ascii="Book Antiqua" w:hAnsi="Book Antiqua" w:cs="Arial"/>
        </w:rPr>
        <w:t>,</w:t>
      </w:r>
      <w:r w:rsidR="00FA472C">
        <w:rPr>
          <w:rFonts w:ascii="Book Antiqua" w:hAnsi="Book Antiqua" w:cs="Arial"/>
        </w:rPr>
        <w:t xml:space="preserve"> that it was for the Appellant to show significant interference with family life.  She referred to the medical evidence</w:t>
      </w:r>
      <w:r>
        <w:rPr>
          <w:rFonts w:ascii="Book Antiqua" w:hAnsi="Book Antiqua" w:cs="Arial"/>
        </w:rPr>
        <w:t xml:space="preserve"> submitted</w:t>
      </w:r>
      <w:r w:rsidR="00F156C8">
        <w:rPr>
          <w:rFonts w:ascii="Book Antiqua" w:hAnsi="Book Antiqua" w:cs="Arial"/>
        </w:rPr>
        <w:t xml:space="preserve"> on the Appellant’s behalf</w:t>
      </w:r>
      <w:r>
        <w:rPr>
          <w:rFonts w:ascii="Book Antiqua" w:hAnsi="Book Antiqua" w:cs="Arial"/>
        </w:rPr>
        <w:t xml:space="preserve"> describing</w:t>
      </w:r>
      <w:r w:rsidR="00FA472C">
        <w:rPr>
          <w:rFonts w:ascii="Book Antiqua" w:hAnsi="Book Antiqua" w:cs="Arial"/>
        </w:rPr>
        <w:t xml:space="preserve"> the Sponsor’s mental health issues.</w:t>
      </w:r>
      <w:r w:rsidR="00794FC8">
        <w:rPr>
          <w:rFonts w:ascii="Book Antiqua" w:hAnsi="Book Antiqua" w:cs="Arial"/>
        </w:rPr>
        <w:t xml:space="preserve"> </w:t>
      </w:r>
      <w:r w:rsidR="00F156C8">
        <w:rPr>
          <w:rFonts w:ascii="Book Antiqua" w:hAnsi="Book Antiqua" w:cs="Arial"/>
        </w:rPr>
        <w:t xml:space="preserve"> That evidence had not been seriously challenged.</w:t>
      </w:r>
      <w:r w:rsidR="00FA472C">
        <w:rPr>
          <w:rFonts w:ascii="Book Antiqua" w:hAnsi="Book Antiqua" w:cs="Arial"/>
        </w:rPr>
        <w:t xml:space="preserve"> </w:t>
      </w:r>
      <w:r>
        <w:rPr>
          <w:rFonts w:ascii="Book Antiqua" w:hAnsi="Book Antiqua" w:cs="Arial"/>
        </w:rPr>
        <w:t xml:space="preserve"> T</w:t>
      </w:r>
      <w:r w:rsidR="00FA472C">
        <w:rPr>
          <w:rFonts w:ascii="Book Antiqua" w:hAnsi="Book Antiqua" w:cs="Arial"/>
        </w:rPr>
        <w:t xml:space="preserve">he </w:t>
      </w:r>
      <w:proofErr w:type="spellStart"/>
      <w:r w:rsidR="00FA472C">
        <w:rPr>
          <w:rFonts w:ascii="Book Antiqua" w:hAnsi="Book Antiqua" w:cs="Arial"/>
        </w:rPr>
        <w:t>FtTJ</w:t>
      </w:r>
      <w:proofErr w:type="spellEnd"/>
      <w:r w:rsidR="00FA472C">
        <w:rPr>
          <w:rFonts w:ascii="Book Antiqua" w:hAnsi="Book Antiqua" w:cs="Arial"/>
        </w:rPr>
        <w:t xml:space="preserve"> had</w:t>
      </w:r>
      <w:r w:rsidR="00F156C8">
        <w:rPr>
          <w:rFonts w:ascii="Book Antiqua" w:hAnsi="Book Antiqua" w:cs="Arial"/>
        </w:rPr>
        <w:t xml:space="preserve"> therefore placed</w:t>
      </w:r>
      <w:r>
        <w:rPr>
          <w:rFonts w:ascii="Book Antiqua" w:hAnsi="Book Antiqua" w:cs="Arial"/>
        </w:rPr>
        <w:t xml:space="preserve"> that evidence into the balance</w:t>
      </w:r>
      <w:r w:rsidR="00F156C8">
        <w:rPr>
          <w:rFonts w:ascii="Book Antiqua" w:hAnsi="Book Antiqua" w:cs="Arial"/>
        </w:rPr>
        <w:t xml:space="preserve"> in the proportionality assessment.</w:t>
      </w:r>
      <w:r>
        <w:rPr>
          <w:rFonts w:ascii="Book Antiqua" w:hAnsi="Book Antiqua" w:cs="Arial"/>
        </w:rPr>
        <w:t xml:space="preserve"> </w:t>
      </w:r>
      <w:r w:rsidR="00794FC8">
        <w:rPr>
          <w:rFonts w:ascii="Book Antiqua" w:hAnsi="Book Antiqua" w:cs="Arial"/>
        </w:rPr>
        <w:t xml:space="preserve"> </w:t>
      </w:r>
      <w:r>
        <w:rPr>
          <w:rFonts w:ascii="Book Antiqua" w:hAnsi="Book Antiqua" w:cs="Arial"/>
        </w:rPr>
        <w:t xml:space="preserve">In </w:t>
      </w:r>
      <w:proofErr w:type="gramStart"/>
      <w:r>
        <w:rPr>
          <w:rFonts w:ascii="Book Antiqua" w:hAnsi="Book Antiqua" w:cs="Arial"/>
        </w:rPr>
        <w:t>addition</w:t>
      </w:r>
      <w:proofErr w:type="gramEnd"/>
      <w:r>
        <w:rPr>
          <w:rFonts w:ascii="Book Antiqua" w:hAnsi="Book Antiqua" w:cs="Arial"/>
        </w:rPr>
        <w:t xml:space="preserve"> the judge</w:t>
      </w:r>
      <w:r w:rsidR="00FA472C">
        <w:rPr>
          <w:rFonts w:ascii="Book Antiqua" w:hAnsi="Book Antiqua" w:cs="Arial"/>
        </w:rPr>
        <w:t xml:space="preserve"> had acknowledged that but for his precarious immigration status the Appellant would otherwise meet the requirements of the Rules.  Drawing on the decision in </w:t>
      </w:r>
      <w:proofErr w:type="spellStart"/>
      <w:r w:rsidR="00FA472C" w:rsidRPr="00FA472C">
        <w:rPr>
          <w:rFonts w:ascii="Book Antiqua" w:hAnsi="Book Antiqua" w:cs="Arial"/>
          <w:b/>
          <w:u w:val="single"/>
        </w:rPr>
        <w:t>Agyarko</w:t>
      </w:r>
      <w:proofErr w:type="spellEnd"/>
      <w:r w:rsidR="00FA472C">
        <w:rPr>
          <w:rFonts w:ascii="Book Antiqua" w:hAnsi="Book Antiqua" w:cs="Arial"/>
        </w:rPr>
        <w:t xml:space="preserve">, she emphasised that although the Appellant resided in the UK unlawfully, nevertheless the </w:t>
      </w:r>
      <w:proofErr w:type="spellStart"/>
      <w:r w:rsidR="00FA472C">
        <w:rPr>
          <w:rFonts w:ascii="Book Antiqua" w:hAnsi="Book Antiqua" w:cs="Arial"/>
        </w:rPr>
        <w:t>FtTJ</w:t>
      </w:r>
      <w:proofErr w:type="spellEnd"/>
      <w:r w:rsidR="00FA472C">
        <w:rPr>
          <w:rFonts w:ascii="Book Antiqua" w:hAnsi="Book Antiqua" w:cs="Arial"/>
        </w:rPr>
        <w:t xml:space="preserve"> found that the Appellant could fulfil the other requirements of the Immigration Rules</w:t>
      </w:r>
      <w:r w:rsidR="00794FC8">
        <w:rPr>
          <w:rFonts w:ascii="Book Antiqua" w:hAnsi="Book Antiqua" w:cs="Arial"/>
        </w:rPr>
        <w:t>.</w:t>
      </w:r>
      <w:r w:rsidR="00FA472C">
        <w:rPr>
          <w:rFonts w:ascii="Book Antiqua" w:hAnsi="Book Antiqua" w:cs="Arial"/>
        </w:rPr>
        <w:t xml:space="preserve"> </w:t>
      </w:r>
      <w:r w:rsidR="00794FC8">
        <w:rPr>
          <w:rFonts w:ascii="Book Antiqua" w:hAnsi="Book Antiqua" w:cs="Arial"/>
        </w:rPr>
        <w:t xml:space="preserve"> </w:t>
      </w:r>
      <w:proofErr w:type="gramStart"/>
      <w:r w:rsidR="00794FC8">
        <w:rPr>
          <w:rFonts w:ascii="Book Antiqua" w:hAnsi="Book Antiqua" w:cs="Arial"/>
        </w:rPr>
        <w:t>A</w:t>
      </w:r>
      <w:r w:rsidR="00FA472C">
        <w:rPr>
          <w:rFonts w:ascii="Book Antiqua" w:hAnsi="Book Antiqua" w:cs="Arial"/>
        </w:rPr>
        <w:t>ccordingly</w:t>
      </w:r>
      <w:proofErr w:type="gramEnd"/>
      <w:r w:rsidR="00FA472C">
        <w:rPr>
          <w:rFonts w:ascii="Book Antiqua" w:hAnsi="Book Antiqua" w:cs="Arial"/>
        </w:rPr>
        <w:t xml:space="preserve"> that was capable of counting in the Appellant’s favour when considering the public interest in his removal.  </w:t>
      </w:r>
    </w:p>
    <w:p w:rsidR="00FA472C" w:rsidRDefault="00FA472C" w:rsidP="00E943B7">
      <w:pPr>
        <w:numPr>
          <w:ilvl w:val="0"/>
          <w:numId w:val="3"/>
        </w:numPr>
        <w:spacing w:before="240"/>
        <w:jc w:val="both"/>
        <w:rPr>
          <w:rFonts w:ascii="Book Antiqua" w:hAnsi="Book Antiqua" w:cs="Arial"/>
        </w:rPr>
      </w:pPr>
      <w:r>
        <w:rPr>
          <w:rFonts w:ascii="Book Antiqua" w:hAnsi="Book Antiqua" w:cs="Arial"/>
        </w:rPr>
        <w:t>The medical evidence pointed to the Sponsor’s mental health issues and the matter of weight to be afforded to that evidence was one for the judge.  It was clear that the judge had properly carried out the proportionality exercise</w:t>
      </w:r>
      <w:r w:rsidR="00794FC8">
        <w:rPr>
          <w:rFonts w:ascii="Book Antiqua" w:hAnsi="Book Antiqua" w:cs="Arial"/>
        </w:rPr>
        <w:t>.</w:t>
      </w:r>
      <w:r>
        <w:rPr>
          <w:rFonts w:ascii="Book Antiqua" w:hAnsi="Book Antiqua" w:cs="Arial"/>
        </w:rPr>
        <w:t xml:space="preserve"> </w:t>
      </w:r>
      <w:r w:rsidR="00794FC8">
        <w:rPr>
          <w:rFonts w:ascii="Book Antiqua" w:hAnsi="Book Antiqua" w:cs="Arial"/>
        </w:rPr>
        <w:t xml:space="preserve"> W</w:t>
      </w:r>
      <w:r>
        <w:rPr>
          <w:rFonts w:ascii="Book Antiqua" w:hAnsi="Book Antiqua" w:cs="Arial"/>
        </w:rPr>
        <w:t xml:space="preserve">hen balancing </w:t>
      </w:r>
      <w:proofErr w:type="gramStart"/>
      <w:r>
        <w:rPr>
          <w:rFonts w:ascii="Book Antiqua" w:hAnsi="Book Antiqua" w:cs="Arial"/>
        </w:rPr>
        <w:t>matters</w:t>
      </w:r>
      <w:proofErr w:type="gramEnd"/>
      <w:r>
        <w:rPr>
          <w:rFonts w:ascii="Book Antiqua" w:hAnsi="Book Antiqua" w:cs="Arial"/>
        </w:rPr>
        <w:t xml:space="preserve"> </w:t>
      </w:r>
      <w:r w:rsidR="00794FC8">
        <w:rPr>
          <w:rFonts w:ascii="Book Antiqua" w:hAnsi="Book Antiqua" w:cs="Arial"/>
        </w:rPr>
        <w:t xml:space="preserve">he </w:t>
      </w:r>
      <w:r>
        <w:rPr>
          <w:rFonts w:ascii="Book Antiqua" w:hAnsi="Book Antiqua" w:cs="Arial"/>
        </w:rPr>
        <w:t>had found that the Sponsor’s mental health issues were significantly compelling circumstances render</w:t>
      </w:r>
      <w:r w:rsidR="00794FC8">
        <w:rPr>
          <w:rFonts w:ascii="Book Antiqua" w:hAnsi="Book Antiqua" w:cs="Arial"/>
        </w:rPr>
        <w:t>ing</w:t>
      </w:r>
      <w:r>
        <w:rPr>
          <w:rFonts w:ascii="Book Antiqua" w:hAnsi="Book Antiqua" w:cs="Arial"/>
        </w:rPr>
        <w:t xml:space="preserve"> the decision to refuse the Appellant’s application under Article 8 disproportionate.  This was a finding open to the judge, accordingly there was no error in the judge’s decision.  </w:t>
      </w:r>
    </w:p>
    <w:p w:rsidR="00FA472C" w:rsidRPr="00FA472C" w:rsidRDefault="00FA472C" w:rsidP="00FA472C">
      <w:pPr>
        <w:spacing w:before="240"/>
        <w:jc w:val="both"/>
        <w:rPr>
          <w:rFonts w:ascii="Book Antiqua" w:hAnsi="Book Antiqua" w:cs="Arial"/>
          <w:b/>
          <w:u w:val="single"/>
        </w:rPr>
      </w:pPr>
      <w:r>
        <w:rPr>
          <w:rFonts w:ascii="Book Antiqua" w:hAnsi="Book Antiqua" w:cs="Arial"/>
          <w:b/>
          <w:u w:val="single"/>
        </w:rPr>
        <w:t xml:space="preserve">Consideration </w:t>
      </w:r>
    </w:p>
    <w:p w:rsidR="00FA472C" w:rsidRDefault="00FA472C" w:rsidP="00E943B7">
      <w:pPr>
        <w:numPr>
          <w:ilvl w:val="0"/>
          <w:numId w:val="3"/>
        </w:numPr>
        <w:spacing w:before="240"/>
        <w:jc w:val="both"/>
        <w:rPr>
          <w:rFonts w:ascii="Book Antiqua" w:hAnsi="Book Antiqua" w:cs="Arial"/>
        </w:rPr>
      </w:pPr>
      <w:r>
        <w:rPr>
          <w:rFonts w:ascii="Book Antiqua" w:hAnsi="Book Antiqua" w:cs="Arial"/>
        </w:rPr>
        <w:t>I am satisfied, after having heard from both representat</w:t>
      </w:r>
      <w:r w:rsidR="00AC5BDB">
        <w:rPr>
          <w:rFonts w:ascii="Book Antiqua" w:hAnsi="Book Antiqua" w:cs="Arial"/>
        </w:rPr>
        <w:t xml:space="preserve">ives, that the decision of the </w:t>
      </w:r>
      <w:proofErr w:type="spellStart"/>
      <w:r w:rsidR="00AC5BDB">
        <w:rPr>
          <w:rFonts w:ascii="Book Antiqua" w:hAnsi="Book Antiqua" w:cs="Arial"/>
        </w:rPr>
        <w:t>FtTJ</w:t>
      </w:r>
      <w:proofErr w:type="spellEnd"/>
      <w:r>
        <w:rPr>
          <w:rFonts w:ascii="Book Antiqua" w:hAnsi="Book Antiqua" w:cs="Arial"/>
        </w:rPr>
        <w:t xml:space="preserve"> is sustainable.  My starting point is that I accept Miss Pickering’s submissions that </w:t>
      </w:r>
      <w:r>
        <w:rPr>
          <w:rFonts w:ascii="Book Antiqua" w:hAnsi="Book Antiqua" w:cs="Arial"/>
        </w:rPr>
        <w:lastRenderedPageBreak/>
        <w:t xml:space="preserve">the judge had had regard to all the evidence before him.  Mr </w:t>
      </w:r>
      <w:proofErr w:type="spellStart"/>
      <w:r>
        <w:rPr>
          <w:rFonts w:ascii="Book Antiqua" w:hAnsi="Book Antiqua" w:cs="Arial"/>
        </w:rPr>
        <w:t>Diwnycz</w:t>
      </w:r>
      <w:proofErr w:type="spellEnd"/>
      <w:r>
        <w:rPr>
          <w:rFonts w:ascii="Book Antiqua" w:hAnsi="Book Antiqua" w:cs="Arial"/>
        </w:rPr>
        <w:t xml:space="preserve"> did not seek to persuade me otherwise.</w:t>
      </w:r>
    </w:p>
    <w:p w:rsidR="00FA472C" w:rsidRDefault="00FA472C" w:rsidP="00E943B7">
      <w:pPr>
        <w:numPr>
          <w:ilvl w:val="0"/>
          <w:numId w:val="3"/>
        </w:numPr>
        <w:spacing w:before="240"/>
        <w:jc w:val="both"/>
        <w:rPr>
          <w:rFonts w:ascii="Book Antiqua" w:hAnsi="Book Antiqua" w:cs="Arial"/>
        </w:rPr>
      </w:pPr>
      <w:r>
        <w:rPr>
          <w:rFonts w:ascii="Book Antiqua" w:hAnsi="Book Antiqua" w:cs="Arial"/>
        </w:rPr>
        <w:t>That being so, the judge acknowledged that the Appellant could not meet the Immigration Rules and no doubt kept in mind that the Appellant has a poor immigration history.  It would be hard</w:t>
      </w:r>
      <w:r w:rsidR="00AC5BDB">
        <w:rPr>
          <w:rFonts w:ascii="Book Antiqua" w:hAnsi="Book Antiqua" w:cs="Arial"/>
        </w:rPr>
        <w:t xml:space="preserve"> to find that he did not</w:t>
      </w:r>
      <w:r w:rsidR="00794FC8">
        <w:rPr>
          <w:rFonts w:ascii="Book Antiqua" w:hAnsi="Book Antiqua" w:cs="Arial"/>
        </w:rPr>
        <w:t>,</w:t>
      </w:r>
      <w:r w:rsidR="00AC5BDB">
        <w:rPr>
          <w:rFonts w:ascii="Book Antiqua" w:hAnsi="Book Antiqua" w:cs="Arial"/>
        </w:rPr>
        <w:t xml:space="preserve"> </w:t>
      </w:r>
      <w:r>
        <w:rPr>
          <w:rFonts w:ascii="Book Antiqua" w:hAnsi="Book Antiqua" w:cs="Arial"/>
        </w:rPr>
        <w:t>considering that he had</w:t>
      </w:r>
      <w:r w:rsidR="00976071">
        <w:rPr>
          <w:rFonts w:ascii="Book Antiqua" w:hAnsi="Book Antiqua" w:cs="Arial"/>
        </w:rPr>
        <w:t xml:space="preserve"> just</w:t>
      </w:r>
      <w:r>
        <w:rPr>
          <w:rFonts w:ascii="Book Antiqua" w:hAnsi="Book Antiqua" w:cs="Arial"/>
        </w:rPr>
        <w:t xml:space="preserve"> heard the Appellant make an incredible protection claim.   </w:t>
      </w:r>
    </w:p>
    <w:p w:rsidR="00FA472C" w:rsidRDefault="00FA472C" w:rsidP="00E943B7">
      <w:pPr>
        <w:numPr>
          <w:ilvl w:val="0"/>
          <w:numId w:val="3"/>
        </w:numPr>
        <w:spacing w:before="24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the judge also took into account</w:t>
      </w:r>
      <w:r w:rsidR="00AC6EE4">
        <w:rPr>
          <w:rFonts w:ascii="Book Antiqua" w:hAnsi="Book Antiqua" w:cs="Arial"/>
        </w:rPr>
        <w:t>,</w:t>
      </w:r>
      <w:r>
        <w:rPr>
          <w:rFonts w:ascii="Book Antiqua" w:hAnsi="Book Antiqua" w:cs="Arial"/>
        </w:rPr>
        <w:t xml:space="preserve"> as he was tasked to do, that the Appellant and</w:t>
      </w:r>
      <w:r w:rsidR="00976071">
        <w:rPr>
          <w:rFonts w:ascii="Book Antiqua" w:hAnsi="Book Antiqua" w:cs="Arial"/>
        </w:rPr>
        <w:t xml:space="preserve"> the Sponsor</w:t>
      </w:r>
      <w:r>
        <w:rPr>
          <w:rFonts w:ascii="Book Antiqua" w:hAnsi="Book Antiqua" w:cs="Arial"/>
        </w:rPr>
        <w:t xml:space="preserve"> are in a genuine relationship.</w:t>
      </w:r>
      <w:r w:rsidR="00976071">
        <w:rPr>
          <w:rFonts w:ascii="Book Antiqua" w:hAnsi="Book Antiqua" w:cs="Arial"/>
        </w:rPr>
        <w:t xml:space="preserve"> </w:t>
      </w:r>
      <w:r w:rsidR="00AC6EE4">
        <w:rPr>
          <w:rFonts w:ascii="Book Antiqua" w:hAnsi="Book Antiqua" w:cs="Arial"/>
        </w:rPr>
        <w:t xml:space="preserve"> </w:t>
      </w:r>
      <w:r w:rsidR="00976071">
        <w:rPr>
          <w:rFonts w:ascii="Book Antiqua" w:hAnsi="Book Antiqua" w:cs="Arial"/>
        </w:rPr>
        <w:t>It is a relationship which has endured since 2013.  The genuine</w:t>
      </w:r>
      <w:r w:rsidR="00794FC8">
        <w:rPr>
          <w:rFonts w:ascii="Book Antiqua" w:hAnsi="Book Antiqua" w:cs="Arial"/>
        </w:rPr>
        <w:t>ne</w:t>
      </w:r>
      <w:r w:rsidR="00976071">
        <w:rPr>
          <w:rFonts w:ascii="Book Antiqua" w:hAnsi="Book Antiqua" w:cs="Arial"/>
        </w:rPr>
        <w:t>ss of the relationship</w:t>
      </w:r>
      <w:r>
        <w:rPr>
          <w:rFonts w:ascii="Book Antiqua" w:hAnsi="Book Antiqua" w:cs="Arial"/>
        </w:rPr>
        <w:t xml:space="preserve"> is no longer the subject of any challenge.  The judge was clearly mindful that apart from the Appellant’s poor immigration history, the Appellant could otherwise fulfil the Immigration Rules.  </w:t>
      </w:r>
    </w:p>
    <w:p w:rsidR="00FA472C" w:rsidRDefault="001C7712" w:rsidP="00E943B7">
      <w:pPr>
        <w:numPr>
          <w:ilvl w:val="0"/>
          <w:numId w:val="3"/>
        </w:numPr>
        <w:spacing w:before="240"/>
        <w:jc w:val="both"/>
        <w:rPr>
          <w:rFonts w:ascii="Book Antiqua" w:hAnsi="Book Antiqua" w:cs="Arial"/>
        </w:rPr>
      </w:pPr>
      <w:r>
        <w:rPr>
          <w:rFonts w:ascii="Book Antiqua" w:hAnsi="Book Antiqua" w:cs="Arial"/>
        </w:rPr>
        <w:t>The judge then considered the medical evidence concerning</w:t>
      </w:r>
      <w:r w:rsidR="00466EA6">
        <w:rPr>
          <w:rFonts w:ascii="Book Antiqua" w:hAnsi="Book Antiqua" w:cs="Arial"/>
        </w:rPr>
        <w:t xml:space="preserve"> the Sponsor’s</w:t>
      </w:r>
      <w:r>
        <w:rPr>
          <w:rFonts w:ascii="Book Antiqua" w:hAnsi="Book Antiqua" w:cs="Arial"/>
        </w:rPr>
        <w:t xml:space="preserve"> mental health</w:t>
      </w:r>
      <w:r w:rsidR="00466EA6">
        <w:rPr>
          <w:rFonts w:ascii="Book Antiqua" w:hAnsi="Book Antiqua" w:cs="Arial"/>
        </w:rPr>
        <w:t xml:space="preserve"> as reported in the letter from Horton Park Medical Practice dated 29</w:t>
      </w:r>
      <w:r w:rsidR="00466EA6" w:rsidRPr="00466EA6">
        <w:rPr>
          <w:rFonts w:ascii="Book Antiqua" w:hAnsi="Book Antiqua" w:cs="Arial"/>
          <w:vertAlign w:val="superscript"/>
        </w:rPr>
        <w:t>th</w:t>
      </w:r>
      <w:r w:rsidR="00466EA6">
        <w:rPr>
          <w:rFonts w:ascii="Book Antiqua" w:hAnsi="Book Antiqua" w:cs="Arial"/>
        </w:rPr>
        <w:t xml:space="preserve"> September 2017. He</w:t>
      </w:r>
      <w:r>
        <w:rPr>
          <w:rFonts w:ascii="Book Antiqua" w:hAnsi="Book Antiqua" w:cs="Arial"/>
        </w:rPr>
        <w:t xml:space="preserve"> made a finding based on that evidence that any potential removal of the Appellant would serve to have a deleterious effect on her.  </w:t>
      </w:r>
    </w:p>
    <w:p w:rsidR="001C7712" w:rsidRDefault="001C7712" w:rsidP="00E943B7">
      <w:pPr>
        <w:numPr>
          <w:ilvl w:val="0"/>
          <w:numId w:val="3"/>
        </w:numPr>
        <w:spacing w:before="240"/>
        <w:jc w:val="both"/>
        <w:rPr>
          <w:rFonts w:ascii="Book Antiqua" w:hAnsi="Book Antiqua" w:cs="Arial"/>
        </w:rPr>
      </w:pPr>
      <w:r>
        <w:rPr>
          <w:rFonts w:ascii="Book Antiqua" w:hAnsi="Book Antiqua" w:cs="Arial"/>
        </w:rPr>
        <w:t>Balancing all factors, the judge concluded that the potential injury to</w:t>
      </w:r>
      <w:r w:rsidR="00976071">
        <w:rPr>
          <w:rFonts w:ascii="Book Antiqua" w:hAnsi="Book Antiqua" w:cs="Arial"/>
        </w:rPr>
        <w:t xml:space="preserve"> the Sponsor’s</w:t>
      </w:r>
      <w:r>
        <w:rPr>
          <w:rFonts w:ascii="Book Antiqua" w:hAnsi="Book Antiqua" w:cs="Arial"/>
        </w:rPr>
        <w:t xml:space="preserve"> mental health was compelling enough to counterbalance the Appellant’s poor immigration history and accordingly he allowed the appeal under Article 8.  </w:t>
      </w:r>
    </w:p>
    <w:p w:rsidR="001C7712" w:rsidRDefault="001C7712" w:rsidP="00E943B7">
      <w:pPr>
        <w:numPr>
          <w:ilvl w:val="0"/>
          <w:numId w:val="3"/>
        </w:numPr>
        <w:spacing w:before="240"/>
        <w:jc w:val="both"/>
        <w:rPr>
          <w:rFonts w:ascii="Book Antiqua" w:hAnsi="Book Antiqua" w:cs="Arial"/>
        </w:rPr>
      </w:pPr>
      <w:r>
        <w:rPr>
          <w:rFonts w:ascii="Book Antiqua" w:hAnsi="Book Antiqua" w:cs="Arial"/>
        </w:rPr>
        <w:t xml:space="preserve">Whilst I accept Mr </w:t>
      </w:r>
      <w:proofErr w:type="spellStart"/>
      <w:r>
        <w:rPr>
          <w:rFonts w:ascii="Book Antiqua" w:hAnsi="Book Antiqua" w:cs="Arial"/>
        </w:rPr>
        <w:t>Diwnycz’s</w:t>
      </w:r>
      <w:proofErr w:type="spellEnd"/>
      <w:r>
        <w:rPr>
          <w:rFonts w:ascii="Book Antiqua" w:hAnsi="Book Antiqua" w:cs="Arial"/>
        </w:rPr>
        <w:t xml:space="preserve"> observation that the judge’s reasoning “could be fuller” I find</w:t>
      </w:r>
      <w:r w:rsidR="00976071">
        <w:rPr>
          <w:rFonts w:ascii="Book Antiqua" w:hAnsi="Book Antiqua" w:cs="Arial"/>
        </w:rPr>
        <w:t xml:space="preserve"> nevertheless</w:t>
      </w:r>
      <w:r>
        <w:rPr>
          <w:rFonts w:ascii="Book Antiqua" w:hAnsi="Book Antiqua" w:cs="Arial"/>
        </w:rPr>
        <w:t xml:space="preserve"> that it is adequate and sufficient to show why he made the decision he did.  </w:t>
      </w:r>
    </w:p>
    <w:p w:rsidR="001C7712" w:rsidRPr="00C01D77" w:rsidRDefault="001C7712" w:rsidP="00E943B7">
      <w:pPr>
        <w:numPr>
          <w:ilvl w:val="0"/>
          <w:numId w:val="3"/>
        </w:numPr>
        <w:spacing w:before="240"/>
        <w:jc w:val="both"/>
        <w:rPr>
          <w:rFonts w:ascii="Book Antiqua" w:hAnsi="Book Antiqua" w:cs="Arial"/>
        </w:rPr>
      </w:pPr>
      <w:r>
        <w:rPr>
          <w:rFonts w:ascii="Book Antiqua" w:hAnsi="Book Antiqua" w:cs="Arial"/>
        </w:rPr>
        <w:t xml:space="preserve">For the foregoing reasons, I find that the decision of </w:t>
      </w:r>
      <w:proofErr w:type="spellStart"/>
      <w:r>
        <w:rPr>
          <w:rFonts w:ascii="Book Antiqua" w:hAnsi="Book Antiqua" w:cs="Arial"/>
        </w:rPr>
        <w:t>FtTJ</w:t>
      </w:r>
      <w:proofErr w:type="spellEnd"/>
      <w:r>
        <w:rPr>
          <w:rFonts w:ascii="Book Antiqua" w:hAnsi="Book Antiqua" w:cs="Arial"/>
        </w:rPr>
        <w:t xml:space="preserve"> Howard</w:t>
      </w:r>
      <w:r w:rsidR="00AC6EE4">
        <w:rPr>
          <w:rFonts w:ascii="Book Antiqua" w:hAnsi="Book Antiqua" w:cs="Arial"/>
        </w:rPr>
        <w:t>,</w:t>
      </w:r>
      <w:r>
        <w:rPr>
          <w:rFonts w:ascii="Book Antiqua" w:hAnsi="Book Antiqua" w:cs="Arial"/>
        </w:rPr>
        <w:t xml:space="preserve"> promulgated on 22</w:t>
      </w:r>
      <w:r w:rsidRPr="001C7712">
        <w:rPr>
          <w:rFonts w:ascii="Book Antiqua" w:hAnsi="Book Antiqua" w:cs="Arial"/>
          <w:vertAlign w:val="superscript"/>
        </w:rPr>
        <w:t>nd</w:t>
      </w:r>
      <w:r>
        <w:rPr>
          <w:rFonts w:ascii="Book Antiqua" w:hAnsi="Book Antiqua" w:cs="Arial"/>
        </w:rPr>
        <w:t xml:space="preserve"> November 2017, discloses no error of law and accordingly the decision stands.</w:t>
      </w:r>
    </w:p>
    <w:p w:rsidR="00E76309" w:rsidRPr="00C01D77" w:rsidRDefault="00E76309" w:rsidP="000369F5">
      <w:pPr>
        <w:tabs>
          <w:tab w:val="left" w:pos="2520"/>
        </w:tabs>
        <w:jc w:val="both"/>
        <w:rPr>
          <w:rFonts w:ascii="Book Antiqua" w:hAnsi="Book Antiqua" w:cs="Arial"/>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 xml:space="preserve">The appeal </w:t>
      </w:r>
      <w:r w:rsidR="001C7712">
        <w:rPr>
          <w:rFonts w:ascii="Book Antiqua" w:hAnsi="Book Antiqua" w:cs="Arial"/>
        </w:rPr>
        <w:t xml:space="preserve">of the Secretary of State </w:t>
      </w:r>
      <w:r w:rsidRPr="00073E80">
        <w:rPr>
          <w:rFonts w:ascii="Book Antiqua" w:hAnsi="Book Antiqua" w:cs="Arial"/>
        </w:rPr>
        <w:t>is</w:t>
      </w:r>
      <w:r w:rsidR="001C7712">
        <w:rPr>
          <w:rFonts w:ascii="Book Antiqua" w:hAnsi="Book Antiqua" w:cs="Arial"/>
        </w:rPr>
        <w:t xml:space="preserve"> hereby dismissed.  The decision of the First-tier Tribunal promulgated on 22</w:t>
      </w:r>
      <w:r w:rsidR="001C7712" w:rsidRPr="001C7712">
        <w:rPr>
          <w:rFonts w:ascii="Book Antiqua" w:hAnsi="Book Antiqua" w:cs="Arial"/>
          <w:vertAlign w:val="superscript"/>
        </w:rPr>
        <w:t>nd</w:t>
      </w:r>
      <w:r w:rsidR="00976071">
        <w:rPr>
          <w:rFonts w:ascii="Book Antiqua" w:hAnsi="Book Antiqua" w:cs="Arial"/>
        </w:rPr>
        <w:t xml:space="preserve"> November 2017 </w:t>
      </w:r>
      <w:r w:rsidR="001C7712">
        <w:rPr>
          <w:rFonts w:ascii="Book Antiqua" w:hAnsi="Book Antiqua" w:cs="Arial"/>
        </w:rPr>
        <w:t>allowing the appeal of A</w:t>
      </w:r>
      <w:r w:rsidR="00AC6EE4">
        <w:rPr>
          <w:rFonts w:ascii="Book Antiqua" w:hAnsi="Book Antiqua" w:cs="Arial"/>
        </w:rPr>
        <w:t>.</w:t>
      </w:r>
      <w:r w:rsidR="001C7712">
        <w:rPr>
          <w:rFonts w:ascii="Book Antiqua" w:hAnsi="Book Antiqua" w:cs="Arial"/>
        </w:rPr>
        <w:t>A</w:t>
      </w:r>
      <w:r w:rsidR="00AC6EE4">
        <w:rPr>
          <w:rFonts w:ascii="Book Antiqua" w:hAnsi="Book Antiqua" w:cs="Arial"/>
        </w:rPr>
        <w:t>.</w:t>
      </w:r>
      <w:r w:rsidR="001C7712">
        <w:rPr>
          <w:rFonts w:ascii="Book Antiqua" w:hAnsi="Book Antiqua" w:cs="Arial"/>
        </w:rPr>
        <w:t xml:space="preserve"> on human rights grounds stands.  </w:t>
      </w:r>
    </w:p>
    <w:p w:rsidR="00073E80" w:rsidRPr="00073E80" w:rsidRDefault="00073E80" w:rsidP="00073E80">
      <w:pPr>
        <w:jc w:val="both"/>
        <w:rPr>
          <w:rFonts w:ascii="Book Antiqua" w:hAnsi="Book Antiqua" w:cs="Arial"/>
        </w:rPr>
      </w:pPr>
    </w:p>
    <w:p w:rsidR="00AC6EE4" w:rsidRPr="00073E80" w:rsidRDefault="00AC6EE4" w:rsidP="00AC6EE4">
      <w:pPr>
        <w:jc w:val="both"/>
        <w:rPr>
          <w:rFonts w:ascii="Book Antiqua" w:hAnsi="Book Antiqua" w:cs="Arial"/>
        </w:rPr>
      </w:pPr>
      <w:r w:rsidRPr="00073E80">
        <w:rPr>
          <w:rFonts w:ascii="Book Antiqua" w:hAnsi="Book Antiqua" w:cs="Arial"/>
          <w:b/>
          <w:u w:val="single"/>
        </w:rPr>
        <w:t>Direction Regarding Anonymity – Rule 14 of the Tribunal Procedure (Upper Tribunal) Rules 2008</w:t>
      </w:r>
    </w:p>
    <w:p w:rsidR="00AC6EE4" w:rsidRPr="00073E80" w:rsidRDefault="00AC6EE4" w:rsidP="00AC6EE4">
      <w:pPr>
        <w:jc w:val="both"/>
        <w:rPr>
          <w:rFonts w:ascii="Book Antiqua" w:hAnsi="Book Antiqua" w:cs="Arial"/>
        </w:rPr>
      </w:pPr>
    </w:p>
    <w:p w:rsidR="00AC6EE4" w:rsidRPr="00687601" w:rsidRDefault="00AC6EE4" w:rsidP="00AC6EE4">
      <w:pPr>
        <w:jc w:val="both"/>
        <w:rPr>
          <w:rFonts w:ascii="Book Antiqua" w:hAnsi="Book Antiqua" w:cs="Arial"/>
        </w:rPr>
      </w:pPr>
      <w:r w:rsidRPr="00073E80">
        <w:rPr>
          <w:rFonts w:ascii="Book Antiqua" w:hAnsi="Book Antiqua" w:cs="Arial"/>
        </w:rPr>
        <w:t xml:space="preserve">Unless and </w:t>
      </w:r>
      <w:r w:rsidRPr="00073E80">
        <w:rPr>
          <w:rFonts w:ascii="Book Antiqua" w:hAnsi="Book Antiqua"/>
        </w:rPr>
        <w:t xml:space="preserve">until a Tribunal or court directs otherwise, the Appellant is granted anonymity.  No report of these proceedings shall directly or indirectly identify </w:t>
      </w:r>
      <w:r>
        <w:rPr>
          <w:rFonts w:ascii="Book Antiqua" w:hAnsi="Book Antiqua"/>
        </w:rPr>
        <w:t xml:space="preserve">him </w:t>
      </w:r>
      <w:r w:rsidRPr="00073E80">
        <w:rPr>
          <w:rFonts w:ascii="Book Antiqua" w:hAnsi="Book Antiqua"/>
        </w:rPr>
        <w:t xml:space="preserve">or any member of </w:t>
      </w:r>
      <w:r>
        <w:rPr>
          <w:rFonts w:ascii="Book Antiqua" w:hAnsi="Book Antiqua"/>
        </w:rPr>
        <w:t xml:space="preserve">his </w:t>
      </w:r>
      <w:r w:rsidRPr="00073E80">
        <w:rPr>
          <w:rFonts w:ascii="Book Antiqua" w:hAnsi="Book Antiqua"/>
        </w:rPr>
        <w:t>family.  This direction applies both to the Appellant and to the Respondent.  Failure to comply with this direction could lead to contempt of court proceedings.</w:t>
      </w:r>
    </w:p>
    <w:p w:rsidR="00073E80" w:rsidRPr="00073E80" w:rsidRDefault="00073E80" w:rsidP="00073E80">
      <w:pPr>
        <w:jc w:val="both"/>
        <w:rPr>
          <w:rFonts w:ascii="Book Antiqua" w:hAnsi="Book Antiqua" w:cs="Arial"/>
        </w:rPr>
      </w:pPr>
    </w:p>
    <w:p w:rsidR="000369F5" w:rsidRPr="00C01D77" w:rsidRDefault="000369F5" w:rsidP="000369F5">
      <w:pPr>
        <w:tabs>
          <w:tab w:val="left" w:pos="2520"/>
        </w:tabs>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bookmarkStart w:id="0" w:name="_GoBack"/>
      <w:bookmarkEnd w:id="0"/>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00AC6EE4">
        <w:rPr>
          <w:rFonts w:ascii="Book Antiqua" w:hAnsi="Book Antiqua" w:cs="Arial"/>
        </w:rPr>
        <w:tab/>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AC6EE4">
        <w:rPr>
          <w:rFonts w:ascii="Book Antiqua" w:hAnsi="Book Antiqua" w:cs="Arial"/>
        </w:rPr>
        <w:tab/>
      </w:r>
      <w:r w:rsidR="00AC6EE4">
        <w:rPr>
          <w:rFonts w:ascii="Book Antiqua" w:hAnsi="Book Antiqua" w:cs="Arial"/>
        </w:rPr>
        <w:tab/>
        <w:t>28 June 2018</w:t>
      </w:r>
    </w:p>
    <w:p w:rsidR="001F2716" w:rsidRPr="00C01D77" w:rsidRDefault="001F2716" w:rsidP="000369F5">
      <w:pPr>
        <w:tabs>
          <w:tab w:val="left" w:pos="2520"/>
        </w:tabs>
        <w:jc w:val="both"/>
        <w:rPr>
          <w:rFonts w:ascii="Book Antiqua" w:hAnsi="Book Antiqua" w:cs="Arial"/>
        </w:rPr>
      </w:pPr>
    </w:p>
    <w:p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E03DC7" w:rsidRDefault="00E03DC7" w:rsidP="00073E80">
      <w:pPr>
        <w:jc w:val="both"/>
        <w:rPr>
          <w:rFonts w:ascii="Book Antiqua" w:hAnsi="Book Antiqua" w:cs="Arial"/>
          <w:b/>
          <w:u w:val="single"/>
        </w:rPr>
      </w:pPr>
    </w:p>
    <w:p w:rsidR="00E03DC7" w:rsidRDefault="00E03DC7" w:rsidP="00073E80">
      <w:pPr>
        <w:jc w:val="both"/>
        <w:rPr>
          <w:rFonts w:ascii="Book Antiqua" w:hAnsi="Book Antiqua" w:cs="Arial"/>
          <w:b/>
          <w:u w:val="single"/>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TO THE RESPONDENT</w:t>
      </w:r>
    </w:p>
    <w:p w:rsidR="00073E80" w:rsidRPr="00073E80" w:rsidRDefault="00073E80" w:rsidP="00073E80">
      <w:pPr>
        <w:ind w:left="567" w:hanging="567"/>
        <w:jc w:val="both"/>
        <w:rPr>
          <w:rFonts w:ascii="Book Antiqua" w:hAnsi="Book Antiqua" w:cs="Arial"/>
        </w:rPr>
      </w:pPr>
      <w:r w:rsidRPr="00073E80">
        <w:rPr>
          <w:rFonts w:ascii="Book Antiqua" w:hAnsi="Book Antiqua" w:cs="Arial"/>
          <w:b/>
          <w:u w:val="single"/>
        </w:rPr>
        <w:t>FEE AWARD</w:t>
      </w:r>
    </w:p>
    <w:p w:rsidR="00073E80" w:rsidRPr="00073E80" w:rsidRDefault="00073E80" w:rsidP="00073E80">
      <w:pPr>
        <w:ind w:left="567" w:hanging="567"/>
        <w:jc w:val="both"/>
        <w:rPr>
          <w:rFonts w:ascii="Book Antiqua" w:hAnsi="Book Antiqua" w:cs="Arial"/>
        </w:rPr>
      </w:pPr>
    </w:p>
    <w:p w:rsidR="00073E80" w:rsidRDefault="001C7712" w:rsidP="001C7712">
      <w:pPr>
        <w:jc w:val="both"/>
        <w:rPr>
          <w:rFonts w:ascii="Book Antiqua" w:hAnsi="Book Antiqua" w:cs="Arial"/>
        </w:rPr>
      </w:pPr>
      <w:r>
        <w:rPr>
          <w:rFonts w:ascii="Book Antiqua" w:hAnsi="Book Antiqua" w:cs="Arial"/>
        </w:rPr>
        <w:t xml:space="preserve">The </w:t>
      </w:r>
      <w:proofErr w:type="spellStart"/>
      <w:r>
        <w:rPr>
          <w:rFonts w:ascii="Book Antiqua" w:hAnsi="Book Antiqua" w:cs="Arial"/>
        </w:rPr>
        <w:t>FtTJ</w:t>
      </w:r>
      <w:proofErr w:type="spellEnd"/>
      <w:r>
        <w:rPr>
          <w:rFonts w:ascii="Book Antiqua" w:hAnsi="Book Antiqua" w:cs="Arial"/>
        </w:rPr>
        <w:t xml:space="preserve"> made no fee award.  Th</w:t>
      </w:r>
      <w:r w:rsidR="00E03DC7">
        <w:rPr>
          <w:rFonts w:ascii="Book Antiqua" w:hAnsi="Book Antiqua" w:cs="Arial"/>
        </w:rPr>
        <w:t>at</w:t>
      </w:r>
      <w:r>
        <w:rPr>
          <w:rFonts w:ascii="Book Antiqua" w:hAnsi="Book Antiqua" w:cs="Arial"/>
        </w:rPr>
        <w:t xml:space="preserve"> decision stands.  </w:t>
      </w: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p>
    <w:p w:rsidR="00AC6EE4" w:rsidRPr="00C01D77" w:rsidRDefault="00AC6EE4" w:rsidP="00AC6EE4">
      <w:pPr>
        <w:tabs>
          <w:tab w:val="left" w:pos="2520"/>
        </w:tabs>
        <w:jc w:val="both"/>
        <w:rPr>
          <w:rFonts w:ascii="Book Antiqua" w:hAnsi="Book Antiqua" w:cs="Arial"/>
        </w:rPr>
      </w:pPr>
      <w:r w:rsidRPr="00C01D77">
        <w:rPr>
          <w:rFonts w:ascii="Book Antiqua" w:hAnsi="Book Antiqua" w:cs="Arial"/>
        </w:rPr>
        <w:t>Signed</w:t>
      </w:r>
      <w:r>
        <w:rPr>
          <w:rFonts w:ascii="Book Antiqua" w:hAnsi="Book Antiqua" w:cs="Arial"/>
        </w:rPr>
        <w:tab/>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t>Date</w:t>
      </w:r>
      <w:r>
        <w:rPr>
          <w:rFonts w:ascii="Book Antiqua" w:hAnsi="Book Antiqua" w:cs="Arial"/>
        </w:rPr>
        <w:tab/>
      </w:r>
      <w:r>
        <w:rPr>
          <w:rFonts w:ascii="Book Antiqua" w:hAnsi="Book Antiqua" w:cs="Arial"/>
        </w:rPr>
        <w:tab/>
        <w:t>28 June 2018</w:t>
      </w:r>
    </w:p>
    <w:p w:rsidR="00073E80" w:rsidRPr="00C01D77" w:rsidRDefault="00073E80" w:rsidP="00073E80">
      <w:pPr>
        <w:tabs>
          <w:tab w:val="left" w:pos="2520"/>
        </w:tabs>
        <w:jc w:val="both"/>
        <w:rPr>
          <w:rFonts w:ascii="Book Antiqua" w:hAnsi="Book Antiqua" w:cs="Arial"/>
        </w:rPr>
      </w:pPr>
    </w:p>
    <w:p w:rsidR="00073E80" w:rsidRPr="00C01D77" w:rsidRDefault="00073E80" w:rsidP="00073E80">
      <w:pPr>
        <w:tabs>
          <w:tab w:val="left" w:pos="2520"/>
        </w:tabs>
        <w:jc w:val="both"/>
        <w:rPr>
          <w:rFonts w:ascii="Book Antiqua" w:hAnsi="Book Antiqua" w:cs="Arial"/>
        </w:rPr>
      </w:pPr>
    </w:p>
    <w:p w:rsidR="00073E80" w:rsidRDefault="00635C47" w:rsidP="00073E80">
      <w:pPr>
        <w:tabs>
          <w:tab w:val="left" w:pos="2520"/>
        </w:tabs>
        <w:jc w:val="both"/>
        <w:rPr>
          <w:rFonts w:ascii="Book Antiqua" w:hAnsi="Book Antiqua" w:cs="Arial"/>
        </w:rPr>
      </w:pPr>
      <w:r>
        <w:rPr>
          <w:rFonts w:ascii="Book Antiqua" w:hAnsi="Book Antiqua" w:cs="Arial"/>
        </w:rPr>
        <w:t xml:space="preserve">Deputy </w:t>
      </w:r>
      <w:r w:rsidR="00073E80">
        <w:rPr>
          <w:rFonts w:ascii="Book Antiqua" w:hAnsi="Book Antiqua" w:cs="Arial"/>
        </w:rPr>
        <w:t>Upper Tribunal</w:t>
      </w:r>
      <w:r w:rsidR="00073E80" w:rsidRPr="00C01D77">
        <w:rPr>
          <w:rFonts w:ascii="Book Antiqua" w:hAnsi="Book Antiqua" w:cs="Arial"/>
        </w:rPr>
        <w:t xml:space="preserve"> Judge Roberts </w:t>
      </w:r>
    </w:p>
    <w:p w:rsidR="00073E80" w:rsidRDefault="00073E80" w:rsidP="00073E80">
      <w:pPr>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5B7789" w:rsidRPr="00C01D77" w:rsidRDefault="006B6451" w:rsidP="009E1C6B">
      <w:pPr>
        <w:tabs>
          <w:tab w:val="left" w:pos="2520"/>
        </w:tabs>
        <w:jc w:val="both"/>
        <w:rPr>
          <w:rFonts w:ascii="Book Antiqua" w:hAnsi="Book Antiqua" w:cs="Arial"/>
        </w:rPr>
      </w:pPr>
      <w:r w:rsidRPr="00C01D77">
        <w:rPr>
          <w:rFonts w:ascii="Book Antiqua" w:hAnsi="Book Antiqua" w:cs="Arial"/>
        </w:rPr>
        <w:t xml:space="preserve"> </w:t>
      </w:r>
    </w:p>
    <w:sectPr w:rsidR="005B7789" w:rsidRPr="00C01D77" w:rsidSect="00A325C2">
      <w:headerReference w:type="default" r:id="rId8"/>
      <w:footerReference w:type="default" r:id="rId9"/>
      <w:headerReference w:type="first" r:id="rId10"/>
      <w:footerReference w:type="first" r:id="rId11"/>
      <w:pgSz w:w="11906" w:h="16838"/>
      <w:pgMar w:top="567"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4DB" w:rsidRDefault="006064DB">
      <w:r>
        <w:separator/>
      </w:r>
    </w:p>
  </w:endnote>
  <w:endnote w:type="continuationSeparator" w:id="0">
    <w:p w:rsidR="006064DB" w:rsidRDefault="00606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0AB" w:rsidRPr="00A325C2" w:rsidRDefault="0049124C" w:rsidP="00593795">
    <w:pPr>
      <w:pStyle w:val="Footer"/>
      <w:jc w:val="center"/>
      <w:rPr>
        <w:rFonts w:ascii="Book Antiqua" w:hAnsi="Book Antiqua" w:cs="Arial"/>
      </w:rPr>
    </w:pPr>
    <w:r w:rsidRPr="00A325C2">
      <w:rPr>
        <w:rStyle w:val="PageNumber"/>
        <w:rFonts w:ascii="Book Antiqua" w:hAnsi="Book Antiqua" w:cs="Arial"/>
      </w:rPr>
      <w:fldChar w:fldCharType="begin"/>
    </w:r>
    <w:r w:rsidR="00C700AB" w:rsidRPr="00A325C2">
      <w:rPr>
        <w:rStyle w:val="PageNumber"/>
        <w:rFonts w:ascii="Book Antiqua" w:hAnsi="Book Antiqua" w:cs="Arial"/>
      </w:rPr>
      <w:instrText xml:space="preserve"> PAGE </w:instrText>
    </w:r>
    <w:r w:rsidRPr="00A325C2">
      <w:rPr>
        <w:rStyle w:val="PageNumber"/>
        <w:rFonts w:ascii="Book Antiqua" w:hAnsi="Book Antiqua" w:cs="Arial"/>
      </w:rPr>
      <w:fldChar w:fldCharType="separate"/>
    </w:r>
    <w:r w:rsidR="00D37E77">
      <w:rPr>
        <w:rStyle w:val="PageNumber"/>
        <w:rFonts w:ascii="Book Antiqua" w:hAnsi="Book Antiqua" w:cs="Arial"/>
        <w:noProof/>
      </w:rPr>
      <w:t>5</w:t>
    </w:r>
    <w:r w:rsidRPr="00A325C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0AB" w:rsidRPr="00C01D77" w:rsidRDefault="00C700AB" w:rsidP="00E51376">
    <w:pPr>
      <w:jc w:val="center"/>
      <w:rPr>
        <w:rFonts w:ascii="Book Antiqua" w:hAnsi="Book Antiqua" w:cs="Arial"/>
        <w:b/>
      </w:rPr>
    </w:pPr>
    <w:r w:rsidRPr="00C01D77">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4DB" w:rsidRDefault="006064DB">
      <w:r>
        <w:separator/>
      </w:r>
    </w:p>
  </w:footnote>
  <w:footnote w:type="continuationSeparator" w:id="0">
    <w:p w:rsidR="006064DB" w:rsidRDefault="00606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0AB" w:rsidRDefault="00C700AB"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Appeal Number:</w:t>
    </w:r>
    <w:r>
      <w:rPr>
        <w:rFonts w:ascii="Book Antiqua" w:hAnsi="Book Antiqua" w:cs="Arial"/>
        <w:sz w:val="16"/>
        <w:szCs w:val="16"/>
      </w:rPr>
      <w:t xml:space="preserve"> PA/09161/2017</w:t>
    </w:r>
    <w:r w:rsidRPr="00C01D77">
      <w:rPr>
        <w:rFonts w:ascii="Book Antiqua" w:hAnsi="Book Antiqua" w:cs="Arial"/>
        <w:sz w:val="16"/>
        <w:szCs w:val="16"/>
      </w:rPr>
      <w:t xml:space="preserve"> </w:t>
    </w:r>
  </w:p>
  <w:p w:rsidR="00A325C2" w:rsidRPr="00C01D77" w:rsidRDefault="00A325C2"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0AB" w:rsidRPr="00C01D77" w:rsidRDefault="00C700AB">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53"/>
    <w:rsid w:val="00000621"/>
    <w:rsid w:val="000036C2"/>
    <w:rsid w:val="00021BDB"/>
    <w:rsid w:val="00033D3D"/>
    <w:rsid w:val="00036669"/>
    <w:rsid w:val="000369F5"/>
    <w:rsid w:val="00045030"/>
    <w:rsid w:val="00071A7E"/>
    <w:rsid w:val="00073E80"/>
    <w:rsid w:val="000746C0"/>
    <w:rsid w:val="00074D1D"/>
    <w:rsid w:val="00092580"/>
    <w:rsid w:val="000B3B14"/>
    <w:rsid w:val="000B4B02"/>
    <w:rsid w:val="000C3C5A"/>
    <w:rsid w:val="000C5382"/>
    <w:rsid w:val="000C6FC4"/>
    <w:rsid w:val="000C7BD4"/>
    <w:rsid w:val="000D5D94"/>
    <w:rsid w:val="001165A7"/>
    <w:rsid w:val="00122BC1"/>
    <w:rsid w:val="00151BB7"/>
    <w:rsid w:val="00167D3A"/>
    <w:rsid w:val="001A6CB4"/>
    <w:rsid w:val="001C7712"/>
    <w:rsid w:val="001D7D80"/>
    <w:rsid w:val="001F2716"/>
    <w:rsid w:val="0020133A"/>
    <w:rsid w:val="00207229"/>
    <w:rsid w:val="00207617"/>
    <w:rsid w:val="00215199"/>
    <w:rsid w:val="00231FEB"/>
    <w:rsid w:val="002332CB"/>
    <w:rsid w:val="00261413"/>
    <w:rsid w:val="00283659"/>
    <w:rsid w:val="0029282D"/>
    <w:rsid w:val="002B2B7B"/>
    <w:rsid w:val="002B7E5C"/>
    <w:rsid w:val="002C1A12"/>
    <w:rsid w:val="002C4E73"/>
    <w:rsid w:val="002D68BF"/>
    <w:rsid w:val="00336CBF"/>
    <w:rsid w:val="003546C8"/>
    <w:rsid w:val="003648C0"/>
    <w:rsid w:val="003A7CF2"/>
    <w:rsid w:val="003C5CE5"/>
    <w:rsid w:val="003E267B"/>
    <w:rsid w:val="003E7CD1"/>
    <w:rsid w:val="00401743"/>
    <w:rsid w:val="00402750"/>
    <w:rsid w:val="00402B9E"/>
    <w:rsid w:val="004067C4"/>
    <w:rsid w:val="00423932"/>
    <w:rsid w:val="004249CB"/>
    <w:rsid w:val="0044127D"/>
    <w:rsid w:val="004448DB"/>
    <w:rsid w:val="00446C9A"/>
    <w:rsid w:val="0045060A"/>
    <w:rsid w:val="00466EA6"/>
    <w:rsid w:val="0047262D"/>
    <w:rsid w:val="00477193"/>
    <w:rsid w:val="0049124C"/>
    <w:rsid w:val="004A1848"/>
    <w:rsid w:val="004C0C7B"/>
    <w:rsid w:val="00507FEC"/>
    <w:rsid w:val="00510F0E"/>
    <w:rsid w:val="005479E1"/>
    <w:rsid w:val="00551122"/>
    <w:rsid w:val="005570FD"/>
    <w:rsid w:val="005575EA"/>
    <w:rsid w:val="00573039"/>
    <w:rsid w:val="0057790C"/>
    <w:rsid w:val="00593795"/>
    <w:rsid w:val="00597401"/>
    <w:rsid w:val="005A02FC"/>
    <w:rsid w:val="005A75FF"/>
    <w:rsid w:val="005B7789"/>
    <w:rsid w:val="005D6B48"/>
    <w:rsid w:val="006064DB"/>
    <w:rsid w:val="00625569"/>
    <w:rsid w:val="00630A84"/>
    <w:rsid w:val="00635C47"/>
    <w:rsid w:val="0065791C"/>
    <w:rsid w:val="00690B8A"/>
    <w:rsid w:val="006B6451"/>
    <w:rsid w:val="006D1DFA"/>
    <w:rsid w:val="006D506B"/>
    <w:rsid w:val="006D5EEF"/>
    <w:rsid w:val="006E3C90"/>
    <w:rsid w:val="00704B61"/>
    <w:rsid w:val="0072401A"/>
    <w:rsid w:val="007419A9"/>
    <w:rsid w:val="007421B9"/>
    <w:rsid w:val="00742A8D"/>
    <w:rsid w:val="0074504A"/>
    <w:rsid w:val="007552A9"/>
    <w:rsid w:val="00761858"/>
    <w:rsid w:val="00767D59"/>
    <w:rsid w:val="00776E97"/>
    <w:rsid w:val="00780FD7"/>
    <w:rsid w:val="007912AD"/>
    <w:rsid w:val="00794FC8"/>
    <w:rsid w:val="007A6AED"/>
    <w:rsid w:val="007B0824"/>
    <w:rsid w:val="007B6BD8"/>
    <w:rsid w:val="007C6A8D"/>
    <w:rsid w:val="007D0706"/>
    <w:rsid w:val="007D1C7D"/>
    <w:rsid w:val="00825478"/>
    <w:rsid w:val="008303B8"/>
    <w:rsid w:val="00833DCE"/>
    <w:rsid w:val="00871D34"/>
    <w:rsid w:val="008B270C"/>
    <w:rsid w:val="008C3D3D"/>
    <w:rsid w:val="008C3F45"/>
    <w:rsid w:val="008D4131"/>
    <w:rsid w:val="008E75FC"/>
    <w:rsid w:val="008F1932"/>
    <w:rsid w:val="008F294D"/>
    <w:rsid w:val="00921062"/>
    <w:rsid w:val="00966ECF"/>
    <w:rsid w:val="009727A3"/>
    <w:rsid w:val="00973661"/>
    <w:rsid w:val="00976071"/>
    <w:rsid w:val="00987774"/>
    <w:rsid w:val="009A11E8"/>
    <w:rsid w:val="009E1C6B"/>
    <w:rsid w:val="009E57CE"/>
    <w:rsid w:val="009F5220"/>
    <w:rsid w:val="009F7C4D"/>
    <w:rsid w:val="00A00B67"/>
    <w:rsid w:val="00A12991"/>
    <w:rsid w:val="00A15234"/>
    <w:rsid w:val="00A201AB"/>
    <w:rsid w:val="00A31C8B"/>
    <w:rsid w:val="00A325C2"/>
    <w:rsid w:val="00A40D60"/>
    <w:rsid w:val="00A53CEB"/>
    <w:rsid w:val="00A62E4B"/>
    <w:rsid w:val="00A845DC"/>
    <w:rsid w:val="00A97AEE"/>
    <w:rsid w:val="00AC5BDB"/>
    <w:rsid w:val="00AC5CF6"/>
    <w:rsid w:val="00AC6EE4"/>
    <w:rsid w:val="00AD7A85"/>
    <w:rsid w:val="00AE7547"/>
    <w:rsid w:val="00B02D2F"/>
    <w:rsid w:val="00B144FA"/>
    <w:rsid w:val="00B30648"/>
    <w:rsid w:val="00B3524D"/>
    <w:rsid w:val="00B370C1"/>
    <w:rsid w:val="00B40F69"/>
    <w:rsid w:val="00B46616"/>
    <w:rsid w:val="00B61205"/>
    <w:rsid w:val="00B617C4"/>
    <w:rsid w:val="00B626FA"/>
    <w:rsid w:val="00B7040A"/>
    <w:rsid w:val="00B86C3D"/>
    <w:rsid w:val="00BB2F53"/>
    <w:rsid w:val="00BD4196"/>
    <w:rsid w:val="00BE6907"/>
    <w:rsid w:val="00BF22CA"/>
    <w:rsid w:val="00C01D77"/>
    <w:rsid w:val="00C22723"/>
    <w:rsid w:val="00C26032"/>
    <w:rsid w:val="00C265B0"/>
    <w:rsid w:val="00C345E1"/>
    <w:rsid w:val="00C61C08"/>
    <w:rsid w:val="00C700AB"/>
    <w:rsid w:val="00CB6E35"/>
    <w:rsid w:val="00CE1A46"/>
    <w:rsid w:val="00CF253F"/>
    <w:rsid w:val="00CF56B4"/>
    <w:rsid w:val="00CF7CA6"/>
    <w:rsid w:val="00D20F09"/>
    <w:rsid w:val="00D22636"/>
    <w:rsid w:val="00D35017"/>
    <w:rsid w:val="00D37422"/>
    <w:rsid w:val="00D37E77"/>
    <w:rsid w:val="00D40FD9"/>
    <w:rsid w:val="00D46FD9"/>
    <w:rsid w:val="00D53769"/>
    <w:rsid w:val="00D74AFC"/>
    <w:rsid w:val="00D85C13"/>
    <w:rsid w:val="00D91BE3"/>
    <w:rsid w:val="00D94AFC"/>
    <w:rsid w:val="00DB70AE"/>
    <w:rsid w:val="00DB7231"/>
    <w:rsid w:val="00DD5071"/>
    <w:rsid w:val="00DD5C39"/>
    <w:rsid w:val="00DE26AF"/>
    <w:rsid w:val="00DE7DB7"/>
    <w:rsid w:val="00DF0231"/>
    <w:rsid w:val="00DF255C"/>
    <w:rsid w:val="00E00A0A"/>
    <w:rsid w:val="00E03DC7"/>
    <w:rsid w:val="00E07F57"/>
    <w:rsid w:val="00E333C1"/>
    <w:rsid w:val="00E50BCE"/>
    <w:rsid w:val="00E51376"/>
    <w:rsid w:val="00E61292"/>
    <w:rsid w:val="00E76309"/>
    <w:rsid w:val="00E77C4D"/>
    <w:rsid w:val="00E81D01"/>
    <w:rsid w:val="00E87808"/>
    <w:rsid w:val="00E943B7"/>
    <w:rsid w:val="00EE45D8"/>
    <w:rsid w:val="00F004CD"/>
    <w:rsid w:val="00F156C8"/>
    <w:rsid w:val="00F21185"/>
    <w:rsid w:val="00F22EDA"/>
    <w:rsid w:val="00F33E0E"/>
    <w:rsid w:val="00F41153"/>
    <w:rsid w:val="00F44EF3"/>
    <w:rsid w:val="00F92C21"/>
    <w:rsid w:val="00FA472C"/>
    <w:rsid w:val="00FB7E80"/>
    <w:rsid w:val="00FC28B0"/>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4BF9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17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1480</Words>
  <Characters>7875</Characters>
  <Application>Microsoft Office Word</Application>
  <DocSecurity>0</DocSecurity>
  <Lines>65</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2018-07-19T14:51:00Z</dcterms:created>
  <dcterms:modified xsi:type="dcterms:W3CDTF">2018-07-19T14:52:00Z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