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84CB5" w14:textId="77777777" w:rsidR="00F63500" w:rsidRPr="00F97703" w:rsidRDefault="00F63500" w:rsidP="00F63500">
      <w:pPr>
        <w:rPr>
          <w:rFonts w:ascii="Book Antiqua" w:hAnsi="Book Antiqua" w:cs="Arial"/>
          <w:color w:val="000000"/>
          <w:sz w:val="16"/>
          <w:szCs w:val="16"/>
        </w:rPr>
      </w:pPr>
    </w:p>
    <w:p w14:paraId="06E379F3" w14:textId="77777777" w:rsidR="00F63500" w:rsidRDefault="00F63500" w:rsidP="00F63500">
      <w:pPr>
        <w:jc w:val="center"/>
        <w:rPr>
          <w:rFonts w:ascii="Book Antiqua" w:hAnsi="Book Antiqua" w:cs="Arial"/>
          <w:color w:val="000000"/>
        </w:rPr>
      </w:pPr>
      <w:r>
        <w:rPr>
          <w:noProof/>
        </w:rPr>
        <w:drawing>
          <wp:inline distT="0" distB="0" distL="0" distR="0" wp14:anchorId="6E33DF05" wp14:editId="56FFAFD6">
            <wp:extent cx="1501140" cy="1135380"/>
            <wp:effectExtent l="0" t="0" r="3810"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14:paraId="5FCA099C" w14:textId="77777777" w:rsidR="00F63500" w:rsidRPr="00F97703" w:rsidRDefault="00F63500" w:rsidP="00F63500">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5AAE11C9" w14:textId="5AAF0D97" w:rsidR="00D87ABF" w:rsidRDefault="00F63500" w:rsidP="00D87ABF">
      <w:pPr>
        <w:jc w:val="both"/>
        <w:rPr>
          <w:rFonts w:ascii="Book Antiqua" w:hAnsi="Book Antiqua"/>
          <w:b/>
          <w:u w:val="single"/>
        </w:rPr>
      </w:pPr>
      <w:r w:rsidRPr="00F97703">
        <w:rPr>
          <w:rFonts w:ascii="Book Antiqua" w:hAnsi="Book Antiqua" w:cs="Arial"/>
          <w:b/>
          <w:color w:val="000000"/>
        </w:rPr>
        <w:t>(Immigration and Asylum Chamber)</w:t>
      </w:r>
      <w:r w:rsidRPr="00F97703">
        <w:rPr>
          <w:rFonts w:ascii="Book Antiqua" w:hAnsi="Book Antiqua" w:cs="Arial"/>
          <w:b/>
          <w:color w:val="000000"/>
        </w:rPr>
        <w:tab/>
      </w:r>
      <w:r w:rsidR="00AC39F1">
        <w:rPr>
          <w:rFonts w:ascii="Book Antiqua" w:hAnsi="Book Antiqua" w:cs="Arial"/>
          <w:b/>
          <w:color w:val="000000"/>
        </w:rPr>
        <w:t xml:space="preserve">                            </w:t>
      </w:r>
      <w:r w:rsidRPr="00637B8B">
        <w:rPr>
          <w:rFonts w:ascii="Book Antiqua" w:hAnsi="Book Antiqua" w:cs="Arial"/>
          <w:b/>
          <w:color w:val="000000"/>
        </w:rPr>
        <w:t xml:space="preserve">Appeal Number: </w:t>
      </w:r>
      <w:r w:rsidR="002B30C4" w:rsidRPr="00637B8B">
        <w:rPr>
          <w:rFonts w:ascii="Book Antiqua" w:hAnsi="Book Antiqua" w:cs="Arial"/>
          <w:b/>
          <w:color w:val="000000"/>
        </w:rPr>
        <w:t>PA/09174/2019</w:t>
      </w:r>
    </w:p>
    <w:p w14:paraId="03E48475" w14:textId="77777777" w:rsidR="004B2E96" w:rsidRPr="00F97703" w:rsidRDefault="004B2E96" w:rsidP="00F63500">
      <w:pPr>
        <w:jc w:val="center"/>
        <w:rPr>
          <w:rFonts w:ascii="Book Antiqua" w:hAnsi="Book Antiqua" w:cs="Arial"/>
          <w:color w:val="000000"/>
        </w:rPr>
      </w:pPr>
    </w:p>
    <w:p w14:paraId="027B28A3" w14:textId="77777777" w:rsidR="00F63500" w:rsidRPr="00F97703" w:rsidRDefault="00F63500" w:rsidP="00F63500">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49D2A265" w14:textId="77777777" w:rsidR="00F63500" w:rsidRPr="00F97703" w:rsidRDefault="00F63500" w:rsidP="00F63500">
      <w:pPr>
        <w:jc w:val="center"/>
        <w:rPr>
          <w:rFonts w:ascii="Book Antiqua" w:hAnsi="Book Antiqua" w:cs="Arial"/>
          <w:b/>
          <w:u w:val="single"/>
        </w:rPr>
      </w:pPr>
    </w:p>
    <w:tbl>
      <w:tblPr>
        <w:tblW w:w="0" w:type="auto"/>
        <w:tblLook w:val="01E0" w:firstRow="1" w:lastRow="1" w:firstColumn="1" w:lastColumn="1" w:noHBand="0" w:noVBand="0"/>
      </w:tblPr>
      <w:tblGrid>
        <w:gridCol w:w="5670"/>
        <w:gridCol w:w="142"/>
        <w:gridCol w:w="3826"/>
      </w:tblGrid>
      <w:tr w:rsidR="00F63500" w:rsidRPr="00AB1DC6" w14:paraId="1F5FF653" w14:textId="77777777" w:rsidTr="00A04462">
        <w:tc>
          <w:tcPr>
            <w:tcW w:w="5670" w:type="dxa"/>
            <w:shd w:val="clear" w:color="auto" w:fill="auto"/>
          </w:tcPr>
          <w:p w14:paraId="30ACEAD7" w14:textId="385D06C8" w:rsidR="00F63500" w:rsidRPr="00AB1DC6" w:rsidRDefault="005A12E5" w:rsidP="004C7935">
            <w:pPr>
              <w:jc w:val="both"/>
              <w:rPr>
                <w:rFonts w:ascii="Book Antiqua" w:hAnsi="Book Antiqua" w:cs="Arial"/>
                <w:b/>
              </w:rPr>
            </w:pPr>
            <w:r>
              <w:rPr>
                <w:rFonts w:ascii="Book Antiqua" w:hAnsi="Book Antiqua" w:cs="Arial"/>
                <w:b/>
              </w:rPr>
              <w:t>Decided without a hearing</w:t>
            </w:r>
          </w:p>
        </w:tc>
        <w:tc>
          <w:tcPr>
            <w:tcW w:w="3968" w:type="dxa"/>
            <w:gridSpan w:val="2"/>
            <w:shd w:val="clear" w:color="auto" w:fill="auto"/>
          </w:tcPr>
          <w:p w14:paraId="74BA0508" w14:textId="535A66C9" w:rsidR="00F63500" w:rsidRPr="00AB1DC6" w:rsidRDefault="00993D54" w:rsidP="004C7935">
            <w:pPr>
              <w:jc w:val="both"/>
              <w:rPr>
                <w:rFonts w:ascii="Book Antiqua" w:hAnsi="Book Antiqua" w:cs="Arial"/>
                <w:b/>
                <w:color w:val="000000"/>
              </w:rPr>
            </w:pPr>
            <w:r>
              <w:rPr>
                <w:rFonts w:ascii="Book Antiqua" w:hAnsi="Book Antiqua" w:cs="Arial"/>
                <w:b/>
                <w:color w:val="000000"/>
              </w:rPr>
              <w:t xml:space="preserve">  </w:t>
            </w:r>
            <w:r w:rsidR="00F63500" w:rsidRPr="00AB1DC6">
              <w:rPr>
                <w:rFonts w:ascii="Book Antiqua" w:hAnsi="Book Antiqua" w:cs="Arial"/>
                <w:b/>
                <w:color w:val="000000"/>
              </w:rPr>
              <w:t xml:space="preserve">Decision </w:t>
            </w:r>
            <w:r w:rsidR="00A04462">
              <w:rPr>
                <w:rFonts w:ascii="Book Antiqua" w:hAnsi="Book Antiqua" w:cs="Arial"/>
                <w:b/>
                <w:color w:val="000000"/>
              </w:rPr>
              <w:t xml:space="preserve">&amp; Reasons </w:t>
            </w:r>
            <w:r w:rsidR="00F63500" w:rsidRPr="00AB1DC6">
              <w:rPr>
                <w:rFonts w:ascii="Book Antiqua" w:hAnsi="Book Antiqua" w:cs="Arial"/>
                <w:b/>
                <w:color w:val="000000"/>
              </w:rPr>
              <w:t>Promulgated</w:t>
            </w:r>
          </w:p>
        </w:tc>
      </w:tr>
      <w:tr w:rsidR="00F63500" w:rsidRPr="00AB1DC6" w14:paraId="38C3F4BB" w14:textId="77777777" w:rsidTr="00993D54">
        <w:trPr>
          <w:trHeight w:val="82"/>
        </w:trPr>
        <w:tc>
          <w:tcPr>
            <w:tcW w:w="5812" w:type="dxa"/>
            <w:gridSpan w:val="2"/>
            <w:shd w:val="clear" w:color="auto" w:fill="auto"/>
          </w:tcPr>
          <w:p w14:paraId="3F798FB7" w14:textId="6AC8533F" w:rsidR="00F63500" w:rsidRPr="00AB1DC6" w:rsidRDefault="005A12E5" w:rsidP="004C7935">
            <w:pPr>
              <w:jc w:val="both"/>
              <w:rPr>
                <w:rFonts w:ascii="Book Antiqua" w:hAnsi="Book Antiqua" w:cs="Arial"/>
                <w:b/>
              </w:rPr>
            </w:pPr>
            <w:r>
              <w:rPr>
                <w:rFonts w:ascii="Book Antiqua" w:hAnsi="Book Antiqua" w:cs="Arial"/>
                <w:b/>
              </w:rPr>
              <w:t>under rule 34 (P)</w:t>
            </w:r>
          </w:p>
        </w:tc>
        <w:tc>
          <w:tcPr>
            <w:tcW w:w="3826" w:type="dxa"/>
            <w:shd w:val="clear" w:color="auto" w:fill="auto"/>
          </w:tcPr>
          <w:p w14:paraId="358B36D9" w14:textId="5B94A61E" w:rsidR="00F63500" w:rsidRPr="00AB1DC6" w:rsidRDefault="00993D54" w:rsidP="004C7935">
            <w:pPr>
              <w:jc w:val="both"/>
              <w:rPr>
                <w:rFonts w:ascii="Book Antiqua" w:hAnsi="Book Antiqua" w:cs="Arial"/>
                <w:b/>
              </w:rPr>
            </w:pPr>
            <w:r>
              <w:rPr>
                <w:rFonts w:ascii="Book Antiqua" w:hAnsi="Book Antiqua" w:cs="Arial"/>
                <w:b/>
              </w:rPr>
              <w:t>On 27 August 2020</w:t>
            </w:r>
          </w:p>
        </w:tc>
      </w:tr>
      <w:tr w:rsidR="00F63500" w:rsidRPr="00AB1DC6" w14:paraId="03925578" w14:textId="77777777" w:rsidTr="00993D54">
        <w:tc>
          <w:tcPr>
            <w:tcW w:w="5812" w:type="dxa"/>
            <w:gridSpan w:val="2"/>
            <w:shd w:val="clear" w:color="auto" w:fill="auto"/>
          </w:tcPr>
          <w:p w14:paraId="509071DD" w14:textId="77777777" w:rsidR="00F63500" w:rsidRPr="00AB1DC6" w:rsidRDefault="00F63500" w:rsidP="004C7935">
            <w:pPr>
              <w:jc w:val="both"/>
              <w:rPr>
                <w:rFonts w:ascii="Book Antiqua" w:hAnsi="Book Antiqua" w:cs="Arial"/>
                <w:b/>
              </w:rPr>
            </w:pPr>
          </w:p>
        </w:tc>
        <w:tc>
          <w:tcPr>
            <w:tcW w:w="3826" w:type="dxa"/>
            <w:shd w:val="clear" w:color="auto" w:fill="auto"/>
          </w:tcPr>
          <w:p w14:paraId="506D1382" w14:textId="464F1C2F" w:rsidR="00F63500" w:rsidRPr="00AB1DC6" w:rsidRDefault="00F63500" w:rsidP="004C7935">
            <w:pPr>
              <w:jc w:val="both"/>
              <w:rPr>
                <w:rFonts w:ascii="Book Antiqua" w:hAnsi="Book Antiqua" w:cs="Arial"/>
                <w:b/>
              </w:rPr>
            </w:pPr>
          </w:p>
        </w:tc>
      </w:tr>
    </w:tbl>
    <w:p w14:paraId="0E6BB777" w14:textId="77777777" w:rsidR="00637B8B" w:rsidRDefault="00637B8B" w:rsidP="00F63500">
      <w:pPr>
        <w:jc w:val="center"/>
        <w:rPr>
          <w:rFonts w:ascii="Book Antiqua" w:hAnsi="Book Antiqua" w:cs="Arial"/>
          <w:b/>
        </w:rPr>
      </w:pPr>
    </w:p>
    <w:p w14:paraId="46EB7C28" w14:textId="3B177837" w:rsidR="00F63500" w:rsidRPr="00F97703" w:rsidRDefault="00F63500" w:rsidP="00F63500">
      <w:pPr>
        <w:jc w:val="center"/>
        <w:rPr>
          <w:rFonts w:ascii="Book Antiqua" w:hAnsi="Book Antiqua" w:cs="Arial"/>
          <w:b/>
        </w:rPr>
      </w:pPr>
      <w:r w:rsidRPr="00F97703">
        <w:rPr>
          <w:rFonts w:ascii="Book Antiqua" w:hAnsi="Book Antiqua" w:cs="Arial"/>
          <w:b/>
        </w:rPr>
        <w:t>Before</w:t>
      </w:r>
    </w:p>
    <w:p w14:paraId="5306E4AB" w14:textId="77777777" w:rsidR="00F63500" w:rsidRDefault="00F63500" w:rsidP="00F63500">
      <w:pPr>
        <w:jc w:val="center"/>
        <w:rPr>
          <w:rFonts w:ascii="Book Antiqua" w:hAnsi="Book Antiqua" w:cs="Arial"/>
          <w:b/>
        </w:rPr>
      </w:pPr>
    </w:p>
    <w:p w14:paraId="4A7F61AA" w14:textId="77777777" w:rsidR="00F63500" w:rsidRPr="00F97703" w:rsidRDefault="00F63500" w:rsidP="00F63500">
      <w:pPr>
        <w:jc w:val="center"/>
        <w:rPr>
          <w:rFonts w:ascii="Book Antiqua" w:hAnsi="Book Antiqua" w:cs="Arial"/>
          <w:b/>
          <w:color w:val="000000"/>
        </w:rPr>
      </w:pPr>
      <w:r>
        <w:rPr>
          <w:rFonts w:ascii="Book Antiqua" w:hAnsi="Book Antiqua" w:cs="Arial"/>
          <w:b/>
          <w:color w:val="000000"/>
        </w:rPr>
        <w:t>UPPER TRIBUNAL JUDGE CANAVAN</w:t>
      </w:r>
    </w:p>
    <w:p w14:paraId="13D2A608" w14:textId="77777777" w:rsidR="00F63500" w:rsidRDefault="00F63500" w:rsidP="00F63500">
      <w:pPr>
        <w:jc w:val="center"/>
        <w:rPr>
          <w:rFonts w:ascii="Book Antiqua" w:hAnsi="Book Antiqua" w:cs="Arial"/>
          <w:b/>
        </w:rPr>
      </w:pPr>
    </w:p>
    <w:p w14:paraId="13382A45" w14:textId="77777777" w:rsidR="00F63500" w:rsidRPr="00F97703" w:rsidRDefault="00F63500" w:rsidP="00F63500">
      <w:pPr>
        <w:jc w:val="center"/>
        <w:rPr>
          <w:rFonts w:ascii="Book Antiqua" w:hAnsi="Book Antiqua" w:cs="Arial"/>
          <w:b/>
        </w:rPr>
      </w:pPr>
    </w:p>
    <w:p w14:paraId="6CBA56BB" w14:textId="77777777" w:rsidR="00F63500" w:rsidRDefault="00F63500" w:rsidP="00F63500">
      <w:pPr>
        <w:jc w:val="center"/>
        <w:rPr>
          <w:rFonts w:ascii="Book Antiqua" w:hAnsi="Book Antiqua" w:cs="Arial"/>
          <w:b/>
        </w:rPr>
      </w:pPr>
      <w:r w:rsidRPr="00F97703">
        <w:rPr>
          <w:rFonts w:ascii="Book Antiqua" w:hAnsi="Book Antiqua" w:cs="Arial"/>
          <w:b/>
        </w:rPr>
        <w:t>Between</w:t>
      </w:r>
    </w:p>
    <w:p w14:paraId="439E3094" w14:textId="7D63CB2A" w:rsidR="00F63500" w:rsidRDefault="00F63500" w:rsidP="00F63500">
      <w:pPr>
        <w:jc w:val="center"/>
        <w:rPr>
          <w:rFonts w:ascii="Book Antiqua" w:hAnsi="Book Antiqua" w:cs="Arial"/>
          <w:b/>
        </w:rPr>
      </w:pPr>
    </w:p>
    <w:p w14:paraId="787614B9" w14:textId="77777777" w:rsidR="00B34AB3" w:rsidRDefault="00B34AB3" w:rsidP="00F63500">
      <w:pPr>
        <w:jc w:val="center"/>
        <w:rPr>
          <w:rFonts w:ascii="Book Antiqua" w:hAnsi="Book Antiqua" w:cs="Arial"/>
          <w:b/>
        </w:rPr>
      </w:pPr>
    </w:p>
    <w:p w14:paraId="26BA864B" w14:textId="6D9BFAE9" w:rsidR="00F63500" w:rsidRDefault="00B34AB3" w:rsidP="00F63500">
      <w:pPr>
        <w:jc w:val="center"/>
        <w:rPr>
          <w:rFonts w:ascii="Book Antiqua" w:hAnsi="Book Antiqua" w:cs="Arial"/>
          <w:b/>
        </w:rPr>
      </w:pPr>
      <w:r>
        <w:rPr>
          <w:rFonts w:ascii="Book Antiqua" w:hAnsi="Book Antiqua" w:cs="Arial"/>
          <w:b/>
        </w:rPr>
        <w:t>T Z</w:t>
      </w:r>
    </w:p>
    <w:p w14:paraId="4B07706F" w14:textId="34C07BCB" w:rsidR="00637B8B" w:rsidRPr="00637B8B" w:rsidRDefault="00637B8B" w:rsidP="00637B8B">
      <w:pPr>
        <w:jc w:val="center"/>
        <w:rPr>
          <w:rFonts w:ascii="Book Antiqua" w:hAnsi="Book Antiqua" w:cs="Arial"/>
        </w:rPr>
      </w:pPr>
      <w:r w:rsidRPr="00637B8B">
        <w:rPr>
          <w:rFonts w:ascii="Book Antiqua" w:hAnsi="Book Antiqua" w:cs="Arial"/>
        </w:rPr>
        <w:t xml:space="preserve">       </w:t>
      </w:r>
      <w:r w:rsidRPr="00637B8B">
        <w:rPr>
          <w:rFonts w:ascii="Book Antiqua" w:hAnsi="Book Antiqua" w:cs="Arial"/>
        </w:rPr>
        <w:t>(ANONYMITY DIRECTION MADE)</w:t>
      </w:r>
    </w:p>
    <w:p w14:paraId="1A17F725" w14:textId="77777777" w:rsidR="00F63500" w:rsidRDefault="00F63500" w:rsidP="00F63500">
      <w:pPr>
        <w:jc w:val="right"/>
        <w:rPr>
          <w:rFonts w:ascii="Book Antiqua" w:hAnsi="Book Antiqua" w:cs="Arial"/>
          <w:u w:val="single"/>
        </w:rPr>
      </w:pPr>
      <w:r w:rsidRPr="00F97703">
        <w:rPr>
          <w:rFonts w:ascii="Book Antiqua" w:hAnsi="Book Antiqua" w:cs="Arial"/>
          <w:u w:val="single"/>
        </w:rPr>
        <w:t>Appellant</w:t>
      </w:r>
    </w:p>
    <w:p w14:paraId="2471115F" w14:textId="77777777" w:rsidR="00F63500" w:rsidRPr="00F97703" w:rsidRDefault="00F63500" w:rsidP="00F63500">
      <w:pPr>
        <w:jc w:val="right"/>
        <w:rPr>
          <w:rFonts w:ascii="Book Antiqua" w:hAnsi="Book Antiqua" w:cs="Arial"/>
          <w:u w:val="single"/>
        </w:rPr>
      </w:pPr>
    </w:p>
    <w:p w14:paraId="20B43591" w14:textId="77777777" w:rsidR="00F63500" w:rsidRPr="00F97703" w:rsidRDefault="00F63500" w:rsidP="00F63500">
      <w:pPr>
        <w:jc w:val="center"/>
        <w:rPr>
          <w:rFonts w:ascii="Book Antiqua" w:hAnsi="Book Antiqua" w:cs="Arial"/>
          <w:b/>
        </w:rPr>
      </w:pPr>
      <w:r w:rsidRPr="00F97703">
        <w:rPr>
          <w:rFonts w:ascii="Book Antiqua" w:hAnsi="Book Antiqua" w:cs="Arial"/>
          <w:b/>
        </w:rPr>
        <w:t>and</w:t>
      </w:r>
    </w:p>
    <w:p w14:paraId="3C77BD2A" w14:textId="77777777" w:rsidR="00F63500" w:rsidRDefault="00F63500" w:rsidP="00F63500">
      <w:pPr>
        <w:jc w:val="center"/>
        <w:rPr>
          <w:rFonts w:ascii="Book Antiqua" w:hAnsi="Book Antiqua" w:cs="Arial"/>
          <w:b/>
        </w:rPr>
      </w:pPr>
    </w:p>
    <w:p w14:paraId="58A0C4A8" w14:textId="5759E2AD" w:rsidR="00F63500" w:rsidRDefault="00F63500" w:rsidP="00F63500">
      <w:pPr>
        <w:jc w:val="center"/>
        <w:rPr>
          <w:rFonts w:ascii="Book Antiqua" w:hAnsi="Book Antiqua" w:cs="Arial"/>
          <w:b/>
        </w:rPr>
      </w:pPr>
    </w:p>
    <w:p w14:paraId="2E59EF13" w14:textId="7B3BF47C" w:rsidR="00637B8B" w:rsidRPr="00F97703" w:rsidRDefault="00637B8B" w:rsidP="00F63500">
      <w:pPr>
        <w:jc w:val="center"/>
        <w:rPr>
          <w:rFonts w:ascii="Book Antiqua" w:hAnsi="Book Antiqua" w:cs="Arial"/>
          <w:b/>
        </w:rPr>
      </w:pPr>
      <w:r>
        <w:rPr>
          <w:rFonts w:ascii="Book Antiqua" w:hAnsi="Book Antiqua" w:cs="Arial"/>
          <w:b/>
        </w:rPr>
        <w:t>THE SECRETARY OF STATE FOR THE HOME DEPARTMENT</w:t>
      </w:r>
    </w:p>
    <w:p w14:paraId="1F3DB548" w14:textId="77777777" w:rsidR="00F63500" w:rsidRPr="00F97703" w:rsidRDefault="00F63500" w:rsidP="00F63500">
      <w:pPr>
        <w:jc w:val="right"/>
        <w:rPr>
          <w:rFonts w:ascii="Book Antiqua" w:hAnsi="Book Antiqua" w:cs="Arial"/>
          <w:u w:val="single"/>
        </w:rPr>
      </w:pPr>
      <w:r w:rsidRPr="00F97703">
        <w:rPr>
          <w:rFonts w:ascii="Book Antiqua" w:hAnsi="Book Antiqua" w:cs="Arial"/>
          <w:u w:val="single"/>
        </w:rPr>
        <w:t>Respondent</w:t>
      </w:r>
    </w:p>
    <w:p w14:paraId="1D60508B" w14:textId="77777777" w:rsidR="00F63500" w:rsidRPr="00F97703" w:rsidRDefault="00F63500" w:rsidP="00F63500">
      <w:pPr>
        <w:rPr>
          <w:rFonts w:ascii="Book Antiqua" w:hAnsi="Book Antiqua" w:cs="Arial"/>
          <w:u w:val="single"/>
        </w:rPr>
      </w:pPr>
    </w:p>
    <w:p w14:paraId="4D3E2FF0" w14:textId="77777777" w:rsidR="00F63500" w:rsidRDefault="00F63500" w:rsidP="00F63500">
      <w:pPr>
        <w:tabs>
          <w:tab w:val="left" w:pos="2520"/>
        </w:tabs>
        <w:rPr>
          <w:rFonts w:ascii="Book Antiqua" w:hAnsi="Book Antiqua" w:cs="Arial"/>
          <w:b/>
          <w:sz w:val="20"/>
          <w:szCs w:val="20"/>
          <w:u w:val="single"/>
        </w:rPr>
      </w:pPr>
    </w:p>
    <w:p w14:paraId="65C1E539" w14:textId="77777777" w:rsidR="00F63500" w:rsidRPr="00010B88" w:rsidRDefault="00F63500" w:rsidP="00F63500">
      <w:pPr>
        <w:tabs>
          <w:tab w:val="left" w:pos="2520"/>
        </w:tabs>
        <w:rPr>
          <w:rFonts w:ascii="Book Antiqua" w:hAnsi="Book Antiqua" w:cs="Arial"/>
          <w:b/>
          <w:u w:val="single"/>
        </w:rPr>
      </w:pPr>
      <w:r w:rsidRPr="00010B88">
        <w:rPr>
          <w:rFonts w:ascii="Book Antiqua" w:hAnsi="Book Antiqua" w:cs="Arial"/>
          <w:b/>
          <w:u w:val="single"/>
        </w:rPr>
        <w:t>Anonymity</w:t>
      </w:r>
    </w:p>
    <w:p w14:paraId="5A83B025" w14:textId="77777777" w:rsidR="00F63500" w:rsidRPr="00010B88" w:rsidRDefault="00F63500" w:rsidP="00F63500">
      <w:pPr>
        <w:tabs>
          <w:tab w:val="left" w:pos="2520"/>
        </w:tabs>
        <w:rPr>
          <w:rFonts w:ascii="Book Antiqua" w:hAnsi="Book Antiqua" w:cs="Arial"/>
          <w:i/>
        </w:rPr>
      </w:pPr>
      <w:r w:rsidRPr="00010B88">
        <w:rPr>
          <w:rFonts w:ascii="Book Antiqua" w:hAnsi="Book Antiqua" w:cs="Arial"/>
          <w:i/>
        </w:rPr>
        <w:t xml:space="preserve">Rule 14: The Tribunal Procedure (Upper Tribunal) Rules 2008 </w:t>
      </w:r>
    </w:p>
    <w:p w14:paraId="09095FA0" w14:textId="3AECA318" w:rsidR="00F63500" w:rsidRPr="00010B88" w:rsidRDefault="00F63500" w:rsidP="00F63500">
      <w:pPr>
        <w:widowControl w:val="0"/>
        <w:tabs>
          <w:tab w:val="left" w:pos="0"/>
        </w:tabs>
        <w:jc w:val="both"/>
        <w:rPr>
          <w:rFonts w:ascii="Book Antiqua" w:hAnsi="Book Antiqua" w:cs="Arial"/>
        </w:rPr>
      </w:pPr>
      <w:r w:rsidRPr="00010B88">
        <w:rPr>
          <w:rFonts w:ascii="Book Antiqua" w:hAnsi="Book Antiqua" w:cs="Arial"/>
        </w:rPr>
        <w:t>Anonymity was granted at an earlier stage of the proceedings because the case involves protection issues. I find that it is appropriate to continue the order. Unless and until a tribunal or court directs otherwise, the appellant is granted anonymity. No report of these proceedings shall directly or indirectly identify h</w:t>
      </w:r>
      <w:r w:rsidR="00B34AB3">
        <w:rPr>
          <w:rFonts w:ascii="Book Antiqua" w:hAnsi="Book Antiqua" w:cs="Arial"/>
        </w:rPr>
        <w:t>er</w:t>
      </w:r>
      <w:r w:rsidRPr="00010B88">
        <w:rPr>
          <w:rFonts w:ascii="Book Antiqua" w:hAnsi="Book Antiqua" w:cs="Arial"/>
        </w:rPr>
        <w:t xml:space="preserve"> or any member of h</w:t>
      </w:r>
      <w:r w:rsidR="00B34AB3">
        <w:rPr>
          <w:rFonts w:ascii="Book Antiqua" w:hAnsi="Book Antiqua" w:cs="Arial"/>
        </w:rPr>
        <w:t>er</w:t>
      </w:r>
      <w:r w:rsidRPr="00010B88">
        <w:rPr>
          <w:rFonts w:ascii="Book Antiqua" w:hAnsi="Book Antiqua" w:cs="Arial"/>
        </w:rPr>
        <w:t xml:space="preserve"> family. This direction applies both to the appellant and to the respondent. </w:t>
      </w:r>
    </w:p>
    <w:p w14:paraId="636B357E" w14:textId="71E0F1BD" w:rsidR="00AD27BF" w:rsidRDefault="00AD27BF" w:rsidP="00F63500">
      <w:pPr>
        <w:rPr>
          <w:rFonts w:ascii="Book Antiqua" w:hAnsi="Book Antiqua" w:cs="Arial"/>
          <w:u w:val="single"/>
        </w:rPr>
      </w:pPr>
    </w:p>
    <w:p w14:paraId="5DA6DA3E" w14:textId="77777777" w:rsidR="00FB3636" w:rsidRDefault="00FB3636" w:rsidP="00F63500">
      <w:pPr>
        <w:rPr>
          <w:rFonts w:ascii="Book Antiqua" w:hAnsi="Book Antiqua" w:cs="Arial"/>
          <w:u w:val="single"/>
        </w:rPr>
      </w:pPr>
    </w:p>
    <w:p w14:paraId="7CFA06CD" w14:textId="77777777" w:rsidR="00F63500" w:rsidRDefault="00F63500" w:rsidP="00F63500">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1EE3F271" w14:textId="77777777" w:rsidR="00F63500" w:rsidRDefault="00F63500" w:rsidP="00F63500">
      <w:pPr>
        <w:tabs>
          <w:tab w:val="left" w:pos="567"/>
        </w:tabs>
        <w:jc w:val="both"/>
        <w:rPr>
          <w:rFonts w:ascii="Book Antiqua" w:hAnsi="Book Antiqua" w:cs="Arial"/>
        </w:rPr>
      </w:pPr>
    </w:p>
    <w:p w14:paraId="29D89838" w14:textId="14213472" w:rsidR="00F63500" w:rsidRDefault="00B34AB3" w:rsidP="00DB5B81">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t>The appellant appealed the respondent’s decision date</w:t>
      </w:r>
      <w:r w:rsidR="001E6B8B">
        <w:rPr>
          <w:rFonts w:ascii="Book Antiqua" w:hAnsi="Book Antiqua" w:cs="Arial"/>
        </w:rPr>
        <w:t xml:space="preserve">d </w:t>
      </w:r>
      <w:r w:rsidR="00DB5B81">
        <w:rPr>
          <w:rFonts w:ascii="Book Antiqua" w:hAnsi="Book Antiqua" w:cs="Arial"/>
        </w:rPr>
        <w:t xml:space="preserve">17 August 2019 to refuse a fresh protection and human rights claim. </w:t>
      </w:r>
    </w:p>
    <w:p w14:paraId="75545489" w14:textId="77777777" w:rsidR="00F63500" w:rsidRDefault="00F63500" w:rsidP="00F63500">
      <w:pPr>
        <w:tabs>
          <w:tab w:val="left" w:pos="567"/>
        </w:tabs>
        <w:jc w:val="both"/>
        <w:rPr>
          <w:rFonts w:ascii="Book Antiqua" w:hAnsi="Book Antiqua" w:cs="Arial"/>
        </w:rPr>
      </w:pPr>
    </w:p>
    <w:p w14:paraId="3F3C14D0" w14:textId="58E5B38F" w:rsidR="00F63500" w:rsidRDefault="00F63500" w:rsidP="00F63500">
      <w:pPr>
        <w:tabs>
          <w:tab w:val="left" w:pos="567"/>
        </w:tabs>
        <w:jc w:val="both"/>
        <w:rPr>
          <w:rFonts w:ascii="Book Antiqua" w:hAnsi="Book Antiqua" w:cs="Arial"/>
        </w:rPr>
      </w:pPr>
    </w:p>
    <w:p w14:paraId="7F264CFD" w14:textId="2863F671" w:rsidR="00DB5B81" w:rsidRDefault="00DB5B81" w:rsidP="00DB5B81">
      <w:pPr>
        <w:tabs>
          <w:tab w:val="left" w:pos="567"/>
        </w:tabs>
        <w:ind w:left="564" w:hanging="564"/>
        <w:jc w:val="both"/>
        <w:rPr>
          <w:rFonts w:ascii="Book Antiqua" w:hAnsi="Book Antiqua" w:cs="Arial"/>
        </w:rPr>
      </w:pPr>
      <w:r>
        <w:rPr>
          <w:rFonts w:ascii="Book Antiqua" w:hAnsi="Book Antiqua" w:cs="Arial"/>
        </w:rPr>
        <w:t>2.</w:t>
      </w:r>
      <w:r>
        <w:rPr>
          <w:rFonts w:ascii="Book Antiqua" w:hAnsi="Book Antiqua" w:cs="Arial"/>
        </w:rPr>
        <w:tab/>
        <w:t xml:space="preserve">First-tier Tribunal Judge C.E. Roblin (“the judge”) dismissed the appeal in a decision promulgate on 22 January 2020. </w:t>
      </w:r>
    </w:p>
    <w:p w14:paraId="1DF21103" w14:textId="6A837043" w:rsidR="00DB5B81" w:rsidRDefault="00DB5B81" w:rsidP="00DB5B81">
      <w:pPr>
        <w:tabs>
          <w:tab w:val="left" w:pos="567"/>
        </w:tabs>
        <w:ind w:left="564" w:hanging="564"/>
        <w:jc w:val="both"/>
        <w:rPr>
          <w:rFonts w:ascii="Book Antiqua" w:hAnsi="Book Antiqua" w:cs="Arial"/>
        </w:rPr>
      </w:pPr>
    </w:p>
    <w:p w14:paraId="4F76A1D1" w14:textId="499BF4DE" w:rsidR="00DB5B81" w:rsidRDefault="00DB5B81" w:rsidP="00DB5B81">
      <w:pPr>
        <w:tabs>
          <w:tab w:val="left" w:pos="567"/>
        </w:tabs>
        <w:ind w:left="564" w:hanging="564"/>
        <w:jc w:val="both"/>
        <w:rPr>
          <w:rFonts w:ascii="Book Antiqua" w:hAnsi="Book Antiqua" w:cs="Arial"/>
        </w:rPr>
      </w:pPr>
      <w:r>
        <w:rPr>
          <w:rFonts w:ascii="Book Antiqua" w:hAnsi="Book Antiqua" w:cs="Arial"/>
        </w:rPr>
        <w:t>3.</w:t>
      </w:r>
      <w:r>
        <w:rPr>
          <w:rFonts w:ascii="Book Antiqua" w:hAnsi="Book Antiqua" w:cs="Arial"/>
        </w:rPr>
        <w:tab/>
        <w:t>The appellant appealed the First-tier Tribunal decision on the following grounds:</w:t>
      </w:r>
    </w:p>
    <w:p w14:paraId="7EF751F1" w14:textId="7F0DC1BC" w:rsidR="00F63500" w:rsidRDefault="00F63500" w:rsidP="00F63500">
      <w:pPr>
        <w:tabs>
          <w:tab w:val="left" w:pos="567"/>
        </w:tabs>
        <w:jc w:val="both"/>
        <w:rPr>
          <w:rFonts w:ascii="Book Antiqua" w:hAnsi="Book Antiqua" w:cs="Arial"/>
        </w:rPr>
      </w:pPr>
    </w:p>
    <w:p w14:paraId="4DCE4860" w14:textId="36F38388" w:rsidR="00DB5B81" w:rsidRPr="00DB5B81" w:rsidRDefault="00DB5B81" w:rsidP="00DB5B81">
      <w:pPr>
        <w:pStyle w:val="ListParagraph"/>
        <w:numPr>
          <w:ilvl w:val="0"/>
          <w:numId w:val="2"/>
        </w:numPr>
        <w:tabs>
          <w:tab w:val="left" w:pos="567"/>
        </w:tabs>
        <w:jc w:val="both"/>
        <w:rPr>
          <w:rFonts w:ascii="Book Antiqua" w:hAnsi="Book Antiqua" w:cs="Arial"/>
        </w:rPr>
      </w:pPr>
      <w:r>
        <w:rPr>
          <w:rFonts w:ascii="Book Antiqua" w:hAnsi="Book Antiqua" w:cs="Arial"/>
        </w:rPr>
        <w:t xml:space="preserve">The judge </w:t>
      </w:r>
      <w:r w:rsidR="00F77258">
        <w:rPr>
          <w:rFonts w:ascii="Book Antiqua" w:hAnsi="Book Antiqua" w:cs="Arial"/>
        </w:rPr>
        <w:t xml:space="preserve">erred in her application of the </w:t>
      </w:r>
      <w:proofErr w:type="spellStart"/>
      <w:r w:rsidR="00F77258" w:rsidRPr="00F77258">
        <w:rPr>
          <w:rFonts w:ascii="Book Antiqua" w:hAnsi="Book Antiqua" w:cs="Arial"/>
          <w:i/>
          <w:iCs/>
        </w:rPr>
        <w:t>Devaseelan</w:t>
      </w:r>
      <w:proofErr w:type="spellEnd"/>
      <w:r w:rsidR="00F77258">
        <w:rPr>
          <w:rFonts w:ascii="Book Antiqua" w:hAnsi="Book Antiqua" w:cs="Arial"/>
        </w:rPr>
        <w:t xml:space="preserve"> principles. </w:t>
      </w:r>
    </w:p>
    <w:p w14:paraId="76A301A9" w14:textId="3709DB76" w:rsidR="001E6B8B" w:rsidRDefault="001E6B8B" w:rsidP="00F63500">
      <w:pPr>
        <w:tabs>
          <w:tab w:val="left" w:pos="567"/>
        </w:tabs>
        <w:jc w:val="both"/>
        <w:rPr>
          <w:rFonts w:ascii="Book Antiqua" w:hAnsi="Book Antiqua" w:cs="Arial"/>
        </w:rPr>
      </w:pPr>
    </w:p>
    <w:p w14:paraId="10351CA8" w14:textId="122510F5" w:rsidR="00F77258" w:rsidRDefault="00F77258" w:rsidP="00F77258">
      <w:pPr>
        <w:pStyle w:val="ListParagraph"/>
        <w:numPr>
          <w:ilvl w:val="0"/>
          <w:numId w:val="2"/>
        </w:numPr>
        <w:tabs>
          <w:tab w:val="left" w:pos="567"/>
        </w:tabs>
        <w:jc w:val="both"/>
        <w:rPr>
          <w:rFonts w:ascii="Book Antiqua" w:hAnsi="Book Antiqua" w:cs="Arial"/>
        </w:rPr>
      </w:pPr>
      <w:r>
        <w:rPr>
          <w:rFonts w:ascii="Book Antiqua" w:hAnsi="Book Antiqua" w:cs="Arial"/>
        </w:rPr>
        <w:t xml:space="preserve">The judge failed to consider the evidence in the round. </w:t>
      </w:r>
    </w:p>
    <w:p w14:paraId="089546BB" w14:textId="77777777" w:rsidR="00F77258" w:rsidRPr="00F77258" w:rsidRDefault="00F77258" w:rsidP="00F77258">
      <w:pPr>
        <w:pStyle w:val="ListParagraph"/>
        <w:rPr>
          <w:rFonts w:ascii="Book Antiqua" w:hAnsi="Book Antiqua" w:cs="Arial"/>
        </w:rPr>
      </w:pPr>
    </w:p>
    <w:p w14:paraId="693717C5" w14:textId="1EC35868" w:rsidR="00F77258" w:rsidRDefault="00F77258" w:rsidP="00F63500">
      <w:pPr>
        <w:pStyle w:val="ListParagraph"/>
        <w:numPr>
          <w:ilvl w:val="0"/>
          <w:numId w:val="2"/>
        </w:numPr>
        <w:tabs>
          <w:tab w:val="left" w:pos="567"/>
        </w:tabs>
        <w:jc w:val="both"/>
        <w:rPr>
          <w:rFonts w:ascii="Book Antiqua" w:hAnsi="Book Antiqua" w:cs="Arial"/>
        </w:rPr>
      </w:pPr>
      <w:r>
        <w:rPr>
          <w:rFonts w:ascii="Book Antiqua" w:hAnsi="Book Antiqua" w:cs="Arial"/>
        </w:rPr>
        <w:t>The judge failed to attach appropriate weight to the expert evidence; and</w:t>
      </w:r>
    </w:p>
    <w:p w14:paraId="2DFE78FD" w14:textId="77777777" w:rsidR="00F77258" w:rsidRPr="00F77258" w:rsidRDefault="00F77258" w:rsidP="00F77258">
      <w:pPr>
        <w:pStyle w:val="ListParagraph"/>
        <w:rPr>
          <w:rFonts w:ascii="Book Antiqua" w:hAnsi="Book Antiqua" w:cs="Arial"/>
        </w:rPr>
      </w:pPr>
    </w:p>
    <w:p w14:paraId="47233D96" w14:textId="49F0E7F4" w:rsidR="00F77258" w:rsidRDefault="00F77258" w:rsidP="00F63500">
      <w:pPr>
        <w:pStyle w:val="ListParagraph"/>
        <w:numPr>
          <w:ilvl w:val="0"/>
          <w:numId w:val="2"/>
        </w:numPr>
        <w:tabs>
          <w:tab w:val="left" w:pos="567"/>
        </w:tabs>
        <w:jc w:val="both"/>
        <w:rPr>
          <w:rFonts w:ascii="Book Antiqua" w:hAnsi="Book Antiqua" w:cs="Arial"/>
        </w:rPr>
      </w:pPr>
      <w:r>
        <w:rPr>
          <w:rFonts w:ascii="Book Antiqua" w:hAnsi="Book Antiqua" w:cs="Arial"/>
        </w:rPr>
        <w:t xml:space="preserve">Failure to apply the guidance </w:t>
      </w:r>
      <w:r w:rsidR="0088720A">
        <w:rPr>
          <w:rFonts w:ascii="Book Antiqua" w:hAnsi="Book Antiqua" w:cs="Arial"/>
        </w:rPr>
        <w:t>relating to</w:t>
      </w:r>
      <w:r>
        <w:rPr>
          <w:rFonts w:ascii="Book Antiqua" w:hAnsi="Book Antiqua" w:cs="Arial"/>
        </w:rPr>
        <w:t xml:space="preserve"> vulnerable witnesses properly. </w:t>
      </w:r>
    </w:p>
    <w:p w14:paraId="78D1A3CE" w14:textId="77777777" w:rsidR="00F77258" w:rsidRPr="00F77258" w:rsidRDefault="00F77258" w:rsidP="00F77258">
      <w:pPr>
        <w:pStyle w:val="ListParagraph"/>
        <w:rPr>
          <w:rFonts w:ascii="Book Antiqua" w:hAnsi="Book Antiqua" w:cs="Arial"/>
        </w:rPr>
      </w:pPr>
    </w:p>
    <w:p w14:paraId="06E7E531" w14:textId="2F37EC28" w:rsidR="002D3DBC" w:rsidRDefault="00F77258" w:rsidP="002D3DBC">
      <w:pPr>
        <w:tabs>
          <w:tab w:val="left" w:pos="567"/>
        </w:tabs>
        <w:ind w:left="564" w:hanging="564"/>
        <w:jc w:val="both"/>
        <w:rPr>
          <w:rFonts w:ascii="Book Antiqua" w:hAnsi="Book Antiqua" w:cs="Arial"/>
        </w:rPr>
      </w:pPr>
      <w:r>
        <w:rPr>
          <w:rFonts w:ascii="Book Antiqua" w:hAnsi="Book Antiqua" w:cs="Arial"/>
        </w:rPr>
        <w:t>4.</w:t>
      </w:r>
      <w:r w:rsidR="002D3DBC">
        <w:rPr>
          <w:rFonts w:ascii="Book Antiqua" w:hAnsi="Book Antiqua" w:cs="Arial"/>
        </w:rPr>
        <w:tab/>
        <w:t xml:space="preserve">First-tier Tribunal Judge Bulpitt granted permission to appeal to the Upper Tribunal in an order sent on 05 March 2020. </w:t>
      </w:r>
    </w:p>
    <w:p w14:paraId="68E2A1E8" w14:textId="77777777" w:rsidR="002D3DBC" w:rsidRDefault="002D3DBC" w:rsidP="00F77258">
      <w:pPr>
        <w:tabs>
          <w:tab w:val="left" w:pos="567"/>
        </w:tabs>
        <w:jc w:val="both"/>
        <w:rPr>
          <w:rFonts w:ascii="Book Antiqua" w:hAnsi="Book Antiqua" w:cs="Arial"/>
        </w:rPr>
      </w:pPr>
    </w:p>
    <w:p w14:paraId="6304057C" w14:textId="77777777" w:rsidR="002D3DBC" w:rsidRDefault="002D3DBC" w:rsidP="002D3DBC">
      <w:pPr>
        <w:tabs>
          <w:tab w:val="left" w:pos="567"/>
        </w:tabs>
        <w:ind w:left="564" w:hanging="564"/>
        <w:jc w:val="both"/>
        <w:rPr>
          <w:rFonts w:ascii="Book Antiqua" w:hAnsi="Book Antiqua"/>
        </w:rPr>
      </w:pPr>
      <w:r>
        <w:rPr>
          <w:rFonts w:ascii="Book Antiqua" w:hAnsi="Book Antiqua" w:cs="Arial"/>
        </w:rPr>
        <w:t>5.</w:t>
      </w:r>
      <w:r>
        <w:rPr>
          <w:rFonts w:ascii="Book Antiqua" w:hAnsi="Book Antiqua" w:cs="Arial"/>
        </w:rPr>
        <w:tab/>
      </w:r>
      <w:r w:rsidRPr="000A1ADF">
        <w:rPr>
          <w:rFonts w:ascii="Book Antiqua" w:hAnsi="Book Antiqua"/>
        </w:rPr>
        <w:t>In the light of the need to take precautions against the spread of Covid-19</w:t>
      </w:r>
      <w:r>
        <w:rPr>
          <w:rFonts w:ascii="Book Antiqua" w:hAnsi="Book Antiqua"/>
        </w:rPr>
        <w:t xml:space="preserve"> the Upper Tribunal reviewed the file and sent directions to the parties on 07 April 2020. </w:t>
      </w:r>
    </w:p>
    <w:p w14:paraId="1100368E" w14:textId="77777777" w:rsidR="002D3DBC" w:rsidRDefault="002D3DBC" w:rsidP="002D3DBC">
      <w:pPr>
        <w:tabs>
          <w:tab w:val="left" w:pos="567"/>
        </w:tabs>
        <w:ind w:left="564" w:hanging="564"/>
        <w:jc w:val="both"/>
        <w:rPr>
          <w:rFonts w:ascii="Book Antiqua" w:hAnsi="Book Antiqua"/>
        </w:rPr>
      </w:pPr>
    </w:p>
    <w:p w14:paraId="566AB880" w14:textId="55B7EBA1" w:rsidR="002D3DBC" w:rsidRDefault="002D3DBC" w:rsidP="002D3DBC">
      <w:pPr>
        <w:tabs>
          <w:tab w:val="left" w:pos="567"/>
        </w:tabs>
        <w:ind w:left="564" w:hanging="564"/>
        <w:jc w:val="both"/>
        <w:rPr>
          <w:rFonts w:ascii="Book Antiqua" w:hAnsi="Book Antiqua"/>
        </w:rPr>
      </w:pPr>
      <w:r>
        <w:rPr>
          <w:rFonts w:ascii="Book Antiqua" w:hAnsi="Book Antiqua"/>
        </w:rPr>
        <w:t>6.</w:t>
      </w:r>
      <w:r>
        <w:rPr>
          <w:rFonts w:ascii="Book Antiqua" w:hAnsi="Book Antiqua"/>
        </w:rPr>
        <w:tab/>
        <w:t xml:space="preserve">The appellant filed further written submissions on 21 April 2020. Those representing the appellant submitted that the case was suitable for an oral hearing rather than for determination on the papers due to the nature of the issues involved and the appellant’s vulnerability. </w:t>
      </w:r>
    </w:p>
    <w:p w14:paraId="267A6E25" w14:textId="77777777" w:rsidR="002D3DBC" w:rsidRDefault="002D3DBC" w:rsidP="002D3DBC">
      <w:pPr>
        <w:tabs>
          <w:tab w:val="left" w:pos="567"/>
        </w:tabs>
        <w:ind w:left="564" w:hanging="564"/>
        <w:jc w:val="both"/>
        <w:rPr>
          <w:rFonts w:ascii="Book Antiqua" w:hAnsi="Book Antiqua"/>
        </w:rPr>
      </w:pPr>
    </w:p>
    <w:p w14:paraId="3D93A320" w14:textId="2CEC9226" w:rsidR="002D3DBC" w:rsidRDefault="002D3DBC" w:rsidP="002D3DBC">
      <w:pPr>
        <w:tabs>
          <w:tab w:val="left" w:pos="567"/>
        </w:tabs>
        <w:ind w:left="564" w:hanging="564"/>
        <w:jc w:val="both"/>
        <w:rPr>
          <w:rFonts w:ascii="Book Antiqua" w:hAnsi="Book Antiqua"/>
        </w:rPr>
      </w:pPr>
      <w:r>
        <w:rPr>
          <w:rFonts w:ascii="Book Antiqua" w:hAnsi="Book Antiqua"/>
        </w:rPr>
        <w:t>7.</w:t>
      </w:r>
      <w:r>
        <w:rPr>
          <w:rFonts w:ascii="Book Antiqua" w:hAnsi="Book Antiqua"/>
        </w:rPr>
        <w:tab/>
        <w:t xml:space="preserve">The respondent filed a rule 24 response on 28 April 2020. The respondent does not oppose the appeal and accepted that the First-tier Tribunal materially erred in its approach to the application of the </w:t>
      </w:r>
      <w:proofErr w:type="spellStart"/>
      <w:r w:rsidRPr="002D3DBC">
        <w:rPr>
          <w:rFonts w:ascii="Book Antiqua" w:hAnsi="Book Antiqua"/>
          <w:i/>
          <w:iCs/>
        </w:rPr>
        <w:t>Devaseelan</w:t>
      </w:r>
      <w:proofErr w:type="spellEnd"/>
      <w:r>
        <w:rPr>
          <w:rFonts w:ascii="Book Antiqua" w:hAnsi="Book Antiqua"/>
        </w:rPr>
        <w:t xml:space="preserve"> principles. </w:t>
      </w:r>
    </w:p>
    <w:p w14:paraId="79626147" w14:textId="14067CDF" w:rsidR="00F63500" w:rsidRDefault="00F63500" w:rsidP="00F63500">
      <w:pPr>
        <w:tabs>
          <w:tab w:val="left" w:pos="567"/>
        </w:tabs>
        <w:jc w:val="both"/>
        <w:rPr>
          <w:rFonts w:ascii="Book Antiqua" w:hAnsi="Book Antiqua" w:cs="Arial"/>
        </w:rPr>
      </w:pPr>
    </w:p>
    <w:p w14:paraId="57F13F2B" w14:textId="39FF5003" w:rsidR="002D3DBC" w:rsidRDefault="002D3DBC" w:rsidP="002D3DBC">
      <w:pPr>
        <w:tabs>
          <w:tab w:val="left" w:pos="567"/>
        </w:tabs>
        <w:ind w:left="564" w:hanging="564"/>
        <w:jc w:val="both"/>
        <w:rPr>
          <w:rFonts w:ascii="Book Antiqua" w:hAnsi="Book Antiqua" w:cs="Arial"/>
        </w:rPr>
      </w:pPr>
      <w:r>
        <w:rPr>
          <w:rFonts w:ascii="Book Antiqua" w:hAnsi="Book Antiqua" w:cs="Arial"/>
        </w:rPr>
        <w:t>8.</w:t>
      </w:r>
      <w:r>
        <w:rPr>
          <w:rFonts w:ascii="Book Antiqua" w:hAnsi="Book Antiqua" w:cs="Arial"/>
        </w:rPr>
        <w:tab/>
        <w:t xml:space="preserve">Having reviewed the submissions made by the parties I am of the view that, despite the appellant’s submissions, it is not necessary to determine the question of whether there is an error of law in the First-tier Tribunal decision by way of an oral hearing. The Upper Tribunal is conscious of fairness issues but also </w:t>
      </w:r>
      <w:r w:rsidR="001E6AA3">
        <w:rPr>
          <w:rFonts w:ascii="Book Antiqua" w:hAnsi="Book Antiqua" w:cs="Arial"/>
        </w:rPr>
        <w:t>needs</w:t>
      </w:r>
      <w:r>
        <w:rPr>
          <w:rFonts w:ascii="Book Antiqua" w:hAnsi="Book Antiqua" w:cs="Arial"/>
        </w:rPr>
        <w:t xml:space="preserve"> to </w:t>
      </w:r>
      <w:r w:rsidR="001E6AA3">
        <w:rPr>
          <w:rFonts w:ascii="Book Antiqua" w:hAnsi="Book Antiqua" w:cs="Arial"/>
        </w:rPr>
        <w:t>make decisions about</w:t>
      </w:r>
      <w:r>
        <w:rPr>
          <w:rFonts w:ascii="Book Antiqua" w:hAnsi="Book Antiqua" w:cs="Arial"/>
        </w:rPr>
        <w:t xml:space="preserve"> the administration of cases with reference to the overriding objective and the current need to take measures to prevent the spread of Covid-19. </w:t>
      </w:r>
      <w:r w:rsidR="001E6AA3">
        <w:rPr>
          <w:rFonts w:ascii="Book Antiqua" w:hAnsi="Book Antiqua" w:cs="Arial"/>
        </w:rPr>
        <w:t>The respondent having</w:t>
      </w:r>
      <w:r>
        <w:rPr>
          <w:rFonts w:ascii="Book Antiqua" w:hAnsi="Book Antiqua" w:cs="Arial"/>
        </w:rPr>
        <w:t xml:space="preserve"> conceded that there is a material error of law in the First-tier Tribunal decision, the appellant has achieved all she sought from the appeal before the Upper Tribunal. It will not be an effective use of court time to list the matter for a hearing when it can be determined on the papers without any detriment to the appellant. </w:t>
      </w:r>
    </w:p>
    <w:p w14:paraId="204D93BB" w14:textId="0AAF957F" w:rsidR="00984722" w:rsidRDefault="00984722" w:rsidP="00F63500">
      <w:pPr>
        <w:tabs>
          <w:tab w:val="left" w:pos="567"/>
        </w:tabs>
        <w:jc w:val="both"/>
        <w:rPr>
          <w:rFonts w:ascii="Book Antiqua" w:hAnsi="Book Antiqua" w:cs="Arial"/>
        </w:rPr>
      </w:pPr>
    </w:p>
    <w:p w14:paraId="0D06ECE0" w14:textId="76C2D8E0" w:rsidR="001E6AA3" w:rsidRPr="001E6AA3" w:rsidRDefault="001E6AA3" w:rsidP="00F63500">
      <w:pPr>
        <w:tabs>
          <w:tab w:val="left" w:pos="567"/>
        </w:tabs>
        <w:jc w:val="both"/>
        <w:rPr>
          <w:rFonts w:ascii="Book Antiqua" w:hAnsi="Book Antiqua" w:cs="Arial"/>
          <w:b/>
          <w:bCs/>
          <w:u w:val="single"/>
        </w:rPr>
      </w:pPr>
      <w:r w:rsidRPr="001E6AA3">
        <w:rPr>
          <w:rFonts w:ascii="Book Antiqua" w:hAnsi="Book Antiqua" w:cs="Arial"/>
          <w:b/>
          <w:bCs/>
          <w:u w:val="single"/>
        </w:rPr>
        <w:t>Decision and reasons</w:t>
      </w:r>
    </w:p>
    <w:p w14:paraId="2C06F3ED" w14:textId="77777777" w:rsidR="001E6AA3" w:rsidRDefault="001E6AA3" w:rsidP="00F63500">
      <w:pPr>
        <w:tabs>
          <w:tab w:val="left" w:pos="567"/>
        </w:tabs>
        <w:jc w:val="both"/>
        <w:rPr>
          <w:rFonts w:ascii="Book Antiqua" w:hAnsi="Book Antiqua" w:cs="Arial"/>
        </w:rPr>
      </w:pPr>
    </w:p>
    <w:p w14:paraId="56E3AA40" w14:textId="05EB4D45" w:rsidR="00984722" w:rsidRDefault="001E6AA3" w:rsidP="001E6AA3">
      <w:pPr>
        <w:tabs>
          <w:tab w:val="left" w:pos="567"/>
        </w:tabs>
        <w:ind w:left="564" w:hanging="564"/>
        <w:jc w:val="both"/>
        <w:rPr>
          <w:rFonts w:ascii="Book Antiqua" w:hAnsi="Book Antiqua" w:cs="Arial"/>
        </w:rPr>
      </w:pPr>
      <w:r>
        <w:rPr>
          <w:rFonts w:ascii="Book Antiqua" w:hAnsi="Book Antiqua" w:cs="Arial"/>
        </w:rPr>
        <w:t>9.</w:t>
      </w:r>
      <w:r>
        <w:rPr>
          <w:rFonts w:ascii="Book Antiqua" w:hAnsi="Book Antiqua" w:cs="Arial"/>
        </w:rPr>
        <w:tab/>
        <w:t xml:space="preserve">I am satisfied that the respondent made a proper concession. The first two grounds of appeal relating to the judge’s approach to the </w:t>
      </w:r>
      <w:proofErr w:type="spellStart"/>
      <w:r w:rsidRPr="001E6AA3">
        <w:rPr>
          <w:rFonts w:ascii="Book Antiqua" w:hAnsi="Book Antiqua" w:cs="Arial"/>
          <w:i/>
          <w:iCs/>
        </w:rPr>
        <w:t>Devaseelan</w:t>
      </w:r>
      <w:proofErr w:type="spellEnd"/>
      <w:r>
        <w:rPr>
          <w:rFonts w:ascii="Book Antiqua" w:hAnsi="Book Antiqua" w:cs="Arial"/>
        </w:rPr>
        <w:t xml:space="preserve"> principles have merit. An earlier First-tier Tribunal decision is only a starting point but </w:t>
      </w:r>
      <w:r w:rsidR="00463FC2">
        <w:rPr>
          <w:rFonts w:ascii="Book Antiqua" w:hAnsi="Book Antiqua" w:cs="Arial"/>
        </w:rPr>
        <w:t>must still</w:t>
      </w:r>
      <w:r>
        <w:rPr>
          <w:rFonts w:ascii="Book Antiqua" w:hAnsi="Book Antiqua" w:cs="Arial"/>
        </w:rPr>
        <w:t xml:space="preserve"> be considered in the round with all the other evidence </w:t>
      </w:r>
      <w:r w:rsidRPr="00A31F6C">
        <w:rPr>
          <w:rFonts w:ascii="Book Antiqua" w:hAnsi="Book Antiqua" w:cs="Arial"/>
        </w:rPr>
        <w:t xml:space="preserve">before </w:t>
      </w:r>
      <w:r w:rsidR="00463FC2">
        <w:rPr>
          <w:rFonts w:ascii="Book Antiqua" w:hAnsi="Book Antiqua" w:cs="Arial"/>
        </w:rPr>
        <w:t>making findings</w:t>
      </w:r>
      <w:r>
        <w:rPr>
          <w:rFonts w:ascii="Book Antiqua" w:hAnsi="Book Antiqua" w:cs="Arial"/>
        </w:rPr>
        <w:t xml:space="preserve"> about the facts of the case. </w:t>
      </w:r>
      <w:r w:rsidR="00463FC2">
        <w:rPr>
          <w:rFonts w:ascii="Book Antiqua" w:hAnsi="Book Antiqua" w:cs="Arial"/>
        </w:rPr>
        <w:t xml:space="preserve">The judge’s findings at [59-61] in which she found that there was “no reason to </w:t>
      </w:r>
      <w:r w:rsidR="00463FC2">
        <w:rPr>
          <w:rFonts w:ascii="Book Antiqua" w:hAnsi="Book Antiqua" w:cs="Arial"/>
        </w:rPr>
        <w:lastRenderedPageBreak/>
        <w:t xml:space="preserve">depart” from the previous First-tier Tribunal decision were made </w:t>
      </w:r>
      <w:r w:rsidR="00463FC2" w:rsidRPr="00A31F6C">
        <w:rPr>
          <w:rFonts w:ascii="Book Antiqua" w:hAnsi="Book Antiqua" w:cs="Arial"/>
          <w:u w:val="single"/>
        </w:rPr>
        <w:t>before</w:t>
      </w:r>
      <w:r w:rsidR="00463FC2" w:rsidRPr="00463FC2">
        <w:rPr>
          <w:rFonts w:ascii="Book Antiqua" w:hAnsi="Book Antiqua" w:cs="Arial"/>
        </w:rPr>
        <w:t xml:space="preserve"> </w:t>
      </w:r>
      <w:r w:rsidR="00463FC2">
        <w:rPr>
          <w:rFonts w:ascii="Book Antiqua" w:hAnsi="Book Antiqua" w:cs="Arial"/>
        </w:rPr>
        <w:t xml:space="preserve">she considered the substance of the further evidence produced in support of this appeal and therefore amounted to an error of law. As noted by First-tier Tribunal Judge Bulpitt, the third and fourth grounds are less persuasive, but it is sufficient for the appellant to succeed in relation to the first and second. </w:t>
      </w:r>
      <w:r w:rsidR="0047406C">
        <w:rPr>
          <w:rFonts w:ascii="Book Antiqua" w:hAnsi="Book Antiqua" w:cs="Arial"/>
        </w:rPr>
        <w:t xml:space="preserve">I note that the judge also failed to make any clear findings in relation to the material matter, which was not raised before the previous First-tier Tribunal, of whether the appellant was likely to have been the victim of a serious sexual assault. </w:t>
      </w:r>
    </w:p>
    <w:p w14:paraId="584299ED" w14:textId="0E17F0FE" w:rsidR="00463FC2" w:rsidRDefault="00463FC2" w:rsidP="001E6AA3">
      <w:pPr>
        <w:tabs>
          <w:tab w:val="left" w:pos="567"/>
        </w:tabs>
        <w:ind w:left="564" w:hanging="564"/>
        <w:jc w:val="both"/>
        <w:rPr>
          <w:rFonts w:ascii="Book Antiqua" w:hAnsi="Book Antiqua" w:cs="Arial"/>
        </w:rPr>
      </w:pPr>
    </w:p>
    <w:p w14:paraId="4E3AD9CD" w14:textId="26FF999B" w:rsidR="00F63500" w:rsidRDefault="0047406C" w:rsidP="0090575B">
      <w:pPr>
        <w:tabs>
          <w:tab w:val="left" w:pos="567"/>
        </w:tabs>
        <w:ind w:left="564" w:hanging="564"/>
        <w:jc w:val="both"/>
        <w:rPr>
          <w:rFonts w:ascii="Book Antiqua" w:hAnsi="Book Antiqua" w:cs="Arial"/>
        </w:rPr>
      </w:pPr>
      <w:r>
        <w:rPr>
          <w:rFonts w:ascii="Book Antiqua" w:hAnsi="Book Antiqua" w:cs="Arial"/>
        </w:rPr>
        <w:t>10.</w:t>
      </w:r>
      <w:r>
        <w:rPr>
          <w:rFonts w:ascii="Book Antiqua" w:hAnsi="Book Antiqua" w:cs="Arial"/>
        </w:rPr>
        <w:tab/>
        <w:t xml:space="preserve">Although there was no direct challenge to the First-tier Tribunal’s findings relating to Article 8, the findings relating to the appellant’s protection claim were likely to be relevant to a proper assessment of those issues. </w:t>
      </w:r>
      <w:r w:rsidR="0090575B">
        <w:rPr>
          <w:rFonts w:ascii="Book Antiqua" w:hAnsi="Book Antiqua" w:cs="Arial"/>
        </w:rPr>
        <w:t>The appellant’s vulnerability</w:t>
      </w:r>
      <w:r w:rsidR="00333427">
        <w:rPr>
          <w:rFonts w:ascii="Book Antiqua" w:hAnsi="Book Antiqua" w:cs="Arial"/>
        </w:rPr>
        <w:t xml:space="preserve"> and </w:t>
      </w:r>
      <w:proofErr w:type="gramStart"/>
      <w:r w:rsidR="00333427">
        <w:rPr>
          <w:rFonts w:ascii="Book Antiqua" w:hAnsi="Book Antiqua" w:cs="Arial"/>
        </w:rPr>
        <w:t>past history</w:t>
      </w:r>
      <w:proofErr w:type="gramEnd"/>
      <w:r w:rsidR="00333427">
        <w:rPr>
          <w:rFonts w:ascii="Book Antiqua" w:hAnsi="Book Antiqua" w:cs="Arial"/>
        </w:rPr>
        <w:t xml:space="preserve"> in Georgia are matters that would be relevant to the overall balancing exercise under Article 8. </w:t>
      </w:r>
    </w:p>
    <w:p w14:paraId="36B4A554" w14:textId="4B374F12" w:rsidR="00333427" w:rsidRDefault="00333427" w:rsidP="0090575B">
      <w:pPr>
        <w:tabs>
          <w:tab w:val="left" w:pos="567"/>
        </w:tabs>
        <w:ind w:left="564" w:hanging="564"/>
        <w:jc w:val="both"/>
        <w:rPr>
          <w:rFonts w:ascii="Book Antiqua" w:hAnsi="Book Antiqua" w:cs="Arial"/>
        </w:rPr>
      </w:pPr>
    </w:p>
    <w:p w14:paraId="23E1514A" w14:textId="71004FC7" w:rsidR="00333427" w:rsidRDefault="00333427" w:rsidP="0090575B">
      <w:pPr>
        <w:tabs>
          <w:tab w:val="left" w:pos="567"/>
        </w:tabs>
        <w:ind w:left="564" w:hanging="564"/>
        <w:jc w:val="both"/>
        <w:rPr>
          <w:rFonts w:ascii="Book Antiqua" w:hAnsi="Book Antiqua" w:cs="Arial"/>
        </w:rPr>
      </w:pPr>
      <w:r>
        <w:rPr>
          <w:rFonts w:ascii="Book Antiqua" w:hAnsi="Book Antiqua" w:cs="Arial"/>
        </w:rPr>
        <w:t>11.</w:t>
      </w:r>
      <w:r>
        <w:rPr>
          <w:rFonts w:ascii="Book Antiqua" w:hAnsi="Book Antiqua" w:cs="Arial"/>
        </w:rPr>
        <w:tab/>
        <w:t xml:space="preserve">For these reasons I conclude that the First-tier Tribunal decision involved the making of an error of law. The error goes to the heart of the fact-finding exercise and the assessment of the protection and human rights claims. The decision is set aside. </w:t>
      </w:r>
    </w:p>
    <w:p w14:paraId="34016940" w14:textId="352F7BB7" w:rsidR="00333427" w:rsidRDefault="00333427" w:rsidP="0090575B">
      <w:pPr>
        <w:tabs>
          <w:tab w:val="left" w:pos="567"/>
        </w:tabs>
        <w:ind w:left="564" w:hanging="564"/>
        <w:jc w:val="both"/>
        <w:rPr>
          <w:rFonts w:ascii="Book Antiqua" w:hAnsi="Book Antiqua" w:cs="Arial"/>
        </w:rPr>
      </w:pPr>
    </w:p>
    <w:p w14:paraId="79A9EF8C" w14:textId="3174CD9D" w:rsidR="00333427" w:rsidRDefault="00333427" w:rsidP="0090575B">
      <w:pPr>
        <w:tabs>
          <w:tab w:val="left" w:pos="567"/>
        </w:tabs>
        <w:ind w:left="564" w:hanging="564"/>
        <w:jc w:val="both"/>
        <w:rPr>
          <w:rFonts w:ascii="Book Antiqua" w:hAnsi="Book Antiqua" w:cs="Arial"/>
        </w:rPr>
      </w:pPr>
      <w:r>
        <w:rPr>
          <w:rFonts w:ascii="Book Antiqua" w:hAnsi="Book Antiqua" w:cs="Arial"/>
        </w:rPr>
        <w:t>12.</w:t>
      </w:r>
      <w:r>
        <w:rPr>
          <w:rFonts w:ascii="Book Antiqua" w:hAnsi="Book Antiqua" w:cs="Arial"/>
        </w:rPr>
        <w:tab/>
        <w:t xml:space="preserve">The usual course of action is for the Upper Tribunal to remake the decision. However, the nature and extent of the fact finding that will be necessary is such that a fresh decision needs to be made. No findings are preserved. I also need to consider the practicalities of rehearing the case at the current time within the context of the overriding objective of the Procedure Rules. The appellant made no submissions on the suitable venue for remaking if an error of law was found. The respondent invited the Upper Tribunal “to determine the appeal with a fresh oral (continuance) hearing”. I note that the appellant’s case was previously heard in the First-tier Tribunal in Newport. It is likely that the appellant will need to give evidence again with the assistance of an interpreter. Unfortunately, the Upper Tribunal in Cardiff is not </w:t>
      </w:r>
      <w:r w:rsidR="00E43C44">
        <w:rPr>
          <w:rFonts w:ascii="Book Antiqua" w:hAnsi="Book Antiqua" w:cs="Arial"/>
        </w:rPr>
        <w:t xml:space="preserve">yet </w:t>
      </w:r>
      <w:proofErr w:type="gramStart"/>
      <w:r w:rsidR="00E43C44">
        <w:rPr>
          <w:rFonts w:ascii="Book Antiqua" w:hAnsi="Book Antiqua" w:cs="Arial"/>
        </w:rPr>
        <w:t>in a position</w:t>
      </w:r>
      <w:proofErr w:type="gramEnd"/>
      <w:r w:rsidR="00E43C44">
        <w:rPr>
          <w:rFonts w:ascii="Book Antiqua" w:hAnsi="Book Antiqua" w:cs="Arial"/>
        </w:rPr>
        <w:t xml:space="preserve"> to conduct face to face hearings. I am told that the First-tier Tribunal in Newport is. </w:t>
      </w:r>
      <w:proofErr w:type="gramStart"/>
      <w:r w:rsidR="00E43C44">
        <w:rPr>
          <w:rFonts w:ascii="Book Antiqua" w:hAnsi="Book Antiqua" w:cs="Arial"/>
        </w:rPr>
        <w:t>In light of</w:t>
      </w:r>
      <w:proofErr w:type="gramEnd"/>
      <w:r w:rsidR="00E43C44">
        <w:rPr>
          <w:rFonts w:ascii="Book Antiqua" w:hAnsi="Book Antiqua" w:cs="Arial"/>
        </w:rPr>
        <w:t xml:space="preserve"> this information and considering the extent of the fact finding that will be necessary, I have decided that the appropriate course of action is to remit the case to the First-tier Tribunal for a fresh hearing. </w:t>
      </w:r>
    </w:p>
    <w:p w14:paraId="4E864B55" w14:textId="1104E096" w:rsidR="00984722" w:rsidRDefault="00984722" w:rsidP="00F63500">
      <w:pPr>
        <w:tabs>
          <w:tab w:val="left" w:pos="567"/>
        </w:tabs>
        <w:jc w:val="both"/>
        <w:rPr>
          <w:rFonts w:ascii="Book Antiqua" w:hAnsi="Book Antiqua" w:cs="Arial"/>
        </w:rPr>
      </w:pPr>
    </w:p>
    <w:p w14:paraId="032892C4" w14:textId="6F68FCBB" w:rsidR="00984722" w:rsidRPr="00984722" w:rsidRDefault="00984722" w:rsidP="00F63500">
      <w:pPr>
        <w:tabs>
          <w:tab w:val="left" w:pos="567"/>
        </w:tabs>
        <w:jc w:val="both"/>
        <w:rPr>
          <w:rFonts w:ascii="Book Antiqua" w:hAnsi="Book Antiqua" w:cs="Arial"/>
          <w:u w:val="single"/>
        </w:rPr>
      </w:pPr>
      <w:r w:rsidRPr="00984722">
        <w:rPr>
          <w:rFonts w:ascii="Book Antiqua" w:hAnsi="Book Antiqua" w:cs="Arial"/>
          <w:u w:val="single"/>
        </w:rPr>
        <w:t>DECISION</w:t>
      </w:r>
    </w:p>
    <w:p w14:paraId="42C274CD" w14:textId="77777777" w:rsidR="00F63500" w:rsidRDefault="00F63500" w:rsidP="00F63500">
      <w:pPr>
        <w:tabs>
          <w:tab w:val="left" w:pos="567"/>
        </w:tabs>
        <w:jc w:val="both"/>
        <w:rPr>
          <w:rFonts w:ascii="Book Antiqua" w:hAnsi="Book Antiqua" w:cs="Arial"/>
        </w:rPr>
      </w:pPr>
    </w:p>
    <w:p w14:paraId="3907A275" w14:textId="19ADCCA8" w:rsidR="00F63500" w:rsidRDefault="00E43C44" w:rsidP="00F63500">
      <w:pPr>
        <w:tabs>
          <w:tab w:val="left" w:pos="567"/>
        </w:tabs>
        <w:jc w:val="both"/>
        <w:rPr>
          <w:rFonts w:ascii="Book Antiqua" w:hAnsi="Book Antiqua" w:cs="Arial"/>
        </w:rPr>
      </w:pPr>
      <w:r>
        <w:rPr>
          <w:rFonts w:ascii="Book Antiqua" w:hAnsi="Book Antiqua" w:cs="Arial"/>
        </w:rPr>
        <w:t>The First-tier Tribunal decision involved the making of an error on a point of law</w:t>
      </w:r>
    </w:p>
    <w:p w14:paraId="3B91190E" w14:textId="16CDFA29" w:rsidR="00E43C44" w:rsidRDefault="00E43C44" w:rsidP="00F63500">
      <w:pPr>
        <w:tabs>
          <w:tab w:val="left" w:pos="567"/>
        </w:tabs>
        <w:jc w:val="both"/>
        <w:rPr>
          <w:rFonts w:ascii="Book Antiqua" w:hAnsi="Book Antiqua" w:cs="Arial"/>
        </w:rPr>
      </w:pPr>
      <w:r>
        <w:rPr>
          <w:rFonts w:ascii="Book Antiqua" w:hAnsi="Book Antiqua" w:cs="Arial"/>
        </w:rPr>
        <w:br/>
        <w:t>The case will be remitted to the First-tier Tribunal for a fresh hearing</w:t>
      </w:r>
    </w:p>
    <w:p w14:paraId="0AEA8D6B" w14:textId="6340084D" w:rsidR="00984722" w:rsidRDefault="00984722" w:rsidP="00F63500">
      <w:pPr>
        <w:tabs>
          <w:tab w:val="left" w:pos="567"/>
        </w:tabs>
        <w:jc w:val="both"/>
        <w:rPr>
          <w:rFonts w:ascii="Book Antiqua" w:hAnsi="Book Antiqua" w:cs="Arial"/>
        </w:rPr>
      </w:pPr>
    </w:p>
    <w:p w14:paraId="2A8B6849" w14:textId="77777777" w:rsidR="00984722" w:rsidRDefault="00984722" w:rsidP="00F63500">
      <w:pPr>
        <w:tabs>
          <w:tab w:val="left" w:pos="567"/>
        </w:tabs>
        <w:jc w:val="both"/>
        <w:rPr>
          <w:rFonts w:ascii="Book Antiqua" w:hAnsi="Book Antiqua" w:cs="Arial"/>
        </w:rPr>
      </w:pPr>
    </w:p>
    <w:p w14:paraId="74F02F01" w14:textId="6900BBFA" w:rsidR="00F63500" w:rsidRDefault="00F63500" w:rsidP="00F63500">
      <w:pPr>
        <w:tabs>
          <w:tab w:val="left" w:pos="567"/>
        </w:tabs>
        <w:jc w:val="both"/>
        <w:rPr>
          <w:rFonts w:ascii="Book Antiqua" w:hAnsi="Book Antiqua" w:cs="Arial"/>
        </w:rPr>
      </w:pPr>
      <w:r>
        <w:rPr>
          <w:rFonts w:ascii="Book Antiqua" w:hAnsi="Book Antiqua" w:cs="Arial"/>
        </w:rPr>
        <w:t xml:space="preserve">Signed   </w:t>
      </w:r>
      <w:r w:rsidR="001950A7" w:rsidRPr="00E75820">
        <w:rPr>
          <w:rFonts w:ascii="Lucida Handwriting" w:hAnsi="Lucida Handwriting" w:cs="Arial"/>
          <w:noProof/>
        </w:rPr>
        <w:t>M. Canavan</w:t>
      </w:r>
      <w:r w:rsidR="001950A7">
        <w:rPr>
          <w:rFonts w:ascii="Book Antiqua" w:hAnsi="Book Antiqua" w:cs="Arial"/>
        </w:rPr>
        <w:tab/>
      </w:r>
      <w:r>
        <w:rPr>
          <w:rFonts w:ascii="Book Antiqua" w:hAnsi="Book Antiqua" w:cs="Arial"/>
        </w:rPr>
        <w:tab/>
        <w:t>Date</w:t>
      </w:r>
      <w:r w:rsidR="0047406C">
        <w:rPr>
          <w:rFonts w:ascii="Book Antiqua" w:hAnsi="Book Antiqua" w:cs="Arial"/>
        </w:rPr>
        <w:t xml:space="preserve"> 25 August 2020</w:t>
      </w:r>
    </w:p>
    <w:p w14:paraId="3D4824A9" w14:textId="087FD9E1" w:rsidR="00F63500" w:rsidRDefault="00F63500" w:rsidP="00F63500">
      <w:pPr>
        <w:tabs>
          <w:tab w:val="left" w:pos="567"/>
        </w:tabs>
        <w:jc w:val="both"/>
        <w:rPr>
          <w:rFonts w:ascii="Book Antiqua" w:hAnsi="Book Antiqua" w:cs="Arial"/>
        </w:rPr>
      </w:pPr>
      <w:r>
        <w:rPr>
          <w:rFonts w:ascii="Book Antiqua" w:hAnsi="Book Antiqua" w:cs="Arial"/>
        </w:rPr>
        <w:t>Upper Tribunal Judge Canavan</w:t>
      </w:r>
    </w:p>
    <w:p w14:paraId="2BD6423D" w14:textId="77777777" w:rsidR="00A6017E" w:rsidRDefault="00A6017E" w:rsidP="00F63500">
      <w:pPr>
        <w:tabs>
          <w:tab w:val="left" w:pos="567"/>
        </w:tabs>
        <w:jc w:val="both"/>
        <w:rPr>
          <w:rFonts w:ascii="Book Antiqua" w:hAnsi="Book Antiqua" w:cs="Arial"/>
        </w:rPr>
      </w:pPr>
      <w:bookmarkStart w:id="0" w:name="_GoBack"/>
      <w:bookmarkEnd w:id="0"/>
    </w:p>
    <w:sectPr w:rsidR="00A6017E" w:rsidSect="00637B8B">
      <w:headerReference w:type="default" r:id="rId8"/>
      <w:footerReference w:type="default" r:id="rId9"/>
      <w:footerReference w:type="first" r:id="rId10"/>
      <w:pgSz w:w="11906" w:h="16838"/>
      <w:pgMar w:top="993"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53676" w14:textId="77777777" w:rsidR="009B1830" w:rsidRDefault="009B1830" w:rsidP="00F63500">
      <w:r>
        <w:separator/>
      </w:r>
    </w:p>
  </w:endnote>
  <w:endnote w:type="continuationSeparator" w:id="0">
    <w:p w14:paraId="45E293BF" w14:textId="77777777" w:rsidR="009B1830" w:rsidRDefault="009B1830" w:rsidP="00F63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DEABF" w14:textId="7C3D6379" w:rsidR="00F75541" w:rsidRPr="00637B8B" w:rsidRDefault="00F63500" w:rsidP="00614E94">
    <w:pPr>
      <w:pStyle w:val="Footer"/>
      <w:jc w:val="center"/>
      <w:rPr>
        <w:rFonts w:ascii="Book Antiqua" w:hAnsi="Book Antiqua" w:cs="Arial"/>
      </w:rPr>
    </w:pPr>
    <w:r w:rsidRPr="00637B8B">
      <w:rPr>
        <w:rStyle w:val="PageNumber"/>
        <w:rFonts w:ascii="Book Antiqua" w:hAnsi="Book Antiqua" w:cs="Arial"/>
      </w:rPr>
      <w:fldChar w:fldCharType="begin"/>
    </w:r>
    <w:r w:rsidRPr="00637B8B">
      <w:rPr>
        <w:rStyle w:val="PageNumber"/>
        <w:rFonts w:ascii="Book Antiqua" w:hAnsi="Book Antiqua" w:cs="Arial"/>
      </w:rPr>
      <w:instrText xml:space="preserve"> PAGE </w:instrText>
    </w:r>
    <w:r w:rsidRPr="00637B8B">
      <w:rPr>
        <w:rStyle w:val="PageNumber"/>
        <w:rFonts w:ascii="Book Antiqua" w:hAnsi="Book Antiqua" w:cs="Arial"/>
      </w:rPr>
      <w:fldChar w:fldCharType="separate"/>
    </w:r>
    <w:r w:rsidR="007951FE" w:rsidRPr="00637B8B">
      <w:rPr>
        <w:rStyle w:val="PageNumber"/>
        <w:rFonts w:ascii="Book Antiqua" w:hAnsi="Book Antiqua" w:cs="Arial"/>
        <w:noProof/>
      </w:rPr>
      <w:t>4</w:t>
    </w:r>
    <w:r w:rsidRPr="00637B8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C2090" w14:textId="77777777" w:rsidR="00F75541" w:rsidRPr="00637B8B" w:rsidRDefault="00F63500" w:rsidP="00614E94">
    <w:pPr>
      <w:jc w:val="center"/>
      <w:rPr>
        <w:rFonts w:ascii="Book Antiqua" w:hAnsi="Book Antiqua" w:cs="Arial"/>
        <w:b/>
      </w:rPr>
    </w:pPr>
    <w:r w:rsidRPr="00637B8B">
      <w:rPr>
        <w:rFonts w:ascii="Book Antiqua" w:hAnsi="Book Antiqua" w:cs="Arial"/>
        <w:b/>
        <w:spacing w:val="-6"/>
      </w:rPr>
      <w:t>©</w:t>
    </w:r>
    <w:r w:rsidRPr="00637B8B">
      <w:rPr>
        <w:rFonts w:ascii="Book Antiqua" w:hAnsi="Book Antiqua" w:cs="Arial"/>
        <w:b/>
      </w:rPr>
      <w:t xml:space="preserve"> 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D88C5" w14:textId="77777777" w:rsidR="009B1830" w:rsidRDefault="009B1830" w:rsidP="00F63500">
      <w:r>
        <w:separator/>
      </w:r>
    </w:p>
  </w:footnote>
  <w:footnote w:type="continuationSeparator" w:id="0">
    <w:p w14:paraId="671CCD5A" w14:textId="77777777" w:rsidR="009B1830" w:rsidRDefault="009B1830" w:rsidP="00F63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24833" w14:textId="77777777" w:rsidR="009E0F1F" w:rsidRPr="009E0F1F" w:rsidRDefault="00F63500" w:rsidP="009E0F1F">
    <w:pPr>
      <w:jc w:val="right"/>
      <w:rPr>
        <w:rFonts w:ascii="Book Antiqua" w:hAnsi="Book Antiqua"/>
        <w:b/>
        <w:sz w:val="16"/>
        <w:szCs w:val="16"/>
        <w:u w:val="single"/>
      </w:rPr>
    </w:pPr>
    <w:r w:rsidRPr="001C2435">
      <w:rPr>
        <w:rFonts w:ascii="Book Antiqua" w:hAnsi="Book Antiqua" w:cs="Arial"/>
        <w:sz w:val="16"/>
        <w:szCs w:val="16"/>
      </w:rPr>
      <w:t>Appeal Number</w:t>
    </w:r>
    <w:r>
      <w:rPr>
        <w:rFonts w:ascii="Book Antiqua" w:hAnsi="Book Antiqua" w:cs="Arial"/>
        <w:sz w:val="16"/>
        <w:szCs w:val="16"/>
      </w:rPr>
      <w:t xml:space="preserve">: </w:t>
    </w:r>
    <w:r w:rsidR="009E0F1F" w:rsidRPr="009E0F1F">
      <w:rPr>
        <w:rFonts w:ascii="Book Antiqua" w:hAnsi="Book Antiqua" w:cs="Arial"/>
        <w:color w:val="000000"/>
        <w:sz w:val="16"/>
        <w:szCs w:val="16"/>
      </w:rPr>
      <w:t>PA/09174/2019</w:t>
    </w:r>
  </w:p>
  <w:p w14:paraId="32D5CDA0" w14:textId="4258779C" w:rsidR="00CF2453" w:rsidRPr="00FC0871" w:rsidRDefault="001608FF" w:rsidP="00CF2453">
    <w:pPr>
      <w:tabs>
        <w:tab w:val="right" w:pos="9720"/>
      </w:tabs>
      <w:ind w:right="-82"/>
      <w:jc w:val="right"/>
      <w:rPr>
        <w:rFonts w:ascii="Book Antiqua" w:hAnsi="Book Antiqua" w:cs="Arial"/>
        <w:color w:val="000000"/>
        <w:sz w:val="16"/>
        <w:szCs w:val="16"/>
      </w:rPr>
    </w:pPr>
  </w:p>
  <w:p w14:paraId="4F3E4F10" w14:textId="77777777" w:rsidR="00F75541" w:rsidRPr="001C2435" w:rsidRDefault="001608FF"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B22BE"/>
    <w:multiLevelType w:val="hybridMultilevel"/>
    <w:tmpl w:val="80DCEAB4"/>
    <w:lvl w:ilvl="0" w:tplc="D8C81B60">
      <w:start w:val="1"/>
      <w:numFmt w:val="lowerRoman"/>
      <w:lvlText w:val="(%1)"/>
      <w:lvlJc w:val="left"/>
      <w:pPr>
        <w:ind w:left="1284" w:hanging="72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1" w15:restartNumberingAfterBreak="0">
    <w:nsid w:val="20187D12"/>
    <w:multiLevelType w:val="hybridMultilevel"/>
    <w:tmpl w:val="C67AE69A"/>
    <w:lvl w:ilvl="0" w:tplc="F6F23D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500"/>
    <w:rsid w:val="000759BE"/>
    <w:rsid w:val="000B0BFB"/>
    <w:rsid w:val="000B1ACB"/>
    <w:rsid w:val="001608FF"/>
    <w:rsid w:val="0016308C"/>
    <w:rsid w:val="001950A7"/>
    <w:rsid w:val="001E6AA3"/>
    <w:rsid w:val="001E6B8B"/>
    <w:rsid w:val="00202653"/>
    <w:rsid w:val="00223C56"/>
    <w:rsid w:val="002B30C4"/>
    <w:rsid w:val="002D3DBC"/>
    <w:rsid w:val="002D7D77"/>
    <w:rsid w:val="00333427"/>
    <w:rsid w:val="003712FB"/>
    <w:rsid w:val="00385F9A"/>
    <w:rsid w:val="004118EA"/>
    <w:rsid w:val="00463FC2"/>
    <w:rsid w:val="0047406C"/>
    <w:rsid w:val="004755FC"/>
    <w:rsid w:val="004B2E96"/>
    <w:rsid w:val="005A12E5"/>
    <w:rsid w:val="00637B8B"/>
    <w:rsid w:val="00651662"/>
    <w:rsid w:val="006610FF"/>
    <w:rsid w:val="006D618F"/>
    <w:rsid w:val="007951FE"/>
    <w:rsid w:val="007C1B97"/>
    <w:rsid w:val="007D26CF"/>
    <w:rsid w:val="0083637E"/>
    <w:rsid w:val="0088720A"/>
    <w:rsid w:val="0090575B"/>
    <w:rsid w:val="00914CAD"/>
    <w:rsid w:val="00984722"/>
    <w:rsid w:val="00993D54"/>
    <w:rsid w:val="009B1830"/>
    <w:rsid w:val="009E0F1F"/>
    <w:rsid w:val="00A04462"/>
    <w:rsid w:val="00A04A5C"/>
    <w:rsid w:val="00A31F6C"/>
    <w:rsid w:val="00A6017E"/>
    <w:rsid w:val="00A9661C"/>
    <w:rsid w:val="00AC39F1"/>
    <w:rsid w:val="00AD27BF"/>
    <w:rsid w:val="00B07602"/>
    <w:rsid w:val="00B34AB3"/>
    <w:rsid w:val="00B43F8D"/>
    <w:rsid w:val="00C9315E"/>
    <w:rsid w:val="00D87ABF"/>
    <w:rsid w:val="00DA274A"/>
    <w:rsid w:val="00DB5B81"/>
    <w:rsid w:val="00E43C44"/>
    <w:rsid w:val="00E604E1"/>
    <w:rsid w:val="00E92EE6"/>
    <w:rsid w:val="00EF5BE0"/>
    <w:rsid w:val="00F63500"/>
    <w:rsid w:val="00F77258"/>
    <w:rsid w:val="00FB3636"/>
    <w:rsid w:val="00FC0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ED1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50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63500"/>
    <w:pPr>
      <w:tabs>
        <w:tab w:val="center" w:pos="4153"/>
        <w:tab w:val="right" w:pos="8306"/>
      </w:tabs>
    </w:pPr>
  </w:style>
  <w:style w:type="character" w:customStyle="1" w:styleId="HeaderChar">
    <w:name w:val="Header Char"/>
    <w:basedOn w:val="DefaultParagraphFont"/>
    <w:link w:val="Header"/>
    <w:rsid w:val="00F63500"/>
    <w:rPr>
      <w:rFonts w:ascii="Times New Roman" w:eastAsia="Times New Roman" w:hAnsi="Times New Roman" w:cs="Times New Roman"/>
      <w:sz w:val="24"/>
      <w:szCs w:val="24"/>
      <w:lang w:eastAsia="en-GB"/>
    </w:rPr>
  </w:style>
  <w:style w:type="paragraph" w:styleId="Footer">
    <w:name w:val="footer"/>
    <w:basedOn w:val="Normal"/>
    <w:link w:val="FooterChar"/>
    <w:rsid w:val="00F63500"/>
    <w:pPr>
      <w:tabs>
        <w:tab w:val="center" w:pos="4153"/>
        <w:tab w:val="right" w:pos="8306"/>
      </w:tabs>
    </w:pPr>
  </w:style>
  <w:style w:type="character" w:customStyle="1" w:styleId="FooterChar">
    <w:name w:val="Footer Char"/>
    <w:basedOn w:val="DefaultParagraphFont"/>
    <w:link w:val="Footer"/>
    <w:rsid w:val="00F63500"/>
    <w:rPr>
      <w:rFonts w:ascii="Times New Roman" w:eastAsia="Times New Roman" w:hAnsi="Times New Roman" w:cs="Times New Roman"/>
      <w:sz w:val="24"/>
      <w:szCs w:val="24"/>
      <w:lang w:eastAsia="en-GB"/>
    </w:rPr>
  </w:style>
  <w:style w:type="character" w:styleId="PageNumber">
    <w:name w:val="page number"/>
    <w:basedOn w:val="DefaultParagraphFont"/>
    <w:rsid w:val="00F63500"/>
  </w:style>
  <w:style w:type="paragraph" w:styleId="ListParagraph">
    <w:name w:val="List Paragraph"/>
    <w:basedOn w:val="Normal"/>
    <w:uiPriority w:val="34"/>
    <w:qFormat/>
    <w:rsid w:val="00385F9A"/>
    <w:pPr>
      <w:ind w:left="720"/>
      <w:contextualSpacing/>
    </w:pPr>
    <w:rPr>
      <w:rFonts w:asciiTheme="minorHAnsi" w:eastAsiaTheme="minorHAnsi" w:hAnsiTheme="minorHAnsi" w:cstheme="minorBidi"/>
      <w:lang w:val="en-US" w:eastAsia="en-US"/>
    </w:rPr>
  </w:style>
  <w:style w:type="paragraph" w:styleId="BalloonText">
    <w:name w:val="Balloon Text"/>
    <w:basedOn w:val="Normal"/>
    <w:link w:val="BalloonTextChar"/>
    <w:uiPriority w:val="99"/>
    <w:semiHidden/>
    <w:unhideWhenUsed/>
    <w:rsid w:val="00A044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462"/>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2020-09-14T13:39:00Z</dcterms:created>
  <dcterms:modified xsi:type="dcterms:W3CDTF">2020-09-14T13:39:00Z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