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9A72B8" w:rsidP="00C321B5">
      <w:pPr>
        <w:jc w:val="center"/>
        <w:rPr>
          <w:rFonts w:ascii="Book Antiqua" w:hAnsi="Book Antiqua" w:cs="Arial"/>
          <w:sz w:val="16"/>
          <w:szCs w:val="16"/>
        </w:rPr>
      </w:pPr>
      <w:r>
        <w:rPr>
          <w:noProof/>
        </w:rPr>
        <w:drawing>
          <wp:inline distT="0" distB="0" distL="0" distR="0" wp14:anchorId="25030CCA" wp14:editId="010E565C">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151AB3">
        <w:rPr>
          <w:rFonts w:ascii="Book Antiqua" w:hAnsi="Book Antiqua" w:cs="Arial"/>
          <w:b/>
        </w:rPr>
        <w:t xml:space="preserve">   </w:t>
      </w:r>
      <w:proofErr w:type="gramEnd"/>
      <w:r w:rsidR="00151AB3">
        <w:rPr>
          <w:rFonts w:ascii="Book Antiqua" w:hAnsi="Book Antiqua" w:cs="Arial"/>
          <w:b/>
        </w:rPr>
        <w:t xml:space="preserve">                </w:t>
      </w:r>
      <w:r w:rsidR="00B3524D" w:rsidRPr="00151AB3">
        <w:rPr>
          <w:rFonts w:ascii="Book Antiqua" w:hAnsi="Book Antiqua" w:cs="Arial"/>
          <w:b/>
        </w:rPr>
        <w:t>Appeal Number</w:t>
      </w:r>
      <w:r w:rsidR="00D53769" w:rsidRPr="00151AB3">
        <w:rPr>
          <w:rFonts w:ascii="Book Antiqua" w:hAnsi="Book Antiqua" w:cs="Arial"/>
          <w:b/>
        </w:rPr>
        <w:t>:</w:t>
      </w:r>
      <w:r w:rsidR="00B3524D" w:rsidRPr="00151AB3">
        <w:rPr>
          <w:rFonts w:ascii="Book Antiqua" w:hAnsi="Book Antiqua" w:cs="Arial"/>
          <w:b/>
        </w:rPr>
        <w:t xml:space="preserve"> </w:t>
      </w:r>
      <w:r w:rsidR="009A72B8" w:rsidRPr="00151AB3">
        <w:rPr>
          <w:rFonts w:ascii="Book Antiqua" w:hAnsi="Book Antiqua" w:cs="Arial"/>
          <w:b/>
          <w:caps/>
        </w:rPr>
        <w:t>PA/09231/2017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62"/>
        <w:gridCol w:w="5046"/>
      </w:tblGrid>
      <w:tr w:rsidR="00D22636" w:rsidRPr="00F5664C" w:rsidTr="00151AB3">
        <w:tc>
          <w:tcPr>
            <w:tcW w:w="4962"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9A72B8">
              <w:rPr>
                <w:rFonts w:ascii="Book Antiqua" w:hAnsi="Book Antiqua" w:cs="Arial"/>
                <w:b/>
              </w:rPr>
              <w:t>Field House</w:t>
            </w:r>
          </w:p>
        </w:tc>
        <w:tc>
          <w:tcPr>
            <w:tcW w:w="5046" w:type="dxa"/>
          </w:tcPr>
          <w:p w:rsidR="00D22636" w:rsidRPr="00F5664C" w:rsidRDefault="00151AB3"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151AB3">
        <w:tc>
          <w:tcPr>
            <w:tcW w:w="4962"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9A72B8">
              <w:rPr>
                <w:rFonts w:ascii="Book Antiqua" w:hAnsi="Book Antiqua" w:cs="Arial"/>
                <w:b/>
              </w:rPr>
              <w:t>13</w:t>
            </w:r>
            <w:r w:rsidR="009A72B8" w:rsidRPr="009A72B8">
              <w:rPr>
                <w:rFonts w:ascii="Book Antiqua" w:hAnsi="Book Antiqua" w:cs="Arial"/>
                <w:b/>
                <w:vertAlign w:val="superscript"/>
              </w:rPr>
              <w:t>th</w:t>
            </w:r>
            <w:r w:rsidR="009A72B8">
              <w:rPr>
                <w:rFonts w:ascii="Book Antiqua" w:hAnsi="Book Antiqua" w:cs="Arial"/>
                <w:b/>
              </w:rPr>
              <w:t xml:space="preserve"> August 2018</w:t>
            </w:r>
          </w:p>
        </w:tc>
        <w:tc>
          <w:tcPr>
            <w:tcW w:w="5046" w:type="dxa"/>
          </w:tcPr>
          <w:p w:rsidR="00D22636" w:rsidRPr="00F5664C" w:rsidRDefault="00151AB3" w:rsidP="004A1848">
            <w:pPr>
              <w:jc w:val="both"/>
              <w:rPr>
                <w:rFonts w:ascii="Book Antiqua" w:hAnsi="Book Antiqua" w:cs="Arial"/>
                <w:b/>
              </w:rPr>
            </w:pPr>
            <w:r>
              <w:rPr>
                <w:rFonts w:ascii="Book Antiqua" w:hAnsi="Book Antiqua" w:cs="Arial"/>
                <w:b/>
              </w:rPr>
              <w:t xml:space="preserve"> </w:t>
            </w:r>
            <w:r w:rsidR="00791031">
              <w:rPr>
                <w:rFonts w:ascii="Book Antiqua" w:hAnsi="Book Antiqua" w:cs="Arial"/>
                <w:b/>
              </w:rPr>
              <w:t>On 24</w:t>
            </w:r>
            <w:r w:rsidR="00791031" w:rsidRPr="00791031">
              <w:rPr>
                <w:rFonts w:ascii="Book Antiqua" w:hAnsi="Book Antiqua" w:cs="Arial"/>
                <w:b/>
                <w:vertAlign w:val="superscript"/>
              </w:rPr>
              <w:t>th</w:t>
            </w:r>
            <w:r w:rsidR="00791031">
              <w:rPr>
                <w:rFonts w:ascii="Book Antiqua" w:hAnsi="Book Antiqua" w:cs="Arial"/>
                <w:b/>
              </w:rPr>
              <w:t xml:space="preserve"> August 2018</w:t>
            </w:r>
          </w:p>
        </w:tc>
      </w:tr>
      <w:tr w:rsidR="00D22636" w:rsidRPr="00F5664C" w:rsidTr="00151AB3">
        <w:tc>
          <w:tcPr>
            <w:tcW w:w="4962" w:type="dxa"/>
          </w:tcPr>
          <w:p w:rsidR="00D22636" w:rsidRPr="00F5664C" w:rsidRDefault="00D22636" w:rsidP="004A1848">
            <w:pPr>
              <w:jc w:val="both"/>
              <w:rPr>
                <w:rFonts w:ascii="Book Antiqua" w:hAnsi="Book Antiqua" w:cs="Arial"/>
                <w:b/>
              </w:rPr>
            </w:pPr>
          </w:p>
        </w:tc>
        <w:tc>
          <w:tcPr>
            <w:tcW w:w="5046" w:type="dxa"/>
          </w:tcPr>
          <w:p w:rsidR="00D22636" w:rsidRPr="00F5664C" w:rsidRDefault="00D22636" w:rsidP="004A1848">
            <w:pPr>
              <w:jc w:val="both"/>
              <w:rPr>
                <w:rFonts w:ascii="Book Antiqua" w:hAnsi="Book Antiqua" w:cs="Arial"/>
                <w:b/>
              </w:rPr>
            </w:pPr>
          </w:p>
        </w:tc>
      </w:tr>
    </w:tbl>
    <w:p w:rsidR="00A15234" w:rsidRPr="00F5664C" w:rsidRDefault="00A15234" w:rsidP="009A72B8">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rsidR="001A1E2C" w:rsidRPr="00F5664C" w:rsidRDefault="001A1E2C"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9A72B8" w:rsidP="00742A8D">
      <w:pPr>
        <w:jc w:val="center"/>
        <w:rPr>
          <w:rFonts w:ascii="Book Antiqua" w:hAnsi="Book Antiqua" w:cs="Arial"/>
          <w:b/>
          <w:caps/>
        </w:rPr>
      </w:pPr>
      <w:r>
        <w:rPr>
          <w:rFonts w:ascii="Book Antiqua" w:hAnsi="Book Antiqua" w:cs="Arial"/>
          <w:b/>
          <w:caps/>
        </w:rPr>
        <w:t>N</w:t>
      </w:r>
      <w:r w:rsidR="00A81EAB">
        <w:rPr>
          <w:rFonts w:ascii="Book Antiqua" w:hAnsi="Book Antiqua" w:cs="Arial"/>
          <w:b/>
          <w:caps/>
        </w:rPr>
        <w:t xml:space="preserve"> </w:t>
      </w:r>
      <w:r>
        <w:rPr>
          <w:rFonts w:ascii="Book Antiqua" w:hAnsi="Book Antiqua" w:cs="Arial"/>
          <w:b/>
          <w:caps/>
        </w:rPr>
        <w:t>S</w:t>
      </w:r>
      <w:bookmarkStart w:id="0" w:name="_GoBack"/>
      <w:bookmarkEnd w:id="0"/>
    </w:p>
    <w:p w:rsidR="00F13D39" w:rsidRPr="00151AB3" w:rsidRDefault="00F13D39" w:rsidP="00F13D39">
      <w:pPr>
        <w:jc w:val="center"/>
        <w:rPr>
          <w:rFonts w:ascii="Book Antiqua" w:hAnsi="Book Antiqua" w:cs="Arial"/>
          <w:caps/>
        </w:rPr>
      </w:pPr>
      <w:r w:rsidRPr="00151AB3">
        <w:rPr>
          <w:rFonts w:ascii="Book Antiqua" w:hAnsi="Book Antiqua" w:cs="Arial"/>
          <w:caps/>
        </w:rPr>
        <w:t xml:space="preserve">(ANONYMITY DIRECTION </w:t>
      </w:r>
      <w:r w:rsidR="00C0289F" w:rsidRPr="00151AB3">
        <w:rPr>
          <w:rFonts w:ascii="Book Antiqua" w:hAnsi="Book Antiqua" w:cs="Arial"/>
          <w:caps/>
        </w:rPr>
        <w:t>MADE</w:t>
      </w:r>
      <w:r w:rsidRPr="00151AB3">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151AB3" w:rsidRPr="00F5664C" w:rsidRDefault="00151AB3"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A72B8">
        <w:rPr>
          <w:rFonts w:ascii="Book Antiqua" w:hAnsi="Book Antiqua" w:cs="Arial"/>
        </w:rPr>
        <w:t xml:space="preserve">Mr J Plowright </w:t>
      </w:r>
      <w:r w:rsidR="00280694">
        <w:rPr>
          <w:rFonts w:ascii="Book Antiqua" w:hAnsi="Book Antiqua" w:cs="Arial"/>
        </w:rPr>
        <w:t>(instructed</w:t>
      </w:r>
      <w:r w:rsidR="009A72B8">
        <w:rPr>
          <w:rFonts w:ascii="Book Antiqua" w:hAnsi="Book Antiqua" w:cs="Arial"/>
        </w:rPr>
        <w:t xml:space="preserve"> by JS Solicitors</w:t>
      </w:r>
      <w:r w:rsidR="00280694">
        <w:rPr>
          <w:rFonts w:ascii="Book Antiqua" w:hAnsi="Book Antiqua" w:cs="Arial"/>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80694">
        <w:rPr>
          <w:rFonts w:ascii="Book Antiqua" w:hAnsi="Book Antiqua" w:cs="Arial"/>
        </w:rPr>
        <w:t>Miss J Isherwood (</w:t>
      </w:r>
      <w:r w:rsidR="009A72B8">
        <w:rPr>
          <w:rFonts w:ascii="Book Antiqua" w:hAnsi="Book Antiqua" w:cs="Arial"/>
        </w:rPr>
        <w:t>Senior Home Office Presenting Officer</w:t>
      </w:r>
      <w:r w:rsidR="00280694">
        <w:rPr>
          <w:rFonts w:ascii="Book Antiqua" w:hAnsi="Book Antiqua" w:cs="Arial"/>
        </w:rPr>
        <w:t>)</w:t>
      </w:r>
      <w:r w:rsidR="009A72B8">
        <w:rPr>
          <w:rFonts w:ascii="Book Antiqua" w:hAnsi="Book Antiqua" w:cs="Arial"/>
        </w:rPr>
        <w:t xml:space="preserve"> </w:t>
      </w: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C0289F" w:rsidRDefault="009A72B8" w:rsidP="009A1ED5">
      <w:pPr>
        <w:numPr>
          <w:ilvl w:val="0"/>
          <w:numId w:val="3"/>
        </w:numPr>
        <w:spacing w:before="240"/>
        <w:jc w:val="both"/>
        <w:rPr>
          <w:rFonts w:ascii="Book Antiqua" w:hAnsi="Book Antiqua" w:cs="Arial"/>
        </w:rPr>
      </w:pPr>
      <w:r>
        <w:rPr>
          <w:rFonts w:ascii="Book Antiqua" w:hAnsi="Book Antiqua" w:cs="Arial"/>
        </w:rPr>
        <w:t>This is an application to the Upper Tribunal by the Appellant in relation to a judgment of the First-tier Tribunal, Judge Cockrill, promulgated on 16</w:t>
      </w:r>
      <w:r w:rsidRPr="009A72B8">
        <w:rPr>
          <w:rFonts w:ascii="Book Antiqua" w:hAnsi="Book Antiqua" w:cs="Arial"/>
          <w:vertAlign w:val="superscript"/>
        </w:rPr>
        <w:t>th</w:t>
      </w:r>
      <w:r>
        <w:rPr>
          <w:rFonts w:ascii="Book Antiqua" w:hAnsi="Book Antiqua" w:cs="Arial"/>
        </w:rPr>
        <w:t xml:space="preserve"> May 2018.  The case is a protection claim brought by a citizen of Bangladesh born in 1982.  The judge determined the appeal having heard from the Presenting Officer</w:t>
      </w:r>
      <w:r w:rsidR="00C0289F">
        <w:rPr>
          <w:rFonts w:ascii="Book Antiqua" w:hAnsi="Book Antiqua" w:cs="Arial"/>
        </w:rPr>
        <w:t>,</w:t>
      </w:r>
      <w:r>
        <w:rPr>
          <w:rFonts w:ascii="Book Antiqua" w:hAnsi="Book Antiqua" w:cs="Arial"/>
        </w:rPr>
        <w:t xml:space="preserve"> there being no attendance by the Appellant or a representative.  </w:t>
      </w:r>
    </w:p>
    <w:p w:rsidR="00C0289F" w:rsidRDefault="009A72B8" w:rsidP="009A1ED5">
      <w:pPr>
        <w:numPr>
          <w:ilvl w:val="0"/>
          <w:numId w:val="3"/>
        </w:numPr>
        <w:spacing w:before="240"/>
        <w:jc w:val="both"/>
        <w:rPr>
          <w:rFonts w:ascii="Book Antiqua" w:hAnsi="Book Antiqua" w:cs="Arial"/>
        </w:rPr>
      </w:pPr>
      <w:r>
        <w:rPr>
          <w:rFonts w:ascii="Book Antiqua" w:hAnsi="Book Antiqua" w:cs="Arial"/>
        </w:rPr>
        <w:t>The grounds upon which permission to appeal was granted say that the Appellant, his surety/accommodation provider and his surety’s wife had not received notification of the appeal hearing and they certainly would have attended had they done so.  Particularly pertinent is that the matter had previously been listed and adjourned</w:t>
      </w:r>
      <w:r w:rsidR="00280694">
        <w:rPr>
          <w:rFonts w:ascii="Book Antiqua" w:hAnsi="Book Antiqua" w:cs="Arial"/>
        </w:rPr>
        <w:t>,</w:t>
      </w:r>
      <w:r>
        <w:rPr>
          <w:rFonts w:ascii="Book Antiqua" w:hAnsi="Book Antiqua" w:cs="Arial"/>
        </w:rPr>
        <w:t xml:space="preserve"> not by reason of any application by the </w:t>
      </w:r>
      <w:r w:rsidR="00280694">
        <w:rPr>
          <w:rFonts w:ascii="Book Antiqua" w:hAnsi="Book Antiqua" w:cs="Arial"/>
        </w:rPr>
        <w:t>Appellant,</w:t>
      </w:r>
      <w:r>
        <w:rPr>
          <w:rFonts w:ascii="Book Antiqua" w:hAnsi="Book Antiqua" w:cs="Arial"/>
        </w:rPr>
        <w:t xml:space="preserve"> but of the court’s own volition and on </w:t>
      </w:r>
      <w:r>
        <w:rPr>
          <w:rFonts w:ascii="Book Antiqua" w:hAnsi="Book Antiqua" w:cs="Arial"/>
        </w:rPr>
        <w:lastRenderedPageBreak/>
        <w:t>that day they had all indeed attended.  It is clear therefore that the Appellant intended to prosecute his appeal and to bring witnesses to the hearing.  The fact that he did not receive notice of the hearing and so did not attend amounts to a procedural error, or an administrative error, amounting to an error of law</w:t>
      </w:r>
      <w:r w:rsidR="00C0289F">
        <w:rPr>
          <w:rFonts w:ascii="Book Antiqua" w:hAnsi="Book Antiqua" w:cs="Arial"/>
        </w:rPr>
        <w:t xml:space="preserve"> and f</w:t>
      </w:r>
      <w:r>
        <w:rPr>
          <w:rFonts w:ascii="Book Antiqua" w:hAnsi="Book Antiqua" w:cs="Arial"/>
        </w:rPr>
        <w:t xml:space="preserve">or that reason I set aside the </w:t>
      </w:r>
      <w:r w:rsidR="008431BE">
        <w:rPr>
          <w:rFonts w:ascii="Book Antiqua" w:hAnsi="Book Antiqua" w:cs="Arial"/>
        </w:rPr>
        <w:t>Decision</w:t>
      </w:r>
      <w:r w:rsidR="00C0289F">
        <w:rPr>
          <w:rFonts w:ascii="Book Antiqua" w:hAnsi="Book Antiqua" w:cs="Arial"/>
        </w:rPr>
        <w:t xml:space="preserve">.  As </w:t>
      </w:r>
      <w:r>
        <w:rPr>
          <w:rFonts w:ascii="Book Antiqua" w:hAnsi="Book Antiqua" w:cs="Arial"/>
        </w:rPr>
        <w:t xml:space="preserve">he has not had a hearing before the First-tier Tribunal it is appropriate that he should and therefore </w:t>
      </w:r>
      <w:r w:rsidR="00280694">
        <w:rPr>
          <w:rFonts w:ascii="Book Antiqua" w:hAnsi="Book Antiqua" w:cs="Arial"/>
        </w:rPr>
        <w:t>the matter</w:t>
      </w:r>
      <w:r>
        <w:rPr>
          <w:rFonts w:ascii="Book Antiqua" w:hAnsi="Book Antiqua" w:cs="Arial"/>
        </w:rPr>
        <w:t xml:space="preserve"> is remitted to the First-tier Tribunal for a full re-hearing</w:t>
      </w:r>
      <w:r w:rsidR="00C0289F">
        <w:rPr>
          <w:rFonts w:ascii="Book Antiqua" w:hAnsi="Book Antiqua" w:cs="Arial"/>
        </w:rPr>
        <w:t xml:space="preserve"> at </w:t>
      </w:r>
      <w:r>
        <w:rPr>
          <w:rFonts w:ascii="Book Antiqua" w:hAnsi="Book Antiqua" w:cs="Arial"/>
        </w:rPr>
        <w:t>Hatton Cross</w:t>
      </w:r>
      <w:r w:rsidR="00C0289F">
        <w:rPr>
          <w:rFonts w:ascii="Book Antiqua" w:hAnsi="Book Antiqua" w:cs="Arial"/>
        </w:rPr>
        <w:t xml:space="preserve"> hearing centre</w:t>
      </w:r>
      <w:r>
        <w:rPr>
          <w:rFonts w:ascii="Book Antiqua" w:hAnsi="Book Antiqua" w:cs="Arial"/>
        </w:rPr>
        <w:t xml:space="preserve">.  </w:t>
      </w:r>
    </w:p>
    <w:p w:rsidR="009A1ED5" w:rsidRPr="00F5664C" w:rsidRDefault="009A72B8" w:rsidP="009A1ED5">
      <w:pPr>
        <w:numPr>
          <w:ilvl w:val="0"/>
          <w:numId w:val="3"/>
        </w:numPr>
        <w:spacing w:before="240"/>
        <w:jc w:val="both"/>
        <w:rPr>
          <w:rFonts w:ascii="Book Antiqua" w:hAnsi="Book Antiqua" w:cs="Arial"/>
        </w:rPr>
      </w:pPr>
      <w:r>
        <w:rPr>
          <w:rFonts w:ascii="Book Antiqua" w:hAnsi="Book Antiqua" w:cs="Arial"/>
        </w:rPr>
        <w:t xml:space="preserve">Given that this is a protection claim that has not yet been determined I </w:t>
      </w:r>
      <w:r w:rsidR="00C0289F">
        <w:rPr>
          <w:rFonts w:ascii="Book Antiqua" w:hAnsi="Book Antiqua" w:cs="Arial"/>
        </w:rPr>
        <w:t>continue the</w:t>
      </w:r>
      <w:r>
        <w:rPr>
          <w:rFonts w:ascii="Book Antiqua" w:hAnsi="Book Antiqua" w:cs="Arial"/>
        </w:rPr>
        <w:t xml:space="preserve"> anonymity direction.     </w:t>
      </w:r>
    </w:p>
    <w:p w:rsidR="009A72B8" w:rsidRDefault="009A72B8" w:rsidP="00F13D39">
      <w:pPr>
        <w:jc w:val="both"/>
        <w:rPr>
          <w:rFonts w:ascii="Book Antiqua" w:hAnsi="Book Antiqua" w:cs="Arial"/>
          <w:b/>
          <w:u w:val="single"/>
        </w:rPr>
      </w:pPr>
    </w:p>
    <w:p w:rsidR="00A81EAB" w:rsidRDefault="00A81EAB" w:rsidP="00F13D39">
      <w:pPr>
        <w:jc w:val="both"/>
        <w:rPr>
          <w:rFonts w:ascii="Book Antiqua" w:hAnsi="Book Antiqua" w:cs="Arial"/>
          <w:b/>
          <w:u w:val="single"/>
        </w:rPr>
      </w:pPr>
    </w:p>
    <w:p w:rsidR="00F13D39" w:rsidRPr="00055F19" w:rsidRDefault="00F13D39" w:rsidP="00F13D39">
      <w:pPr>
        <w:jc w:val="both"/>
        <w:rPr>
          <w:rFonts w:ascii="Book Antiqua" w:hAnsi="Book Antiqua" w:cs="Arial"/>
          <w:u w:val="single"/>
        </w:rPr>
      </w:pPr>
      <w:r w:rsidRPr="00055F19">
        <w:rPr>
          <w:rFonts w:ascii="Book Antiqua" w:hAnsi="Book Antiqua" w:cs="Arial"/>
          <w:b/>
          <w:u w:val="single"/>
        </w:rPr>
        <w:t>Direction Regarding Anonymity – Rule 14 of the Tribunal Procedure (Upper Tribunal) Rules 2008</w:t>
      </w:r>
    </w:p>
    <w:p w:rsidR="00F13D39" w:rsidRPr="00F13D39" w:rsidRDefault="00F13D39" w:rsidP="00F13D39">
      <w:pPr>
        <w:jc w:val="both"/>
        <w:rPr>
          <w:rFonts w:ascii="Book Antiqua" w:hAnsi="Book Antiqua" w:cs="Arial"/>
        </w:rPr>
      </w:pPr>
    </w:p>
    <w:p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 xml:space="preserve">until a Tribunal or court directs otherwise, the Appellant is granted anonymity.  No report of these proceedings shall directly or indirectly identify him or any member of </w:t>
      </w:r>
      <w:r w:rsidR="009A72B8">
        <w:rPr>
          <w:rFonts w:ascii="Book Antiqua" w:hAnsi="Book Antiqua"/>
        </w:rPr>
        <w:t>his</w:t>
      </w:r>
      <w:r w:rsidRPr="00F13D39">
        <w:rPr>
          <w:rFonts w:ascii="Book Antiqua" w:hAnsi="Book Antiqua"/>
        </w:rPr>
        <w:t xml:space="preserve"> family.  This direction applies both to the Appellant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280694">
        <w:rPr>
          <w:rFonts w:ascii="Book Antiqua" w:hAnsi="Book Antiqua" w:cs="Arial"/>
        </w:rPr>
        <w:t xml:space="preserve">  </w:t>
      </w:r>
      <w:r w:rsidR="00280694" w:rsidRPr="00280694">
        <w:rPr>
          <w:rFonts w:ascii="Book Antiqua" w:hAnsi="Book Antiqua" w:cs="Arial"/>
          <w:noProof/>
        </w:rPr>
        <w:drawing>
          <wp:inline distT="0" distB="0" distL="0" distR="0" wp14:anchorId="3B58445B" wp14:editId="44431806">
            <wp:extent cx="139084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r w:rsidR="00280694">
        <w:rPr>
          <w:rFonts w:ascii="Book Antiqua" w:hAnsi="Book Antiqua" w:cs="Arial"/>
        </w:rPr>
        <w:t xml:space="preserve"> </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280694">
        <w:rPr>
          <w:rFonts w:ascii="Book Antiqua" w:hAnsi="Book Antiqua" w:cs="Arial"/>
        </w:rPr>
        <w:t xml:space="preserve"> 16</w:t>
      </w:r>
      <w:r w:rsidR="00280694" w:rsidRPr="00280694">
        <w:rPr>
          <w:rFonts w:ascii="Book Antiqua" w:hAnsi="Book Antiqua" w:cs="Arial"/>
          <w:vertAlign w:val="superscript"/>
        </w:rPr>
        <w:t>th</w:t>
      </w:r>
      <w:r w:rsidR="00280694">
        <w:rPr>
          <w:rFonts w:ascii="Book Antiqua" w:hAnsi="Book Antiqua" w:cs="Arial"/>
        </w:rPr>
        <w:t xml:space="preserve"> August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9A72B8" w:rsidRDefault="00255071" w:rsidP="001F485E">
      <w:pPr>
        <w:tabs>
          <w:tab w:val="left" w:pos="2520"/>
        </w:tabs>
        <w:jc w:val="both"/>
        <w:rPr>
          <w:rFonts w:ascii="Book Antiqua" w:hAnsi="Book Antiqua" w:cs="Arial"/>
          <w:b/>
          <w:u w:val="single"/>
        </w:rPr>
      </w:pPr>
      <w:r>
        <w:rPr>
          <w:rFonts w:ascii="Book Antiqua" w:hAnsi="Book Antiqua" w:cs="Arial"/>
        </w:rPr>
        <w:t>Upper Tribunal Judge M</w:t>
      </w:r>
      <w:r w:rsidR="00055F19">
        <w:rPr>
          <w:rFonts w:ascii="Book Antiqua" w:hAnsi="Book Antiqua" w:cs="Arial"/>
        </w:rPr>
        <w:t>artin</w:t>
      </w:r>
    </w:p>
    <w:sectPr w:rsidR="009A72B8" w:rsidSect="00151AB3">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34E" w:rsidRDefault="00F4734E">
      <w:r>
        <w:separator/>
      </w:r>
    </w:p>
  </w:endnote>
  <w:endnote w:type="continuationSeparator" w:id="0">
    <w:p w:rsidR="00F4734E" w:rsidRDefault="00F47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151AB3" w:rsidRDefault="00CF253F" w:rsidP="00593795">
    <w:pPr>
      <w:pStyle w:val="Footer"/>
      <w:jc w:val="center"/>
      <w:rPr>
        <w:rFonts w:ascii="Book Antiqua" w:hAnsi="Book Antiqua" w:cs="Arial"/>
      </w:rPr>
    </w:pPr>
    <w:r w:rsidRPr="00151AB3">
      <w:rPr>
        <w:rStyle w:val="PageNumber"/>
        <w:rFonts w:ascii="Book Antiqua" w:hAnsi="Book Antiqua" w:cs="Arial"/>
      </w:rPr>
      <w:fldChar w:fldCharType="begin"/>
    </w:r>
    <w:r w:rsidRPr="00151AB3">
      <w:rPr>
        <w:rStyle w:val="PageNumber"/>
        <w:rFonts w:ascii="Book Antiqua" w:hAnsi="Book Antiqua" w:cs="Arial"/>
      </w:rPr>
      <w:instrText xml:space="preserve"> PAGE </w:instrText>
    </w:r>
    <w:r w:rsidRPr="00151AB3">
      <w:rPr>
        <w:rStyle w:val="PageNumber"/>
        <w:rFonts w:ascii="Book Antiqua" w:hAnsi="Book Antiqua" w:cs="Arial"/>
      </w:rPr>
      <w:fldChar w:fldCharType="separate"/>
    </w:r>
    <w:r w:rsidR="00015A40">
      <w:rPr>
        <w:rStyle w:val="PageNumber"/>
        <w:rFonts w:ascii="Book Antiqua" w:hAnsi="Book Antiqua" w:cs="Arial"/>
        <w:noProof/>
      </w:rPr>
      <w:t>2</w:t>
    </w:r>
    <w:r w:rsidRPr="00151AB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34E" w:rsidRDefault="00F4734E">
      <w:r>
        <w:separator/>
      </w:r>
    </w:p>
  </w:footnote>
  <w:footnote w:type="continuationSeparator" w:id="0">
    <w:p w:rsidR="00F4734E" w:rsidRDefault="00F47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9A72B8">
      <w:rPr>
        <w:rFonts w:ascii="Book Antiqua" w:hAnsi="Book Antiqua" w:cs="Arial"/>
        <w:sz w:val="16"/>
        <w:szCs w:val="16"/>
      </w:rPr>
      <w:t xml:space="preserve"> PA/09231/2017</w:t>
    </w:r>
    <w:r w:rsidR="000369F5" w:rsidRPr="00F5664C">
      <w:rPr>
        <w:rFonts w:ascii="Book Antiqua" w:hAnsi="Book Antiqua" w:cs="Arial"/>
        <w:sz w:val="16"/>
        <w:szCs w:val="16"/>
      </w:rPr>
      <w:t xml:space="preserve"> </w:t>
    </w:r>
  </w:p>
  <w:p w:rsidR="00151AB3" w:rsidRPr="00F5664C" w:rsidRDefault="00151AB3"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63E5691-B259-49F0-A07E-DE33053A2B7D}"/>
    <w:docVar w:name="dgnword-eventsink" w:val="315331704"/>
  </w:docVars>
  <w:rsids>
    <w:rsidRoot w:val="009A72B8"/>
    <w:rsid w:val="00000621"/>
    <w:rsid w:val="000036C2"/>
    <w:rsid w:val="00015A40"/>
    <w:rsid w:val="00030C00"/>
    <w:rsid w:val="00033D3D"/>
    <w:rsid w:val="000369F5"/>
    <w:rsid w:val="00047F27"/>
    <w:rsid w:val="00055F19"/>
    <w:rsid w:val="00071A7E"/>
    <w:rsid w:val="000746C0"/>
    <w:rsid w:val="00074D1D"/>
    <w:rsid w:val="00092580"/>
    <w:rsid w:val="000D01C9"/>
    <w:rsid w:val="000D5D94"/>
    <w:rsid w:val="000E0CD7"/>
    <w:rsid w:val="00114F8B"/>
    <w:rsid w:val="001165A7"/>
    <w:rsid w:val="0015044C"/>
    <w:rsid w:val="00151AB3"/>
    <w:rsid w:val="00151BB7"/>
    <w:rsid w:val="00167D3A"/>
    <w:rsid w:val="001A1E2C"/>
    <w:rsid w:val="001F2716"/>
    <w:rsid w:val="001F485E"/>
    <w:rsid w:val="0020133A"/>
    <w:rsid w:val="00207617"/>
    <w:rsid w:val="00255071"/>
    <w:rsid w:val="00280694"/>
    <w:rsid w:val="00283659"/>
    <w:rsid w:val="00286D2A"/>
    <w:rsid w:val="002C4E73"/>
    <w:rsid w:val="002D68BF"/>
    <w:rsid w:val="00336CBF"/>
    <w:rsid w:val="003546C8"/>
    <w:rsid w:val="003A4AD1"/>
    <w:rsid w:val="003A7CF2"/>
    <w:rsid w:val="003C5CE5"/>
    <w:rsid w:val="003E267B"/>
    <w:rsid w:val="003E7CD1"/>
    <w:rsid w:val="00402B9E"/>
    <w:rsid w:val="00423932"/>
    <w:rsid w:val="004249CB"/>
    <w:rsid w:val="0044127D"/>
    <w:rsid w:val="004448DB"/>
    <w:rsid w:val="00446C9A"/>
    <w:rsid w:val="00477193"/>
    <w:rsid w:val="004A1848"/>
    <w:rsid w:val="004A295E"/>
    <w:rsid w:val="004E46F3"/>
    <w:rsid w:val="00507FEC"/>
    <w:rsid w:val="00510F0E"/>
    <w:rsid w:val="005479E1"/>
    <w:rsid w:val="005570FD"/>
    <w:rsid w:val="005575EA"/>
    <w:rsid w:val="0057790C"/>
    <w:rsid w:val="00593795"/>
    <w:rsid w:val="005A75FF"/>
    <w:rsid w:val="005B7789"/>
    <w:rsid w:val="005F34DF"/>
    <w:rsid w:val="005F7DB4"/>
    <w:rsid w:val="0065791C"/>
    <w:rsid w:val="00690B8A"/>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91031"/>
    <w:rsid w:val="007912AD"/>
    <w:rsid w:val="00796715"/>
    <w:rsid w:val="007A1F28"/>
    <w:rsid w:val="007B0824"/>
    <w:rsid w:val="007C0CD9"/>
    <w:rsid w:val="008303B8"/>
    <w:rsid w:val="00833DCE"/>
    <w:rsid w:val="00842418"/>
    <w:rsid w:val="008431BE"/>
    <w:rsid w:val="008634DB"/>
    <w:rsid w:val="00871D34"/>
    <w:rsid w:val="00887842"/>
    <w:rsid w:val="008901DD"/>
    <w:rsid w:val="008B270C"/>
    <w:rsid w:val="008C3D3D"/>
    <w:rsid w:val="008D4131"/>
    <w:rsid w:val="008F1932"/>
    <w:rsid w:val="008F294D"/>
    <w:rsid w:val="009062A3"/>
    <w:rsid w:val="00921062"/>
    <w:rsid w:val="0092618D"/>
    <w:rsid w:val="0093083E"/>
    <w:rsid w:val="009453B3"/>
    <w:rsid w:val="00966ECF"/>
    <w:rsid w:val="009727A3"/>
    <w:rsid w:val="00987774"/>
    <w:rsid w:val="009A11E8"/>
    <w:rsid w:val="009A1ED5"/>
    <w:rsid w:val="009A72B8"/>
    <w:rsid w:val="009E4E62"/>
    <w:rsid w:val="009F5220"/>
    <w:rsid w:val="009F7C4D"/>
    <w:rsid w:val="00A15234"/>
    <w:rsid w:val="00A201AB"/>
    <w:rsid w:val="00A31C8B"/>
    <w:rsid w:val="00A73B50"/>
    <w:rsid w:val="00A75965"/>
    <w:rsid w:val="00A81EAB"/>
    <w:rsid w:val="00A845DC"/>
    <w:rsid w:val="00A97AEE"/>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929D9"/>
    <w:rsid w:val="00B96FA0"/>
    <w:rsid w:val="00BD4196"/>
    <w:rsid w:val="00BE31CE"/>
    <w:rsid w:val="00BF22CA"/>
    <w:rsid w:val="00C0289F"/>
    <w:rsid w:val="00C26032"/>
    <w:rsid w:val="00C265B0"/>
    <w:rsid w:val="00C321B5"/>
    <w:rsid w:val="00C345E1"/>
    <w:rsid w:val="00C34960"/>
    <w:rsid w:val="00C63AEA"/>
    <w:rsid w:val="00C977BA"/>
    <w:rsid w:val="00CB6E35"/>
    <w:rsid w:val="00CE1A46"/>
    <w:rsid w:val="00CE26B2"/>
    <w:rsid w:val="00CF253F"/>
    <w:rsid w:val="00CF56B4"/>
    <w:rsid w:val="00D20F09"/>
    <w:rsid w:val="00D22636"/>
    <w:rsid w:val="00D40FD9"/>
    <w:rsid w:val="00D45764"/>
    <w:rsid w:val="00D45851"/>
    <w:rsid w:val="00D53769"/>
    <w:rsid w:val="00D65912"/>
    <w:rsid w:val="00D85C13"/>
    <w:rsid w:val="00D91BE3"/>
    <w:rsid w:val="00D94AFC"/>
    <w:rsid w:val="00DB70AE"/>
    <w:rsid w:val="00DB7231"/>
    <w:rsid w:val="00DD5071"/>
    <w:rsid w:val="00DD5C39"/>
    <w:rsid w:val="00DE26AF"/>
    <w:rsid w:val="00DE7DB7"/>
    <w:rsid w:val="00E00A0A"/>
    <w:rsid w:val="00E07F57"/>
    <w:rsid w:val="00E1040E"/>
    <w:rsid w:val="00E46AEB"/>
    <w:rsid w:val="00E50BCE"/>
    <w:rsid w:val="00E61292"/>
    <w:rsid w:val="00E66BEB"/>
    <w:rsid w:val="00E76309"/>
    <w:rsid w:val="00E77C4D"/>
    <w:rsid w:val="00E81D01"/>
    <w:rsid w:val="00EE45D8"/>
    <w:rsid w:val="00F004CD"/>
    <w:rsid w:val="00F13D39"/>
    <w:rsid w:val="00F22A22"/>
    <w:rsid w:val="00F22EDA"/>
    <w:rsid w:val="00F3224D"/>
    <w:rsid w:val="00F33E0E"/>
    <w:rsid w:val="00F4734E"/>
    <w:rsid w:val="00F509D7"/>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B182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2164</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2018-09-10T12:40:00Z</dcterms:created>
  <dcterms:modified xsi:type="dcterms:W3CDTF">2018-09-10T12:40:00Z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