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DF2876" w:rsidP="00C321B5">
      <w:pPr>
        <w:jc w:val="center"/>
        <w:rPr>
          <w:rFonts w:ascii="Book Antiqua" w:hAnsi="Book Antiqua" w:cs="Arial"/>
          <w:sz w:val="16"/>
          <w:szCs w:val="16"/>
        </w:rPr>
      </w:pPr>
      <w:r>
        <w:rPr>
          <w:noProof/>
        </w:rPr>
        <w:drawing>
          <wp:inline distT="0" distB="0" distL="0" distR="0">
            <wp:extent cx="1047115"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115" cy="906145"/>
                    </a:xfrm>
                    <a:prstGeom prst="rect">
                      <a:avLst/>
                    </a:prstGeom>
                    <a:noFill/>
                    <a:ln>
                      <a:noFill/>
                    </a:ln>
                  </pic:spPr>
                </pic:pic>
              </a:graphicData>
            </a:graphic>
          </wp:inline>
        </w:drawing>
      </w:r>
    </w:p>
    <w:p w:rsidR="00D94AFC" w:rsidRPr="00F5664C" w:rsidRDefault="00D94AFC">
      <w:pPr>
        <w:rPr>
          <w:rFonts w:ascii="Book Antiqua" w:hAnsi="Book Antiqua" w:cs="Arial"/>
        </w:rPr>
      </w:pPr>
    </w:p>
    <w:p w:rsidR="00C321B5" w:rsidRPr="00F5664C" w:rsidRDefault="001A1E2C" w:rsidP="00463ECF">
      <w:pPr>
        <w:tabs>
          <w:tab w:val="right" w:pos="9639"/>
        </w:tabs>
        <w:outlineLvl w:val="0"/>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3042C7" w:rsidRPr="003042C7">
        <w:rPr>
          <w:rFonts w:ascii="Book Antiqua" w:hAnsi="Book Antiqua" w:cs="Arial"/>
          <w:caps/>
        </w:rPr>
        <w:t>PA/09358/2017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463ECF">
      <w:pPr>
        <w:jc w:val="center"/>
        <w:outlineLvl w:val="0"/>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529"/>
        <w:gridCol w:w="4479"/>
      </w:tblGrid>
      <w:tr w:rsidR="00D22636" w:rsidRPr="00F5664C" w:rsidTr="00871C31">
        <w:tc>
          <w:tcPr>
            <w:tcW w:w="5529"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3042C7">
              <w:rPr>
                <w:rFonts w:ascii="Book Antiqua" w:hAnsi="Book Antiqua" w:cs="Arial"/>
                <w:b/>
              </w:rPr>
              <w:t xml:space="preserve">Field House </w:t>
            </w:r>
          </w:p>
        </w:tc>
        <w:tc>
          <w:tcPr>
            <w:tcW w:w="4479" w:type="dxa"/>
          </w:tcPr>
          <w:p w:rsidR="00D22636" w:rsidRPr="00F5664C" w:rsidRDefault="00463ECF"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w:t>
            </w:r>
            <w:r w:rsidR="00871C31" w:rsidRPr="00871C31">
              <w:rPr>
                <w:rFonts w:ascii="Book Antiqua" w:hAnsi="Book Antiqua" w:cs="Arial"/>
                <w:b/>
              </w:rPr>
              <w:t>Promulgated</w:t>
            </w:r>
          </w:p>
        </w:tc>
      </w:tr>
      <w:tr w:rsidR="00D22636" w:rsidRPr="00F5664C" w:rsidTr="00871C31">
        <w:tc>
          <w:tcPr>
            <w:tcW w:w="5529"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3042C7">
              <w:rPr>
                <w:rFonts w:ascii="Book Antiqua" w:hAnsi="Book Antiqua" w:cs="Arial"/>
                <w:b/>
              </w:rPr>
              <w:t>17</w:t>
            </w:r>
            <w:r w:rsidR="00871C31" w:rsidRPr="00871C31">
              <w:rPr>
                <w:rFonts w:ascii="Book Antiqua" w:hAnsi="Book Antiqua" w:cs="Arial"/>
                <w:b/>
                <w:vertAlign w:val="superscript"/>
              </w:rPr>
              <w:t>th</w:t>
            </w:r>
            <w:r w:rsidR="00871C31">
              <w:rPr>
                <w:rFonts w:ascii="Book Antiqua" w:hAnsi="Book Antiqua" w:cs="Arial"/>
                <w:b/>
              </w:rPr>
              <w:t xml:space="preserve"> </w:t>
            </w:r>
            <w:r w:rsidR="003042C7">
              <w:rPr>
                <w:rFonts w:ascii="Book Antiqua" w:hAnsi="Book Antiqua" w:cs="Arial"/>
                <w:b/>
              </w:rPr>
              <w:t xml:space="preserve">September 2018 </w:t>
            </w:r>
          </w:p>
        </w:tc>
        <w:tc>
          <w:tcPr>
            <w:tcW w:w="4479" w:type="dxa"/>
          </w:tcPr>
          <w:p w:rsidR="00D22636" w:rsidRPr="00F5664C" w:rsidRDefault="00871C31" w:rsidP="004A1848">
            <w:pPr>
              <w:jc w:val="both"/>
              <w:rPr>
                <w:rFonts w:ascii="Book Antiqua" w:hAnsi="Book Antiqua" w:cs="Arial"/>
                <w:b/>
              </w:rPr>
            </w:pPr>
            <w:r>
              <w:rPr>
                <w:rFonts w:ascii="Book Antiqua" w:hAnsi="Book Antiqua" w:cs="Arial"/>
                <w:b/>
              </w:rPr>
              <w:t>On 19</w:t>
            </w:r>
            <w:r w:rsidRPr="00871C31">
              <w:rPr>
                <w:rFonts w:ascii="Book Antiqua" w:hAnsi="Book Antiqua" w:cs="Arial"/>
                <w:b/>
                <w:vertAlign w:val="superscript"/>
              </w:rPr>
              <w:t>th</w:t>
            </w:r>
            <w:r>
              <w:rPr>
                <w:rFonts w:ascii="Book Antiqua" w:hAnsi="Book Antiqua" w:cs="Arial"/>
                <w:b/>
              </w:rPr>
              <w:t xml:space="preserve"> September 2018</w:t>
            </w:r>
          </w:p>
        </w:tc>
      </w:tr>
      <w:tr w:rsidR="00D22636" w:rsidRPr="00F5664C" w:rsidTr="00871C31">
        <w:tc>
          <w:tcPr>
            <w:tcW w:w="5529" w:type="dxa"/>
          </w:tcPr>
          <w:p w:rsidR="00D22636" w:rsidRPr="00F5664C" w:rsidRDefault="00D22636" w:rsidP="004A1848">
            <w:pPr>
              <w:jc w:val="both"/>
              <w:rPr>
                <w:rFonts w:ascii="Book Antiqua" w:hAnsi="Book Antiqua" w:cs="Arial"/>
                <w:b/>
              </w:rPr>
            </w:pPr>
          </w:p>
        </w:tc>
        <w:tc>
          <w:tcPr>
            <w:tcW w:w="4479"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463ECF">
      <w:pPr>
        <w:jc w:val="center"/>
        <w:outlineLvl w:val="0"/>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12291" w:rsidP="00463ECF">
      <w:pPr>
        <w:jc w:val="center"/>
        <w:outlineLvl w:val="0"/>
        <w:rPr>
          <w:rFonts w:ascii="Book Antiqua" w:hAnsi="Book Antiqua" w:cs="Arial"/>
          <w:b/>
        </w:rPr>
      </w:pPr>
      <w:r>
        <w:rPr>
          <w:rFonts w:ascii="Book Antiqua" w:hAnsi="Book Antiqua" w:cs="Arial"/>
          <w:b/>
        </w:rPr>
        <w:t xml:space="preserve">DEPUTY </w:t>
      </w:r>
      <w:r w:rsidR="00BB7873">
        <w:rPr>
          <w:rFonts w:ascii="Book Antiqua" w:hAnsi="Book Antiqua" w:cs="Arial"/>
          <w:b/>
        </w:rPr>
        <w:t>UPPER TRIBUNAL</w:t>
      </w:r>
      <w:r w:rsidR="00B16F58" w:rsidRPr="00F5664C">
        <w:rPr>
          <w:rFonts w:ascii="Book Antiqua" w:hAnsi="Book Antiqua" w:cs="Arial"/>
          <w:b/>
        </w:rPr>
        <w:t xml:space="preserve"> JUDGE </w:t>
      </w:r>
      <w:r w:rsidR="00F60D99">
        <w:rPr>
          <w:rFonts w:ascii="Book Antiqua" w:hAnsi="Book Antiqua" w:cs="Arial"/>
          <w:b/>
        </w:rPr>
        <w:t>JORDAN</w:t>
      </w:r>
    </w:p>
    <w:p w:rsidR="001A1E2C" w:rsidRDefault="001A1E2C" w:rsidP="00A15234">
      <w:pPr>
        <w:jc w:val="center"/>
        <w:rPr>
          <w:rFonts w:ascii="Book Antiqua" w:hAnsi="Book Antiqua" w:cs="Arial"/>
          <w:b/>
        </w:rPr>
      </w:pPr>
    </w:p>
    <w:p w:rsidR="003042C7" w:rsidRDefault="003042C7" w:rsidP="00463ECF">
      <w:pPr>
        <w:jc w:val="center"/>
        <w:outlineLvl w:val="0"/>
        <w:rPr>
          <w:rFonts w:ascii="Book Antiqua" w:hAnsi="Book Antiqua" w:cs="Arial"/>
          <w:b/>
        </w:rPr>
      </w:pPr>
    </w:p>
    <w:p w:rsidR="00A845DC" w:rsidRPr="00F5664C" w:rsidRDefault="00A845DC" w:rsidP="00463ECF">
      <w:pPr>
        <w:jc w:val="center"/>
        <w:outlineLvl w:val="0"/>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3042C7" w:rsidP="00463ECF">
      <w:pPr>
        <w:jc w:val="center"/>
        <w:outlineLvl w:val="0"/>
        <w:rPr>
          <w:rFonts w:ascii="Book Antiqua" w:hAnsi="Book Antiqua" w:cs="Arial"/>
          <w:b/>
          <w:caps/>
        </w:rPr>
      </w:pPr>
      <w:r>
        <w:rPr>
          <w:rFonts w:ascii="Book Antiqua" w:hAnsi="Book Antiqua" w:cs="Arial"/>
          <w:b/>
          <w:caps/>
        </w:rPr>
        <w:t>D S P</w:t>
      </w:r>
    </w:p>
    <w:p w:rsidR="00463ECF" w:rsidRDefault="00463ECF" w:rsidP="00463ECF">
      <w:pPr>
        <w:jc w:val="center"/>
        <w:rPr>
          <w:rFonts w:ascii="Book Antiqua" w:hAnsi="Book Antiqua" w:cs="Arial"/>
          <w:b/>
          <w:caps/>
        </w:rPr>
      </w:pPr>
      <w:r w:rsidRPr="00463ECF">
        <w:rPr>
          <w:rFonts w:ascii="Book Antiqua" w:hAnsi="Book Antiqua" w:cs="Arial"/>
          <w:b/>
          <w:caps/>
        </w:rPr>
        <w:t xml:space="preserve">(ANONYMITY DIRECTION </w:t>
      </w:r>
      <w:r w:rsidR="003042C7">
        <w:rPr>
          <w:rFonts w:ascii="Book Antiqua" w:hAnsi="Book Antiqua" w:cs="Arial"/>
          <w:b/>
          <w:caps/>
        </w:rPr>
        <w:t>made</w:t>
      </w:r>
      <w:r w:rsidRPr="00463ECF">
        <w:rPr>
          <w:rFonts w:ascii="Book Antiqua" w:hAnsi="Book Antiqua" w:cs="Arial"/>
          <w:b/>
          <w:caps/>
        </w:rPr>
        <w:t>)</w:t>
      </w:r>
    </w:p>
    <w:p w:rsidR="00704B61" w:rsidRPr="00F5664C" w:rsidRDefault="00704B61" w:rsidP="00463ECF">
      <w:pPr>
        <w:jc w:val="right"/>
        <w:outlineLvl w:val="0"/>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463ECF">
      <w:pPr>
        <w:jc w:val="center"/>
        <w:outlineLvl w:val="0"/>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704B61">
      <w:pPr>
        <w:jc w:val="center"/>
        <w:rPr>
          <w:rFonts w:ascii="Book Antiqua" w:hAnsi="Book Antiqua" w:cs="Arial"/>
          <w:b/>
        </w:rPr>
      </w:pPr>
    </w:p>
    <w:p w:rsidR="00DD5071" w:rsidRPr="00F5664C" w:rsidRDefault="00DD5071" w:rsidP="00463ECF">
      <w:pPr>
        <w:jc w:val="right"/>
        <w:outlineLvl w:val="0"/>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463ECF">
      <w:pPr>
        <w:outlineLvl w:val="0"/>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463ECF">
      <w:pPr>
        <w:tabs>
          <w:tab w:val="left" w:pos="2520"/>
        </w:tabs>
        <w:outlineLvl w:val="0"/>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3042C7">
        <w:rPr>
          <w:rFonts w:ascii="Book Antiqua" w:hAnsi="Book Antiqua" w:cs="Arial"/>
        </w:rPr>
        <w:t xml:space="preserve">Ms D Revill, Counsel instructed by MTC &amp; Co Solicitors </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3042C7">
        <w:rPr>
          <w:rFonts w:ascii="Book Antiqua" w:hAnsi="Book Antiqua" w:cs="Arial"/>
        </w:rPr>
        <w:t xml:space="preserve">Ms J Isherwood, 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Default="00402B9E" w:rsidP="00463ECF">
      <w:pPr>
        <w:tabs>
          <w:tab w:val="left" w:pos="2520"/>
        </w:tabs>
        <w:jc w:val="center"/>
        <w:outlineLvl w:val="0"/>
        <w:rPr>
          <w:rFonts w:ascii="Book Antiqua" w:hAnsi="Book Antiqua" w:cs="Arial"/>
          <w:b/>
          <w:u w:val="single"/>
        </w:rPr>
      </w:pPr>
      <w:r w:rsidRPr="00F5664C">
        <w:rPr>
          <w:rFonts w:ascii="Book Antiqua" w:hAnsi="Book Antiqua" w:cs="Arial"/>
          <w:b/>
          <w:u w:val="single"/>
        </w:rPr>
        <w:t>REASONS</w:t>
      </w:r>
      <w:r w:rsidR="00012291">
        <w:rPr>
          <w:rFonts w:ascii="Book Antiqua" w:hAnsi="Book Antiqua" w:cs="Arial"/>
          <w:b/>
          <w:u w:val="single"/>
        </w:rPr>
        <w:t xml:space="preserve"> FOR FINDING AN ERROR OF LAW</w:t>
      </w:r>
    </w:p>
    <w:p w:rsidR="00463ECF" w:rsidRPr="00F5664C" w:rsidRDefault="00463ECF" w:rsidP="00402B9E">
      <w:pPr>
        <w:tabs>
          <w:tab w:val="left" w:pos="2520"/>
        </w:tabs>
        <w:jc w:val="center"/>
        <w:rPr>
          <w:rFonts w:ascii="Book Antiqua" w:hAnsi="Book Antiqua" w:cs="Arial"/>
        </w:rPr>
      </w:pPr>
    </w:p>
    <w:p w:rsidR="00022030" w:rsidRDefault="00022030" w:rsidP="0057609C">
      <w:pPr>
        <w:numPr>
          <w:ilvl w:val="0"/>
          <w:numId w:val="3"/>
        </w:numPr>
        <w:spacing w:before="240"/>
        <w:jc w:val="both"/>
        <w:rPr>
          <w:rFonts w:ascii="Book Antiqua" w:hAnsi="Book Antiqua" w:cs="Arial"/>
        </w:rPr>
      </w:pPr>
      <w:r>
        <w:rPr>
          <w:rFonts w:ascii="Book Antiqua" w:hAnsi="Book Antiqua" w:cs="Arial"/>
        </w:rPr>
        <w:t xml:space="preserve">The appellant is a Sinhalese citizen of Sri Lanka who appeals the decision of First-tier Tribunal Judge Coutts promulgated on 29 May 2018 dismissing his claim for asylum and on humanitarian grounds and on human rights grounds.  </w:t>
      </w:r>
    </w:p>
    <w:p w:rsidR="0057609C" w:rsidRDefault="00022030" w:rsidP="0057609C">
      <w:pPr>
        <w:numPr>
          <w:ilvl w:val="0"/>
          <w:numId w:val="3"/>
        </w:numPr>
        <w:spacing w:before="240"/>
        <w:jc w:val="both"/>
        <w:rPr>
          <w:rFonts w:ascii="Book Antiqua" w:hAnsi="Book Antiqua" w:cs="Arial"/>
        </w:rPr>
      </w:pPr>
      <w:r>
        <w:rPr>
          <w:rFonts w:ascii="Book Antiqua" w:hAnsi="Book Antiqua" w:cs="Arial"/>
        </w:rPr>
        <w:lastRenderedPageBreak/>
        <w:t xml:space="preserve">There are four grounds of appeal.  I need only deal with two of those in detail.  It is first said that there was a medical legal report from Dr Obuaya, a consultant psychiatrist, in </w:t>
      </w:r>
      <w:r w:rsidR="00854857">
        <w:rPr>
          <w:rFonts w:ascii="Book Antiqua" w:hAnsi="Book Antiqua" w:cs="Arial"/>
        </w:rPr>
        <w:t>which</w:t>
      </w:r>
      <w:r>
        <w:rPr>
          <w:rFonts w:ascii="Book Antiqua" w:hAnsi="Book Antiqua" w:cs="Arial"/>
        </w:rPr>
        <w:t xml:space="preserve"> he found the appellant fulfilled the criteria for a severe depressive illness.  I have seen the report of that Dr Obuaya, and in paragraphs 33 to 36 he makes a number of findings in relation to the mental health of the appellant.  He said that his </w:t>
      </w:r>
      <w:r w:rsidR="00854857">
        <w:rPr>
          <w:rFonts w:ascii="Book Antiqua" w:hAnsi="Book Antiqua" w:cs="Arial"/>
        </w:rPr>
        <w:t>clinical</w:t>
      </w:r>
      <w:r>
        <w:rPr>
          <w:rFonts w:ascii="Book Antiqua" w:hAnsi="Book Antiqua" w:cs="Arial"/>
        </w:rPr>
        <w:t xml:space="preserve"> </w:t>
      </w:r>
      <w:r w:rsidR="00012291">
        <w:rPr>
          <w:rFonts w:ascii="Book Antiqua" w:hAnsi="Book Antiqua" w:cs="Arial"/>
        </w:rPr>
        <w:t>de</w:t>
      </w:r>
      <w:r>
        <w:rPr>
          <w:rFonts w:ascii="Book Antiqua" w:hAnsi="Book Antiqua" w:cs="Arial"/>
        </w:rPr>
        <w:t xml:space="preserve">pression fulfilled the </w:t>
      </w:r>
      <w:r w:rsidR="00854857">
        <w:rPr>
          <w:rFonts w:ascii="Book Antiqua" w:hAnsi="Book Antiqua" w:cs="Arial"/>
        </w:rPr>
        <w:t>criteria</w:t>
      </w:r>
      <w:r>
        <w:rPr>
          <w:rFonts w:ascii="Book Antiqua" w:hAnsi="Book Antiqua" w:cs="Arial"/>
        </w:rPr>
        <w:t xml:space="preserve"> for a severe depressive episode with</w:t>
      </w:r>
      <w:r w:rsidR="00012291">
        <w:rPr>
          <w:rFonts w:ascii="Book Antiqua" w:hAnsi="Book Antiqua" w:cs="Arial"/>
        </w:rPr>
        <w:t>out</w:t>
      </w:r>
      <w:r>
        <w:rPr>
          <w:rFonts w:ascii="Book Antiqua" w:hAnsi="Book Antiqua" w:cs="Arial"/>
        </w:rPr>
        <w:t xml:space="preserve"> psychotic features.  However, the practitioner was at pains to point out that the causes of depression may come from a variety of sources, and indeed </w:t>
      </w:r>
      <w:r w:rsidR="00012291">
        <w:rPr>
          <w:rFonts w:ascii="Book Antiqua" w:hAnsi="Book Antiqua" w:cs="Arial"/>
        </w:rPr>
        <w:t xml:space="preserve">may </w:t>
      </w:r>
      <w:r>
        <w:rPr>
          <w:rFonts w:ascii="Book Antiqua" w:hAnsi="Book Antiqua" w:cs="Arial"/>
        </w:rPr>
        <w:t xml:space="preserve">include a genetic predisposition, but that life events </w:t>
      </w:r>
      <w:r w:rsidR="00854857">
        <w:rPr>
          <w:rFonts w:ascii="Book Antiqua" w:hAnsi="Book Antiqua" w:cs="Arial"/>
        </w:rPr>
        <w:t>could</w:t>
      </w:r>
      <w:r>
        <w:rPr>
          <w:rFonts w:ascii="Book Antiqua" w:hAnsi="Book Antiqua" w:cs="Arial"/>
        </w:rPr>
        <w:t xml:space="preserve"> precipitate or perpetuate depressive episodes.  In that </w:t>
      </w:r>
      <w:r w:rsidR="00854857">
        <w:rPr>
          <w:rFonts w:ascii="Book Antiqua" w:hAnsi="Book Antiqua" w:cs="Arial"/>
        </w:rPr>
        <w:t>context</w:t>
      </w:r>
      <w:r>
        <w:rPr>
          <w:rFonts w:ascii="Book Antiqua" w:hAnsi="Book Antiqua" w:cs="Arial"/>
        </w:rPr>
        <w:t xml:space="preserve"> he considered the appellant’s </w:t>
      </w:r>
      <w:r w:rsidR="00854857">
        <w:rPr>
          <w:rFonts w:ascii="Book Antiqua" w:hAnsi="Book Antiqua" w:cs="Arial"/>
        </w:rPr>
        <w:t>description</w:t>
      </w:r>
      <w:r>
        <w:rPr>
          <w:rFonts w:ascii="Book Antiqua" w:hAnsi="Book Antiqua" w:cs="Arial"/>
        </w:rPr>
        <w:t xml:space="preserve"> of a traumatic detention in Sri Lanka as well as the ongoing threat from the authorities there and the fear of there being a risk to him were he to be removed to Sri Lanka.  He considered that those factors were part of the onse</w:t>
      </w:r>
      <w:r w:rsidR="00012291">
        <w:rPr>
          <w:rFonts w:ascii="Book Antiqua" w:hAnsi="Book Antiqua" w:cs="Arial"/>
        </w:rPr>
        <w:t>t of the appellant’s depression.  I</w:t>
      </w:r>
      <w:r>
        <w:rPr>
          <w:rFonts w:ascii="Book Antiqua" w:hAnsi="Book Antiqua" w:cs="Arial"/>
        </w:rPr>
        <w:t>n addition</w:t>
      </w:r>
      <w:r w:rsidR="00012291">
        <w:rPr>
          <w:rFonts w:ascii="Book Antiqua" w:hAnsi="Book Antiqua" w:cs="Arial"/>
        </w:rPr>
        <w:t>,</w:t>
      </w:r>
      <w:r>
        <w:rPr>
          <w:rFonts w:ascii="Book Antiqua" w:hAnsi="Book Antiqua" w:cs="Arial"/>
        </w:rPr>
        <w:t xml:space="preserve"> he considered the possibility of other factors</w:t>
      </w:r>
      <w:r w:rsidR="00012291" w:rsidRPr="00012291">
        <w:rPr>
          <w:rFonts w:ascii="Book Antiqua" w:hAnsi="Book Antiqua" w:cs="Arial"/>
        </w:rPr>
        <w:t xml:space="preserve"> </w:t>
      </w:r>
      <w:r w:rsidR="00012291">
        <w:rPr>
          <w:rFonts w:ascii="Book Antiqua" w:hAnsi="Book Antiqua" w:cs="Arial"/>
        </w:rPr>
        <w:t>which could have caused his symptoms</w:t>
      </w:r>
      <w:r>
        <w:rPr>
          <w:rFonts w:ascii="Book Antiqua" w:hAnsi="Book Antiqua" w:cs="Arial"/>
        </w:rPr>
        <w:t>, such as the separation from his country and family, and indeed</w:t>
      </w:r>
      <w:r w:rsidR="00012291">
        <w:rPr>
          <w:rFonts w:ascii="Book Antiqua" w:hAnsi="Book Antiqua" w:cs="Arial"/>
        </w:rPr>
        <w:t>,</w:t>
      </w:r>
      <w:r>
        <w:rPr>
          <w:rFonts w:ascii="Book Antiqua" w:hAnsi="Book Antiqua" w:cs="Arial"/>
        </w:rPr>
        <w:t xml:space="preserve"> the uncertainty of his own immigration status in the United Kingdom.  All of these factors may have contributed to the onset of depression, nevertheless it was his view that the traumatic detention in Sri Lanka played a greater role in the causation of his depressive episode than other factors.  </w:t>
      </w:r>
    </w:p>
    <w:p w:rsidR="00022030" w:rsidRDefault="00022030" w:rsidP="0057609C">
      <w:pPr>
        <w:numPr>
          <w:ilvl w:val="0"/>
          <w:numId w:val="3"/>
        </w:numPr>
        <w:spacing w:before="240"/>
        <w:jc w:val="both"/>
        <w:rPr>
          <w:rFonts w:ascii="Book Antiqua" w:hAnsi="Book Antiqua" w:cs="Arial"/>
        </w:rPr>
      </w:pPr>
      <w:r>
        <w:rPr>
          <w:rFonts w:ascii="Book Antiqua" w:hAnsi="Book Antiqua" w:cs="Arial"/>
        </w:rPr>
        <w:t>The judge made reference to the medical report in his decision.  He says in paragraph 15 that he accepted as a result of the report that the appellant was a vulnerable witness and he relie</w:t>
      </w:r>
      <w:r w:rsidR="00012291">
        <w:rPr>
          <w:rFonts w:ascii="Book Antiqua" w:hAnsi="Book Antiqua" w:cs="Arial"/>
        </w:rPr>
        <w:t>d</w:t>
      </w:r>
      <w:r>
        <w:rPr>
          <w:rFonts w:ascii="Book Antiqua" w:hAnsi="Book Antiqua" w:cs="Arial"/>
        </w:rPr>
        <w:t xml:space="preserve"> upon the medical evidence </w:t>
      </w:r>
      <w:r w:rsidR="00012291">
        <w:rPr>
          <w:rFonts w:ascii="Book Antiqua" w:hAnsi="Book Antiqua" w:cs="Arial"/>
        </w:rPr>
        <w:t>(</w:t>
      </w:r>
      <w:r>
        <w:rPr>
          <w:rFonts w:ascii="Book Antiqua" w:hAnsi="Book Antiqua" w:cs="Arial"/>
        </w:rPr>
        <w:t xml:space="preserve">which he </w:t>
      </w:r>
      <w:r w:rsidR="00012291">
        <w:rPr>
          <w:rFonts w:ascii="Book Antiqua" w:hAnsi="Book Antiqua" w:cs="Arial"/>
        </w:rPr>
        <w:t>expressly</w:t>
      </w:r>
      <w:r>
        <w:rPr>
          <w:rFonts w:ascii="Book Antiqua" w:hAnsi="Book Antiqua" w:cs="Arial"/>
        </w:rPr>
        <w:t xml:space="preserve"> accepted</w:t>
      </w:r>
      <w:r w:rsidR="00012291">
        <w:rPr>
          <w:rFonts w:ascii="Book Antiqua" w:hAnsi="Book Antiqua" w:cs="Arial"/>
        </w:rPr>
        <w:t>)</w:t>
      </w:r>
      <w:r>
        <w:rPr>
          <w:rFonts w:ascii="Book Antiqua" w:hAnsi="Book Antiqua" w:cs="Arial"/>
        </w:rPr>
        <w:t xml:space="preserve"> as part of his consideration of the Article 8 claim.  However, what he does not do is to put that into play when considering the Refugee Convention claim and the issue of credibility.  It is arguable</w:t>
      </w:r>
      <w:r w:rsidR="00012291">
        <w:rPr>
          <w:rFonts w:ascii="Book Antiqua" w:hAnsi="Book Antiqua" w:cs="Arial"/>
        </w:rPr>
        <w:t>,</w:t>
      </w:r>
      <w:r>
        <w:rPr>
          <w:rFonts w:ascii="Book Antiqua" w:hAnsi="Book Antiqua" w:cs="Arial"/>
        </w:rPr>
        <w:t xml:space="preserve"> </w:t>
      </w:r>
      <w:r w:rsidR="003157DC">
        <w:rPr>
          <w:rFonts w:ascii="Book Antiqua" w:hAnsi="Book Antiqua" w:cs="Arial"/>
        </w:rPr>
        <w:t>if no more than that</w:t>
      </w:r>
      <w:r w:rsidR="00012291">
        <w:rPr>
          <w:rFonts w:ascii="Book Antiqua" w:hAnsi="Book Antiqua" w:cs="Arial"/>
        </w:rPr>
        <w:t>,</w:t>
      </w:r>
      <w:r w:rsidR="003157DC">
        <w:rPr>
          <w:rFonts w:ascii="Book Antiqua" w:hAnsi="Book Antiqua" w:cs="Arial"/>
        </w:rPr>
        <w:t xml:space="preserve"> that the depressive illness might have a probative effect upon his claim</w:t>
      </w:r>
      <w:r w:rsidR="00012291">
        <w:rPr>
          <w:rFonts w:ascii="Book Antiqua" w:hAnsi="Book Antiqua" w:cs="Arial"/>
        </w:rPr>
        <w:t>.  T</w:t>
      </w:r>
      <w:r w:rsidR="003157DC">
        <w:rPr>
          <w:rFonts w:ascii="Book Antiqua" w:hAnsi="Book Antiqua" w:cs="Arial"/>
        </w:rPr>
        <w:t>he judge did not factor that in</w:t>
      </w:r>
      <w:r w:rsidR="00012291">
        <w:rPr>
          <w:rFonts w:ascii="Book Antiqua" w:hAnsi="Book Antiqua" w:cs="Arial"/>
        </w:rPr>
        <w:t>to his assessment.</w:t>
      </w:r>
      <w:r w:rsidR="003157DC">
        <w:rPr>
          <w:rFonts w:ascii="Book Antiqua" w:hAnsi="Book Antiqua" w:cs="Arial"/>
        </w:rPr>
        <w:t xml:space="preserve">  </w:t>
      </w:r>
    </w:p>
    <w:p w:rsidR="00454C9F" w:rsidRDefault="003157DC" w:rsidP="003157DC">
      <w:pPr>
        <w:numPr>
          <w:ilvl w:val="0"/>
          <w:numId w:val="3"/>
        </w:numPr>
        <w:spacing w:before="240"/>
        <w:jc w:val="both"/>
        <w:rPr>
          <w:rFonts w:ascii="Book Antiqua" w:hAnsi="Book Antiqua" w:cs="Arial"/>
        </w:rPr>
      </w:pPr>
      <w:r>
        <w:rPr>
          <w:rFonts w:ascii="Book Antiqua" w:hAnsi="Book Antiqua" w:cs="Arial"/>
        </w:rPr>
        <w:t xml:space="preserve">The second </w:t>
      </w:r>
      <w:r w:rsidR="00854857">
        <w:rPr>
          <w:rFonts w:ascii="Book Antiqua" w:hAnsi="Book Antiqua" w:cs="Arial"/>
        </w:rPr>
        <w:t>ground</w:t>
      </w:r>
      <w:r>
        <w:rPr>
          <w:rFonts w:ascii="Book Antiqua" w:hAnsi="Book Antiqua" w:cs="Arial"/>
        </w:rPr>
        <w:t xml:space="preserve"> upon which I can safely re</w:t>
      </w:r>
      <w:r w:rsidR="00454C9F">
        <w:rPr>
          <w:rFonts w:ascii="Book Antiqua" w:hAnsi="Book Antiqua" w:cs="Arial"/>
        </w:rPr>
        <w:t>ly</w:t>
      </w:r>
      <w:r>
        <w:rPr>
          <w:rFonts w:ascii="Book Antiqua" w:hAnsi="Book Antiqua" w:cs="Arial"/>
        </w:rPr>
        <w:t xml:space="preserve"> is the fourth ground in the grounds</w:t>
      </w:r>
      <w:r w:rsidR="00454C9F">
        <w:rPr>
          <w:rFonts w:ascii="Book Antiqua" w:hAnsi="Book Antiqua" w:cs="Arial"/>
        </w:rPr>
        <w:t>.  Th</w:t>
      </w:r>
      <w:r>
        <w:rPr>
          <w:rFonts w:ascii="Book Antiqua" w:hAnsi="Book Antiqua" w:cs="Arial"/>
        </w:rPr>
        <w:t xml:space="preserve">at is the finding by the judge that it was not plausible that he would have been able to travel out of Sri Lanka using his own passport and without any difficulty.  He found it was not plausible that this </w:t>
      </w:r>
      <w:r w:rsidR="00854857">
        <w:rPr>
          <w:rFonts w:ascii="Book Antiqua" w:hAnsi="Book Antiqua" w:cs="Arial"/>
        </w:rPr>
        <w:t>could</w:t>
      </w:r>
      <w:r>
        <w:rPr>
          <w:rFonts w:ascii="Book Antiqua" w:hAnsi="Book Antiqua" w:cs="Arial"/>
        </w:rPr>
        <w:t xml:space="preserve"> have been achieved by the activities of a monk who had bribed the authorities.  It is accepted, I think, that that sits very</w:t>
      </w:r>
      <w:r w:rsidR="00454C9F">
        <w:rPr>
          <w:rFonts w:ascii="Book Antiqua" w:hAnsi="Book Antiqua" w:cs="Arial"/>
        </w:rPr>
        <w:t xml:space="preserve"> uncomfortably indeed, if not</w:t>
      </w:r>
      <w:r>
        <w:rPr>
          <w:rFonts w:ascii="Book Antiqua" w:hAnsi="Book Antiqua" w:cs="Arial"/>
        </w:rPr>
        <w:t xml:space="preserve"> flatly contradicted by</w:t>
      </w:r>
      <w:r w:rsidR="00454C9F">
        <w:rPr>
          <w:rFonts w:ascii="Book Antiqua" w:hAnsi="Book Antiqua" w:cs="Arial"/>
        </w:rPr>
        <w:t>,</w:t>
      </w:r>
      <w:r>
        <w:rPr>
          <w:rFonts w:ascii="Book Antiqua" w:hAnsi="Book Antiqua" w:cs="Arial"/>
        </w:rPr>
        <w:t xml:space="preserve"> the decision in </w:t>
      </w:r>
      <w:r w:rsidRPr="003157DC">
        <w:rPr>
          <w:rFonts w:ascii="Book Antiqua" w:hAnsi="Book Antiqua" w:cs="Arial"/>
          <w:i/>
        </w:rPr>
        <w:t>GJ and others (post-civil war: returnees) Sri Lanka CG</w:t>
      </w:r>
      <w:r w:rsidRPr="003157DC">
        <w:rPr>
          <w:rFonts w:ascii="Book Antiqua" w:hAnsi="Book Antiqua" w:cs="Arial"/>
        </w:rPr>
        <w:t xml:space="preserve"> [2013] UKUT 00319 (IAC)</w:t>
      </w:r>
      <w:r>
        <w:rPr>
          <w:rFonts w:ascii="Book Antiqua" w:hAnsi="Book Antiqua" w:cs="Arial"/>
        </w:rPr>
        <w:t>.  In that case there had been evidence given by a witness that it was possible to arrange for wanted persons to be safely removed on their own passports through immigration controls</w:t>
      </w:r>
      <w:r w:rsidR="00854857">
        <w:rPr>
          <w:rFonts w:ascii="Book Antiqua" w:hAnsi="Book Antiqua" w:cs="Arial"/>
        </w:rPr>
        <w:t xml:space="preserve">.  That evidence was recited in paragraph 146 of </w:t>
      </w:r>
      <w:r w:rsidR="00854857" w:rsidRPr="00854857">
        <w:rPr>
          <w:rFonts w:ascii="Book Antiqua" w:hAnsi="Book Antiqua" w:cs="Arial"/>
          <w:i/>
        </w:rPr>
        <w:t>GJ</w:t>
      </w:r>
      <w:r w:rsidR="00854857">
        <w:rPr>
          <w:rFonts w:ascii="Book Antiqua" w:hAnsi="Book Antiqua" w:cs="Arial"/>
        </w:rPr>
        <w:t xml:space="preserve"> and the witness was described later in paragraph 275 as providing </w:t>
      </w:r>
      <w:r w:rsidR="00454C9F">
        <w:rPr>
          <w:rFonts w:ascii="Book Antiqua" w:hAnsi="Book Antiqua" w:cs="Arial"/>
        </w:rPr>
        <w:t>‘</w:t>
      </w:r>
      <w:r w:rsidR="00854857" w:rsidRPr="00454C9F">
        <w:rPr>
          <w:rFonts w:ascii="Book Antiqua" w:hAnsi="Book Antiqua" w:cs="Arial"/>
          <w:i/>
        </w:rPr>
        <w:t>useful and reliable evidence</w:t>
      </w:r>
      <w:r w:rsidR="00454C9F">
        <w:rPr>
          <w:rFonts w:ascii="Book Antiqua" w:hAnsi="Book Antiqua" w:cs="Arial"/>
        </w:rPr>
        <w:t xml:space="preserve">’.  </w:t>
      </w:r>
    </w:p>
    <w:p w:rsidR="003157DC" w:rsidRPr="003157DC" w:rsidRDefault="00454C9F" w:rsidP="003157DC">
      <w:pPr>
        <w:numPr>
          <w:ilvl w:val="0"/>
          <w:numId w:val="3"/>
        </w:numPr>
        <w:spacing w:before="240"/>
        <w:jc w:val="both"/>
        <w:rPr>
          <w:rFonts w:ascii="Book Antiqua" w:hAnsi="Book Antiqua" w:cs="Arial"/>
        </w:rPr>
      </w:pPr>
      <w:r>
        <w:rPr>
          <w:rFonts w:ascii="Book Antiqua" w:hAnsi="Book Antiqua" w:cs="Arial"/>
        </w:rPr>
        <w:t xml:space="preserve">In </w:t>
      </w:r>
      <w:r w:rsidR="00854857">
        <w:rPr>
          <w:rFonts w:ascii="Book Antiqua" w:hAnsi="Book Antiqua" w:cs="Arial"/>
        </w:rPr>
        <w:t>th</w:t>
      </w:r>
      <w:r>
        <w:rPr>
          <w:rFonts w:ascii="Book Antiqua" w:hAnsi="Book Antiqua" w:cs="Arial"/>
        </w:rPr>
        <w:t>e</w:t>
      </w:r>
      <w:r w:rsidR="00854857">
        <w:rPr>
          <w:rFonts w:ascii="Book Antiqua" w:hAnsi="Book Antiqua" w:cs="Arial"/>
        </w:rPr>
        <w:t xml:space="preserve">se two matters the judge erred in law.  </w:t>
      </w:r>
    </w:p>
    <w:p w:rsidR="00454C9F" w:rsidRDefault="00854857" w:rsidP="0057609C">
      <w:pPr>
        <w:numPr>
          <w:ilvl w:val="0"/>
          <w:numId w:val="3"/>
        </w:numPr>
        <w:spacing w:before="240"/>
        <w:jc w:val="both"/>
        <w:rPr>
          <w:rFonts w:ascii="Book Antiqua" w:hAnsi="Book Antiqua" w:cs="Arial"/>
        </w:rPr>
      </w:pPr>
      <w:r>
        <w:rPr>
          <w:rFonts w:ascii="Book Antiqua" w:hAnsi="Book Antiqua" w:cs="Arial"/>
        </w:rPr>
        <w:t xml:space="preserve">I make no comment upon grounds 2 and 3 because it is unnecessary to do so.  </w:t>
      </w:r>
    </w:p>
    <w:p w:rsidR="005324D2" w:rsidRDefault="00854857" w:rsidP="0057609C">
      <w:pPr>
        <w:numPr>
          <w:ilvl w:val="0"/>
          <w:numId w:val="3"/>
        </w:numPr>
        <w:spacing w:before="240"/>
        <w:jc w:val="both"/>
        <w:rPr>
          <w:rFonts w:ascii="Book Antiqua" w:hAnsi="Book Antiqua" w:cs="Arial"/>
        </w:rPr>
      </w:pPr>
      <w:r>
        <w:rPr>
          <w:rFonts w:ascii="Book Antiqua" w:hAnsi="Book Antiqua" w:cs="Arial"/>
        </w:rPr>
        <w:t>It seems to me that th</w:t>
      </w:r>
      <w:r w:rsidR="00454C9F">
        <w:rPr>
          <w:rFonts w:ascii="Book Antiqua" w:hAnsi="Book Antiqua" w:cs="Arial"/>
        </w:rPr>
        <w:t>e</w:t>
      </w:r>
      <w:r>
        <w:rPr>
          <w:rFonts w:ascii="Book Antiqua" w:hAnsi="Book Antiqua" w:cs="Arial"/>
        </w:rPr>
        <w:t xml:space="preserve"> two findings which I have found to be erroneous</w:t>
      </w:r>
      <w:r w:rsidR="00454C9F">
        <w:rPr>
          <w:rFonts w:ascii="Book Antiqua" w:hAnsi="Book Antiqua" w:cs="Arial"/>
        </w:rPr>
        <w:t>,</w:t>
      </w:r>
      <w:r>
        <w:rPr>
          <w:rFonts w:ascii="Book Antiqua" w:hAnsi="Book Antiqua" w:cs="Arial"/>
        </w:rPr>
        <w:t xml:space="preserve"> </w:t>
      </w:r>
      <w:r w:rsidR="00454C9F">
        <w:rPr>
          <w:rFonts w:ascii="Book Antiqua" w:hAnsi="Book Antiqua" w:cs="Arial"/>
        </w:rPr>
        <w:t>if</w:t>
      </w:r>
      <w:r>
        <w:rPr>
          <w:rFonts w:ascii="Book Antiqua" w:hAnsi="Book Antiqua" w:cs="Arial"/>
        </w:rPr>
        <w:t xml:space="preserve"> looked at together</w:t>
      </w:r>
      <w:r w:rsidR="00454C9F">
        <w:rPr>
          <w:rFonts w:ascii="Book Antiqua" w:hAnsi="Book Antiqua" w:cs="Arial"/>
        </w:rPr>
        <w:t>, are</w:t>
      </w:r>
      <w:r>
        <w:rPr>
          <w:rFonts w:ascii="Book Antiqua" w:hAnsi="Book Antiqua" w:cs="Arial"/>
        </w:rPr>
        <w:t xml:space="preserve"> sufficient to establish that the decision cannot properly be relied upon.  I will also point out at this stage that there is another troubling feature of this decision.  </w:t>
      </w:r>
      <w:r>
        <w:rPr>
          <w:rFonts w:ascii="Book Antiqua" w:hAnsi="Book Antiqua" w:cs="Arial"/>
        </w:rPr>
        <w:lastRenderedPageBreak/>
        <w:t xml:space="preserve">It is clear that the question of whether an account is plausible is different from whether an account is credible.  One has to approach decisions with a certain amount of realism and sometimes a judge inadvertently uses the word </w:t>
      </w:r>
      <w:r w:rsidR="00454C9F">
        <w:rPr>
          <w:rFonts w:ascii="Book Antiqua" w:hAnsi="Book Antiqua" w:cs="Arial"/>
        </w:rPr>
        <w:t>‘</w:t>
      </w:r>
      <w:r w:rsidRPr="00454C9F">
        <w:rPr>
          <w:rFonts w:ascii="Book Antiqua" w:hAnsi="Book Antiqua" w:cs="Arial"/>
          <w:i/>
        </w:rPr>
        <w:t>plausible</w:t>
      </w:r>
      <w:r w:rsidR="00454C9F">
        <w:rPr>
          <w:rFonts w:ascii="Book Antiqua" w:hAnsi="Book Antiqua" w:cs="Arial"/>
        </w:rPr>
        <w:t>’</w:t>
      </w:r>
      <w:r>
        <w:rPr>
          <w:rFonts w:ascii="Book Antiqua" w:hAnsi="Book Antiqua" w:cs="Arial"/>
        </w:rPr>
        <w:t xml:space="preserve"> in circumstances where he is clearly making a finding that </w:t>
      </w:r>
      <w:r w:rsidR="00454C9F">
        <w:rPr>
          <w:rFonts w:ascii="Book Antiqua" w:hAnsi="Book Antiqua" w:cs="Arial"/>
        </w:rPr>
        <w:t>part of an account</w:t>
      </w:r>
      <w:r>
        <w:rPr>
          <w:rFonts w:ascii="Book Antiqua" w:hAnsi="Book Antiqua" w:cs="Arial"/>
        </w:rPr>
        <w:t xml:space="preserve"> is not credible</w:t>
      </w:r>
      <w:r w:rsidR="00454C9F">
        <w:rPr>
          <w:rFonts w:ascii="Book Antiqua" w:hAnsi="Book Antiqua" w:cs="Arial"/>
        </w:rPr>
        <w:t>.  B</w:t>
      </w:r>
      <w:r>
        <w:rPr>
          <w:rFonts w:ascii="Book Antiqua" w:hAnsi="Book Antiqua" w:cs="Arial"/>
        </w:rPr>
        <w:t>ut there is a substantial difference between plausibility and credibility</w:t>
      </w:r>
      <w:r w:rsidR="00454C9F">
        <w:rPr>
          <w:rFonts w:ascii="Book Antiqua" w:hAnsi="Book Antiqua" w:cs="Arial"/>
        </w:rPr>
        <w:t>.  I</w:t>
      </w:r>
      <w:r>
        <w:rPr>
          <w:rFonts w:ascii="Book Antiqua" w:hAnsi="Book Antiqua" w:cs="Arial"/>
        </w:rPr>
        <w:t>n this case the judge appears to over-rely upon the question of whether a part of the case is plausible.  It is true that in paragraph 35 of the decision he makes the general finding that he did not find the claim to be credible to the lower standard, but in reaching his decision</w:t>
      </w:r>
      <w:r w:rsidR="00454C9F">
        <w:rPr>
          <w:rFonts w:ascii="Book Antiqua" w:hAnsi="Book Antiqua" w:cs="Arial"/>
        </w:rPr>
        <w:t>,</w:t>
      </w:r>
      <w:r>
        <w:rPr>
          <w:rFonts w:ascii="Book Antiqua" w:hAnsi="Book Antiqua" w:cs="Arial"/>
        </w:rPr>
        <w:t xml:space="preserve"> he made reference to whether som</w:t>
      </w:r>
      <w:r w:rsidR="00454C9F">
        <w:rPr>
          <w:rFonts w:ascii="Book Antiqua" w:hAnsi="Book Antiqua" w:cs="Arial"/>
        </w:rPr>
        <w:t>ething was or was not plausible</w:t>
      </w:r>
      <w:r>
        <w:rPr>
          <w:rFonts w:ascii="Book Antiqua" w:hAnsi="Book Antiqua" w:cs="Arial"/>
        </w:rPr>
        <w:t xml:space="preserve"> in paragraphs 37, 38, 39, 40, 41, 42 and that is the body of his adverse findings on credibility.  He appears to have used plausibility as the means by which he has assessed the appellant’s credibility and the word </w:t>
      </w:r>
      <w:r w:rsidR="00454C9F">
        <w:rPr>
          <w:rFonts w:ascii="Book Antiqua" w:hAnsi="Book Antiqua" w:cs="Arial"/>
        </w:rPr>
        <w:t>‘</w:t>
      </w:r>
      <w:r w:rsidRPr="00454C9F">
        <w:rPr>
          <w:rFonts w:ascii="Book Antiqua" w:hAnsi="Book Antiqua" w:cs="Arial"/>
          <w:i/>
        </w:rPr>
        <w:t>credible</w:t>
      </w:r>
      <w:r w:rsidR="00454C9F">
        <w:rPr>
          <w:rFonts w:ascii="Book Antiqua" w:hAnsi="Book Antiqua" w:cs="Arial"/>
        </w:rPr>
        <w:t>’</w:t>
      </w:r>
      <w:r>
        <w:rPr>
          <w:rFonts w:ascii="Book Antiqua" w:hAnsi="Book Antiqua" w:cs="Arial"/>
        </w:rPr>
        <w:t xml:space="preserve"> or </w:t>
      </w:r>
      <w:r w:rsidR="00454C9F">
        <w:rPr>
          <w:rFonts w:ascii="Book Antiqua" w:hAnsi="Book Antiqua" w:cs="Arial"/>
        </w:rPr>
        <w:t>‘</w:t>
      </w:r>
      <w:r w:rsidRPr="00454C9F">
        <w:rPr>
          <w:rFonts w:ascii="Book Antiqua" w:hAnsi="Book Antiqua" w:cs="Arial"/>
          <w:i/>
        </w:rPr>
        <w:t>credibility</w:t>
      </w:r>
      <w:r w:rsidR="00454C9F">
        <w:rPr>
          <w:rFonts w:ascii="Book Antiqua" w:hAnsi="Book Antiqua" w:cs="Arial"/>
        </w:rPr>
        <w:t>’</w:t>
      </w:r>
      <w:r>
        <w:rPr>
          <w:rFonts w:ascii="Book Antiqua" w:hAnsi="Book Antiqua" w:cs="Arial"/>
        </w:rPr>
        <w:t>, whilst it appears for example in paragraphs 44 and 45, is not entirely easy to reconcile with the reasoning which I have pointed out the judge adopted between paragraphs 27 and 42</w:t>
      </w:r>
      <w:r w:rsidR="005324D2">
        <w:rPr>
          <w:rFonts w:ascii="Book Antiqua" w:hAnsi="Book Antiqua" w:cs="Arial"/>
        </w:rPr>
        <w:t>.</w:t>
      </w:r>
    </w:p>
    <w:p w:rsidR="003157DC" w:rsidRPr="00F5664C" w:rsidRDefault="005324D2" w:rsidP="0057609C">
      <w:pPr>
        <w:numPr>
          <w:ilvl w:val="0"/>
          <w:numId w:val="3"/>
        </w:numPr>
        <w:spacing w:before="240"/>
        <w:jc w:val="both"/>
        <w:rPr>
          <w:rFonts w:ascii="Book Antiqua" w:hAnsi="Book Antiqua" w:cs="Arial"/>
        </w:rPr>
      </w:pPr>
      <w:r>
        <w:rPr>
          <w:rFonts w:ascii="Book Antiqua" w:hAnsi="Book Antiqua" w:cs="Arial"/>
        </w:rPr>
        <w:t>F</w:t>
      </w:r>
      <w:r w:rsidR="00854857">
        <w:rPr>
          <w:rFonts w:ascii="Book Antiqua" w:hAnsi="Book Antiqua" w:cs="Arial"/>
        </w:rPr>
        <w:t>or these reasons</w:t>
      </w:r>
      <w:r>
        <w:rPr>
          <w:rFonts w:ascii="Book Antiqua" w:hAnsi="Book Antiqua" w:cs="Arial"/>
        </w:rPr>
        <w:t>,</w:t>
      </w:r>
      <w:r w:rsidR="00854857">
        <w:rPr>
          <w:rFonts w:ascii="Book Antiqua" w:hAnsi="Book Antiqua" w:cs="Arial"/>
        </w:rPr>
        <w:t xml:space="preserve"> I have come to the conclusion that the decision of the First-tier Tribunal Judge cannot, with confidence, be relied up</w:t>
      </w:r>
      <w:r>
        <w:rPr>
          <w:rFonts w:ascii="Book Antiqua" w:hAnsi="Book Antiqua" w:cs="Arial"/>
        </w:rPr>
        <w:t>on as being legally sustainable.  I</w:t>
      </w:r>
      <w:r w:rsidR="00854857">
        <w:rPr>
          <w:rFonts w:ascii="Book Antiqua" w:hAnsi="Book Antiqua" w:cs="Arial"/>
        </w:rPr>
        <w:t>n th</w:t>
      </w:r>
      <w:r>
        <w:rPr>
          <w:rFonts w:ascii="Book Antiqua" w:hAnsi="Book Antiqua" w:cs="Arial"/>
        </w:rPr>
        <w:t>e</w:t>
      </w:r>
      <w:r w:rsidR="00854857">
        <w:rPr>
          <w:rFonts w:ascii="Book Antiqua" w:hAnsi="Book Antiqua" w:cs="Arial"/>
        </w:rPr>
        <w:t xml:space="preserve">se circumstances I set it aside for there to be a further hearing.  It seems to me that it will be a </w:t>
      </w:r>
      <w:r>
        <w:rPr>
          <w:rFonts w:ascii="Book Antiqua" w:hAnsi="Book Antiqua" w:cs="Arial"/>
        </w:rPr>
        <w:t>‘</w:t>
      </w:r>
      <w:r w:rsidR="00854857">
        <w:rPr>
          <w:rFonts w:ascii="Book Antiqua" w:hAnsi="Book Antiqua" w:cs="Arial"/>
        </w:rPr>
        <w:t>root and branch</w:t>
      </w:r>
      <w:r>
        <w:rPr>
          <w:rFonts w:ascii="Book Antiqua" w:hAnsi="Book Antiqua" w:cs="Arial"/>
        </w:rPr>
        <w:t>’</w:t>
      </w:r>
      <w:r w:rsidR="00854857">
        <w:rPr>
          <w:rFonts w:ascii="Book Antiqua" w:hAnsi="Book Antiqua" w:cs="Arial"/>
        </w:rPr>
        <w:t xml:space="preserve"> reconsideration of the evidence and that will require it being remitted to the First-tier Tribunal.</w:t>
      </w:r>
    </w:p>
    <w:p w:rsidR="00AE38E7" w:rsidRPr="00AB2ECD" w:rsidRDefault="00AE38E7" w:rsidP="0057609C">
      <w:pPr>
        <w:spacing w:before="240"/>
        <w:jc w:val="both"/>
        <w:outlineLvl w:val="0"/>
        <w:rPr>
          <w:rFonts w:ascii="Book Antiqua" w:hAnsi="Book Antiqua" w:cs="Arial"/>
          <w:b/>
          <w:u w:val="single"/>
        </w:rPr>
      </w:pPr>
      <w:r w:rsidRPr="00AB2ECD">
        <w:rPr>
          <w:rFonts w:ascii="Book Antiqua" w:hAnsi="Book Antiqua" w:cs="Arial"/>
          <w:u w:val="single"/>
        </w:rPr>
        <w:t>NOTICE OF DECISION</w:t>
      </w:r>
    </w:p>
    <w:p w:rsidR="00463ECF" w:rsidRPr="00463ECF" w:rsidRDefault="00463ECF" w:rsidP="00463ECF">
      <w:pPr>
        <w:jc w:val="both"/>
        <w:rPr>
          <w:rFonts w:ascii="Book Antiqua" w:hAnsi="Book Antiqua" w:cs="Arial"/>
        </w:rPr>
      </w:pPr>
    </w:p>
    <w:p w:rsidR="00463ECF" w:rsidRPr="00463ECF" w:rsidRDefault="00463ECF" w:rsidP="00463ECF">
      <w:pPr>
        <w:jc w:val="both"/>
        <w:rPr>
          <w:rFonts w:ascii="Book Antiqua" w:hAnsi="Book Antiqua" w:cs="Arial"/>
        </w:rPr>
      </w:pPr>
      <w:r w:rsidRPr="00463ECF">
        <w:rPr>
          <w:rFonts w:ascii="Book Antiqua" w:hAnsi="Book Antiqua" w:cs="Arial"/>
        </w:rPr>
        <w:t xml:space="preserve">The </w:t>
      </w:r>
      <w:r w:rsidR="005324D2">
        <w:rPr>
          <w:rFonts w:ascii="Book Antiqua" w:hAnsi="Book Antiqua" w:cs="Arial"/>
        </w:rPr>
        <w:t xml:space="preserve">appellant’s appeal to the Upper Tribunal is allowed.  The decision of the First-tier Tribunal is set aside.  The </w:t>
      </w:r>
      <w:r w:rsidRPr="00463ECF">
        <w:rPr>
          <w:rFonts w:ascii="Book Antiqua" w:hAnsi="Book Antiqua" w:cs="Arial"/>
        </w:rPr>
        <w:t xml:space="preserve">appeal is </w:t>
      </w:r>
      <w:r w:rsidR="00854857">
        <w:rPr>
          <w:rFonts w:ascii="Book Antiqua" w:hAnsi="Book Antiqua" w:cs="Arial"/>
        </w:rPr>
        <w:t>remitted to the First-tier Tribunal</w:t>
      </w:r>
      <w:r w:rsidR="005324D2">
        <w:rPr>
          <w:rFonts w:ascii="Book Antiqua" w:hAnsi="Book Antiqua" w:cs="Arial"/>
        </w:rPr>
        <w:t xml:space="preserve"> for re-making</w:t>
      </w:r>
      <w:r w:rsidR="00854857">
        <w:rPr>
          <w:rFonts w:ascii="Book Antiqua" w:hAnsi="Book Antiqua" w:cs="Arial"/>
        </w:rPr>
        <w:t>.</w:t>
      </w:r>
    </w:p>
    <w:p w:rsidR="00463ECF" w:rsidRPr="00463ECF" w:rsidRDefault="00463ECF" w:rsidP="00463ECF">
      <w:pPr>
        <w:jc w:val="both"/>
        <w:rPr>
          <w:rFonts w:ascii="Book Antiqua" w:hAnsi="Book Antiqua" w:cs="Arial"/>
        </w:rPr>
      </w:pPr>
    </w:p>
    <w:p w:rsidR="00463ECF" w:rsidRPr="00463ECF" w:rsidRDefault="00463ECF" w:rsidP="00463ECF">
      <w:pPr>
        <w:jc w:val="both"/>
        <w:rPr>
          <w:rFonts w:ascii="Book Antiqua" w:hAnsi="Book Antiqua" w:cs="Arial"/>
        </w:rPr>
      </w:pPr>
    </w:p>
    <w:p w:rsidR="00463ECF" w:rsidRPr="00463ECF" w:rsidRDefault="00463ECF" w:rsidP="00463ECF">
      <w:pPr>
        <w:jc w:val="both"/>
        <w:rPr>
          <w:rFonts w:ascii="Book Antiqua" w:hAnsi="Book Antiqua" w:cs="Arial"/>
        </w:rPr>
      </w:pPr>
      <w:r w:rsidRPr="00463ECF">
        <w:rPr>
          <w:rFonts w:ascii="Book Antiqua" w:hAnsi="Book Antiqua" w:cs="Arial"/>
          <w:b/>
          <w:u w:val="single"/>
        </w:rPr>
        <w:t>Direction Regarding Anonymity – Rule 14 of the Tribunal Procedure (Upper Tribunal) Rules 2008</w:t>
      </w:r>
    </w:p>
    <w:p w:rsidR="00463ECF" w:rsidRPr="00463ECF" w:rsidRDefault="00463ECF" w:rsidP="00463ECF">
      <w:pPr>
        <w:jc w:val="both"/>
        <w:rPr>
          <w:rFonts w:ascii="Book Antiqua" w:hAnsi="Book Antiqua" w:cs="Arial"/>
        </w:rPr>
      </w:pPr>
    </w:p>
    <w:p w:rsidR="00463ECF" w:rsidRPr="00687601" w:rsidRDefault="00463ECF" w:rsidP="00463ECF">
      <w:pPr>
        <w:jc w:val="both"/>
        <w:rPr>
          <w:rFonts w:ascii="Book Antiqua" w:hAnsi="Book Antiqua" w:cs="Arial"/>
        </w:rPr>
      </w:pPr>
      <w:r w:rsidRPr="00463ECF">
        <w:rPr>
          <w:rFonts w:ascii="Book Antiqua" w:hAnsi="Book Antiqua" w:cs="Arial"/>
        </w:rPr>
        <w:t xml:space="preserve">Unless and </w:t>
      </w:r>
      <w:r w:rsidRPr="00463ECF">
        <w:rPr>
          <w:rFonts w:ascii="Book Antiqua" w:hAnsi="Book Antiqua"/>
        </w:rPr>
        <w:t xml:space="preserve">until a Tribunal or court directs otherwise, the </w:t>
      </w:r>
      <w:r w:rsidR="00DB7D8A">
        <w:rPr>
          <w:rFonts w:ascii="Book Antiqua" w:hAnsi="Book Antiqua"/>
        </w:rPr>
        <w:t>a</w:t>
      </w:r>
      <w:r w:rsidRPr="00463ECF">
        <w:rPr>
          <w:rFonts w:ascii="Book Antiqua" w:hAnsi="Book Antiqua"/>
        </w:rPr>
        <w:t xml:space="preserve">ppellant is granted anonymity.  No report of these proceedings shall directly or indirectly identify him or any member of </w:t>
      </w:r>
      <w:r w:rsidR="00854857">
        <w:rPr>
          <w:rFonts w:ascii="Book Antiqua" w:hAnsi="Book Antiqua"/>
        </w:rPr>
        <w:t>his</w:t>
      </w:r>
      <w:r w:rsidRPr="00463ECF">
        <w:rPr>
          <w:rFonts w:ascii="Book Antiqua" w:hAnsi="Book Antiqua"/>
        </w:rPr>
        <w:t xml:space="preserve"> family.  This direction applies both to the </w:t>
      </w:r>
      <w:r w:rsidR="00DB7D8A">
        <w:rPr>
          <w:rFonts w:ascii="Book Antiqua" w:hAnsi="Book Antiqua"/>
        </w:rPr>
        <w:t>a</w:t>
      </w:r>
      <w:r w:rsidRPr="00463ECF">
        <w:rPr>
          <w:rFonts w:ascii="Book Antiqua" w:hAnsi="Book Antiqua"/>
        </w:rPr>
        <w:t xml:space="preserve">ppellant and to the </w:t>
      </w:r>
      <w:r w:rsidR="00DB7D8A">
        <w:rPr>
          <w:rFonts w:ascii="Book Antiqua" w:hAnsi="Book Antiqua"/>
        </w:rPr>
        <w:t>r</w:t>
      </w:r>
      <w:r w:rsidRPr="00463ECF">
        <w:rPr>
          <w:rFonts w:ascii="Book Antiqua" w:hAnsi="Book Antiqua"/>
        </w:rPr>
        <w:t>espondent.  Failure to comply with this direction could lead to contempt of court proceedings.</w:t>
      </w:r>
    </w:p>
    <w:p w:rsidR="000369F5" w:rsidRDefault="000369F5" w:rsidP="000369F5">
      <w:pPr>
        <w:tabs>
          <w:tab w:val="left" w:pos="2520"/>
        </w:tabs>
        <w:jc w:val="both"/>
        <w:rPr>
          <w:rFonts w:ascii="Book Antiqua" w:hAnsi="Book Antiqua" w:cs="Arial"/>
        </w:rPr>
      </w:pPr>
    </w:p>
    <w:p w:rsidR="006427DB" w:rsidRPr="00F5664C" w:rsidRDefault="006427DB" w:rsidP="000369F5">
      <w:pPr>
        <w:tabs>
          <w:tab w:val="left" w:pos="2520"/>
        </w:tabs>
        <w:jc w:val="both"/>
        <w:rPr>
          <w:rFonts w:ascii="Book Antiqua" w:hAnsi="Book Antiqua" w:cs="Arial"/>
        </w:rPr>
      </w:pPr>
    </w:p>
    <w:p w:rsidR="00463ECF" w:rsidRDefault="007B1F49" w:rsidP="007B1F49">
      <w:pPr>
        <w:tabs>
          <w:tab w:val="left" w:pos="2520"/>
        </w:tabs>
        <w:jc w:val="right"/>
        <w:rPr>
          <w:rFonts w:ascii="Book Antiqua" w:hAnsi="Book Antiqua" w:cs="Arial"/>
        </w:rPr>
      </w:pPr>
      <w:r>
        <w:rPr>
          <w:rFonts w:ascii="Book Antiqua" w:hAnsi="Book Antiqua" w:cs="Arial"/>
        </w:rPr>
        <w:t>ANDREW JORDAN</w:t>
      </w:r>
    </w:p>
    <w:p w:rsidR="007B1F49" w:rsidRDefault="005324D2" w:rsidP="007B1F49">
      <w:pPr>
        <w:tabs>
          <w:tab w:val="left" w:pos="2520"/>
        </w:tabs>
        <w:jc w:val="right"/>
        <w:rPr>
          <w:rFonts w:ascii="Book Antiqua" w:hAnsi="Book Antiqua" w:cs="Arial"/>
        </w:rPr>
      </w:pPr>
      <w:r>
        <w:rPr>
          <w:rFonts w:ascii="Book Antiqua" w:hAnsi="Book Antiqua" w:cs="Arial"/>
        </w:rPr>
        <w:t xml:space="preserve">DEPUTY </w:t>
      </w:r>
      <w:r w:rsidR="007B1F49">
        <w:rPr>
          <w:rFonts w:ascii="Book Antiqua" w:hAnsi="Book Antiqua" w:cs="Arial"/>
        </w:rPr>
        <w:t>JUDGE OF THE UPPER TRIBUNAL</w:t>
      </w:r>
    </w:p>
    <w:p w:rsidR="00E05BDB" w:rsidRDefault="00E05BDB" w:rsidP="00E05BDB">
      <w:pPr>
        <w:tabs>
          <w:tab w:val="left" w:pos="2520"/>
        </w:tabs>
        <w:jc w:val="right"/>
        <w:rPr>
          <w:rFonts w:ascii="Book Antiqua" w:hAnsi="Book Antiqua" w:cs="Arial"/>
        </w:rPr>
      </w:pPr>
      <w:r>
        <w:rPr>
          <w:rFonts w:ascii="Book Antiqua" w:hAnsi="Book Antiqua" w:cs="Arial"/>
        </w:rPr>
        <w:t xml:space="preserve">      Date: 18</w:t>
      </w:r>
      <w:r w:rsidRPr="00E05BDB">
        <w:rPr>
          <w:rFonts w:ascii="Book Antiqua" w:hAnsi="Book Antiqua" w:cs="Arial"/>
          <w:vertAlign w:val="superscript"/>
        </w:rPr>
        <w:t>th</w:t>
      </w:r>
      <w:r>
        <w:rPr>
          <w:rFonts w:ascii="Book Antiqua" w:hAnsi="Book Antiqua" w:cs="Arial"/>
        </w:rPr>
        <w:t xml:space="preserve"> September 2018</w:t>
      </w:r>
    </w:p>
    <w:p w:rsidR="007B1F49" w:rsidRDefault="007B1F49" w:rsidP="007B1F49">
      <w:pPr>
        <w:tabs>
          <w:tab w:val="left" w:pos="2520"/>
        </w:tabs>
        <w:jc w:val="right"/>
        <w:rPr>
          <w:rFonts w:ascii="Book Antiqua" w:hAnsi="Book Antiqua" w:cs="Arial"/>
        </w:rPr>
      </w:pPr>
    </w:p>
    <w:sectPr w:rsidR="007B1F49"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1B9B" w:rsidRDefault="00181B9B">
      <w:r>
        <w:separator/>
      </w:r>
    </w:p>
  </w:endnote>
  <w:endnote w:type="continuationSeparator" w:id="0">
    <w:p w:rsidR="00181B9B" w:rsidRDefault="00181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9A2D6A">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0F19E2">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1B9B" w:rsidRDefault="00181B9B">
      <w:r>
        <w:separator/>
      </w:r>
    </w:p>
  </w:footnote>
  <w:footnote w:type="continuationSeparator" w:id="0">
    <w:p w:rsidR="00181B9B" w:rsidRDefault="00181B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3042C7" w:rsidRPr="003042C7">
      <w:rPr>
        <w:rFonts w:ascii="Book Antiqua" w:hAnsi="Book Antiqua" w:cs="Arial"/>
        <w:sz w:val="16"/>
        <w:szCs w:val="16"/>
      </w:rPr>
      <w:t>PA/09358/2017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E876AD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F515869"/>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0C84ADB"/>
    <w:multiLevelType w:val="multilevel"/>
    <w:tmpl w:val="B228471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876"/>
    <w:rsid w:val="00000621"/>
    <w:rsid w:val="000036C2"/>
    <w:rsid w:val="00012291"/>
    <w:rsid w:val="00022030"/>
    <w:rsid w:val="000246B5"/>
    <w:rsid w:val="00033D3D"/>
    <w:rsid w:val="000369F5"/>
    <w:rsid w:val="00071A7E"/>
    <w:rsid w:val="000746C0"/>
    <w:rsid w:val="00074D1D"/>
    <w:rsid w:val="00092580"/>
    <w:rsid w:val="000D4A67"/>
    <w:rsid w:val="000D5D94"/>
    <w:rsid w:val="000F19E2"/>
    <w:rsid w:val="001165A7"/>
    <w:rsid w:val="0013035F"/>
    <w:rsid w:val="00151BB7"/>
    <w:rsid w:val="0016457F"/>
    <w:rsid w:val="00167D3A"/>
    <w:rsid w:val="00181B9B"/>
    <w:rsid w:val="001A1E2C"/>
    <w:rsid w:val="001F2716"/>
    <w:rsid w:val="0020133A"/>
    <w:rsid w:val="00207617"/>
    <w:rsid w:val="00237104"/>
    <w:rsid w:val="00243AE8"/>
    <w:rsid w:val="00283659"/>
    <w:rsid w:val="002C4E73"/>
    <w:rsid w:val="002D68BF"/>
    <w:rsid w:val="003042C7"/>
    <w:rsid w:val="003157DC"/>
    <w:rsid w:val="00321F6D"/>
    <w:rsid w:val="00336CBF"/>
    <w:rsid w:val="00340F9E"/>
    <w:rsid w:val="003534A3"/>
    <w:rsid w:val="003546C8"/>
    <w:rsid w:val="003A7CF2"/>
    <w:rsid w:val="003B0789"/>
    <w:rsid w:val="003C5CE5"/>
    <w:rsid w:val="003E267B"/>
    <w:rsid w:val="003E7CD1"/>
    <w:rsid w:val="00402B9E"/>
    <w:rsid w:val="00423932"/>
    <w:rsid w:val="004249CB"/>
    <w:rsid w:val="0044127D"/>
    <w:rsid w:val="004448DB"/>
    <w:rsid w:val="00446C9A"/>
    <w:rsid w:val="00454C9F"/>
    <w:rsid w:val="00463ECF"/>
    <w:rsid w:val="00477193"/>
    <w:rsid w:val="00494E71"/>
    <w:rsid w:val="004A1848"/>
    <w:rsid w:val="004A7C65"/>
    <w:rsid w:val="004D1A51"/>
    <w:rsid w:val="004F7249"/>
    <w:rsid w:val="00507FEC"/>
    <w:rsid w:val="00510F0E"/>
    <w:rsid w:val="005324D2"/>
    <w:rsid w:val="005479E1"/>
    <w:rsid w:val="005570FD"/>
    <w:rsid w:val="005575EA"/>
    <w:rsid w:val="0057609C"/>
    <w:rsid w:val="0057790C"/>
    <w:rsid w:val="00593795"/>
    <w:rsid w:val="005A75FF"/>
    <w:rsid w:val="005B7789"/>
    <w:rsid w:val="0060701A"/>
    <w:rsid w:val="00612787"/>
    <w:rsid w:val="00623535"/>
    <w:rsid w:val="006427DB"/>
    <w:rsid w:val="0065791C"/>
    <w:rsid w:val="00690B8A"/>
    <w:rsid w:val="006D1DFA"/>
    <w:rsid w:val="006D506B"/>
    <w:rsid w:val="006E3C90"/>
    <w:rsid w:val="00704B61"/>
    <w:rsid w:val="0071591B"/>
    <w:rsid w:val="00740641"/>
    <w:rsid w:val="00742A8D"/>
    <w:rsid w:val="00745BE0"/>
    <w:rsid w:val="007552A9"/>
    <w:rsid w:val="00761858"/>
    <w:rsid w:val="00767D59"/>
    <w:rsid w:val="00776E97"/>
    <w:rsid w:val="00780FD7"/>
    <w:rsid w:val="007912AD"/>
    <w:rsid w:val="007A1F28"/>
    <w:rsid w:val="007B0824"/>
    <w:rsid w:val="007B1F49"/>
    <w:rsid w:val="007E5A2D"/>
    <w:rsid w:val="008070E8"/>
    <w:rsid w:val="008222C6"/>
    <w:rsid w:val="008303B8"/>
    <w:rsid w:val="00833DCE"/>
    <w:rsid w:val="00842418"/>
    <w:rsid w:val="0085376B"/>
    <w:rsid w:val="00854857"/>
    <w:rsid w:val="00871C31"/>
    <w:rsid w:val="00871D34"/>
    <w:rsid w:val="008A1A16"/>
    <w:rsid w:val="008B270C"/>
    <w:rsid w:val="008C3D3D"/>
    <w:rsid w:val="008D4131"/>
    <w:rsid w:val="008F1932"/>
    <w:rsid w:val="008F294D"/>
    <w:rsid w:val="00921062"/>
    <w:rsid w:val="0093083E"/>
    <w:rsid w:val="00937986"/>
    <w:rsid w:val="00943D62"/>
    <w:rsid w:val="00966ECF"/>
    <w:rsid w:val="009727A3"/>
    <w:rsid w:val="00987774"/>
    <w:rsid w:val="009A11E8"/>
    <w:rsid w:val="009A2D6A"/>
    <w:rsid w:val="009A44AE"/>
    <w:rsid w:val="009B2E11"/>
    <w:rsid w:val="009D74BF"/>
    <w:rsid w:val="009E4E62"/>
    <w:rsid w:val="009F0D99"/>
    <w:rsid w:val="009F5220"/>
    <w:rsid w:val="009F7C4D"/>
    <w:rsid w:val="00A15234"/>
    <w:rsid w:val="00A201AB"/>
    <w:rsid w:val="00A30793"/>
    <w:rsid w:val="00A31C8B"/>
    <w:rsid w:val="00A845DC"/>
    <w:rsid w:val="00A97AEE"/>
    <w:rsid w:val="00AB2ECD"/>
    <w:rsid w:val="00AC5CF6"/>
    <w:rsid w:val="00AE38E7"/>
    <w:rsid w:val="00B144FA"/>
    <w:rsid w:val="00B16F58"/>
    <w:rsid w:val="00B30648"/>
    <w:rsid w:val="00B3524D"/>
    <w:rsid w:val="00B40F69"/>
    <w:rsid w:val="00B44566"/>
    <w:rsid w:val="00B46616"/>
    <w:rsid w:val="00B610E3"/>
    <w:rsid w:val="00B61205"/>
    <w:rsid w:val="00B617C4"/>
    <w:rsid w:val="00B626FA"/>
    <w:rsid w:val="00B7040A"/>
    <w:rsid w:val="00B96FA0"/>
    <w:rsid w:val="00BB7873"/>
    <w:rsid w:val="00BC6062"/>
    <w:rsid w:val="00BD4196"/>
    <w:rsid w:val="00BF22CA"/>
    <w:rsid w:val="00C0501A"/>
    <w:rsid w:val="00C26032"/>
    <w:rsid w:val="00C265B0"/>
    <w:rsid w:val="00C321B5"/>
    <w:rsid w:val="00C345E1"/>
    <w:rsid w:val="00C52B56"/>
    <w:rsid w:val="00C977BA"/>
    <w:rsid w:val="00CB6E35"/>
    <w:rsid w:val="00CE1A46"/>
    <w:rsid w:val="00CE1C16"/>
    <w:rsid w:val="00CF253F"/>
    <w:rsid w:val="00CF56B4"/>
    <w:rsid w:val="00D20F09"/>
    <w:rsid w:val="00D22636"/>
    <w:rsid w:val="00D40FD9"/>
    <w:rsid w:val="00D53769"/>
    <w:rsid w:val="00D70775"/>
    <w:rsid w:val="00D75E49"/>
    <w:rsid w:val="00D85C13"/>
    <w:rsid w:val="00D91BE3"/>
    <w:rsid w:val="00D94AFC"/>
    <w:rsid w:val="00DB70AE"/>
    <w:rsid w:val="00DB7231"/>
    <w:rsid w:val="00DB7CE1"/>
    <w:rsid w:val="00DB7D8A"/>
    <w:rsid w:val="00DD28B3"/>
    <w:rsid w:val="00DD5071"/>
    <w:rsid w:val="00DD5C39"/>
    <w:rsid w:val="00DD60C7"/>
    <w:rsid w:val="00DE26AF"/>
    <w:rsid w:val="00DE7DB7"/>
    <w:rsid w:val="00DF2876"/>
    <w:rsid w:val="00E00A0A"/>
    <w:rsid w:val="00E05BDB"/>
    <w:rsid w:val="00E07F57"/>
    <w:rsid w:val="00E1212D"/>
    <w:rsid w:val="00E50BCE"/>
    <w:rsid w:val="00E57504"/>
    <w:rsid w:val="00E61292"/>
    <w:rsid w:val="00E76309"/>
    <w:rsid w:val="00E77C4D"/>
    <w:rsid w:val="00E81D01"/>
    <w:rsid w:val="00EE0DB7"/>
    <w:rsid w:val="00EE45D8"/>
    <w:rsid w:val="00F004CD"/>
    <w:rsid w:val="00F22EDA"/>
    <w:rsid w:val="00F3224D"/>
    <w:rsid w:val="00F337F0"/>
    <w:rsid w:val="00F33E0E"/>
    <w:rsid w:val="00F421CF"/>
    <w:rsid w:val="00F5664C"/>
    <w:rsid w:val="00F60D99"/>
    <w:rsid w:val="00F9260B"/>
    <w:rsid w:val="00F963D2"/>
    <w:rsid w:val="00FB7E80"/>
    <w:rsid w:val="00FC0D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DocumentMap">
    <w:name w:val="Document Map"/>
    <w:basedOn w:val="Normal"/>
    <w:semiHidden/>
    <w:rsid w:val="00463ECF"/>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992557">
      <w:bodyDiv w:val="1"/>
      <w:marLeft w:val="0"/>
      <w:marRight w:val="0"/>
      <w:marTop w:val="0"/>
      <w:marBottom w:val="0"/>
      <w:divBdr>
        <w:top w:val="none" w:sz="0" w:space="0" w:color="auto"/>
        <w:left w:val="none" w:sz="0" w:space="0" w:color="auto"/>
        <w:bottom w:val="none" w:sz="0" w:space="0" w:color="auto"/>
        <w:right w:val="none" w:sz="0" w:space="0" w:color="auto"/>
      </w:divBdr>
    </w:div>
    <w:div w:id="183083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1113</Words>
  <Characters>5472</Characters>
  <Application>Microsoft Office Word</Application>
  <DocSecurity>0</DocSecurity>
  <Lines>45</Lines>
  <Paragraphs>13</Paragraphs>
  <ScaleCrop>false</ScaleCrop>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2018-10-08T11:36:00Z</dcterms:created>
  <dcterms:modified xsi:type="dcterms:W3CDTF">2018-10-08T11:36:00Z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