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FE5E8B" w:rsidP="00C321B5">
      <w:pPr>
        <w:jc w:val="center"/>
        <w:rPr>
          <w:rFonts w:ascii="Book Antiqua" w:hAnsi="Book Antiqua" w:cs="Arial"/>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3755DF">
        <w:rPr>
          <w:rFonts w:ascii="Book Antiqua" w:hAnsi="Book Antiqua" w:cs="Arial"/>
          <w:caps/>
        </w:rPr>
        <w:t>PA/09472/2017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3755DF">
              <w:rPr>
                <w:rFonts w:ascii="Book Antiqua" w:hAnsi="Book Antiqua" w:cs="Arial"/>
                <w:b/>
              </w:rPr>
              <w:t>Liverpool</w:t>
            </w:r>
          </w:p>
        </w:tc>
        <w:tc>
          <w:tcPr>
            <w:tcW w:w="3960" w:type="dxa"/>
            <w:shd w:val="clear" w:color="auto" w:fill="auto"/>
          </w:tcPr>
          <w:p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3755DF">
              <w:rPr>
                <w:rFonts w:ascii="Book Antiqua" w:hAnsi="Book Antiqua" w:cs="Arial"/>
                <w:b/>
              </w:rPr>
              <w:t>10</w:t>
            </w:r>
            <w:r w:rsidR="003755DF" w:rsidRPr="003755DF">
              <w:rPr>
                <w:rFonts w:ascii="Book Antiqua" w:hAnsi="Book Antiqua" w:cs="Arial"/>
                <w:b/>
                <w:vertAlign w:val="superscript"/>
              </w:rPr>
              <w:t>th</w:t>
            </w:r>
            <w:r w:rsidR="003755DF">
              <w:rPr>
                <w:rFonts w:ascii="Book Antiqua" w:hAnsi="Book Antiqua" w:cs="Arial"/>
                <w:b/>
              </w:rPr>
              <w:t xml:space="preserve"> July 2017</w:t>
            </w:r>
          </w:p>
        </w:tc>
        <w:tc>
          <w:tcPr>
            <w:tcW w:w="3960" w:type="dxa"/>
            <w:shd w:val="clear" w:color="auto" w:fill="auto"/>
          </w:tcPr>
          <w:p w:rsidR="00D22636" w:rsidRPr="00E249AA" w:rsidRDefault="003D3984" w:rsidP="00E249AA">
            <w:pPr>
              <w:jc w:val="both"/>
              <w:rPr>
                <w:rFonts w:ascii="Book Antiqua" w:hAnsi="Book Antiqua" w:cs="Arial"/>
                <w:b/>
              </w:rPr>
            </w:pPr>
            <w:r>
              <w:rPr>
                <w:rFonts w:ascii="Book Antiqua" w:hAnsi="Book Antiqua" w:cs="Arial"/>
                <w:b/>
              </w:rPr>
              <w:t>On 14</w:t>
            </w:r>
            <w:r w:rsidRPr="003D3984">
              <w:rPr>
                <w:rFonts w:ascii="Book Antiqua" w:hAnsi="Book Antiqua" w:cs="Arial"/>
                <w:b/>
                <w:vertAlign w:val="superscript"/>
              </w:rPr>
              <w:t>th</w:t>
            </w:r>
            <w:r>
              <w:rPr>
                <w:rFonts w:ascii="Book Antiqua" w:hAnsi="Book Antiqua" w:cs="Arial"/>
                <w:b/>
              </w:rPr>
              <w:t xml:space="preserve"> August 2018</w:t>
            </w:r>
          </w:p>
        </w:tc>
      </w:tr>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p>
        </w:tc>
        <w:tc>
          <w:tcPr>
            <w:tcW w:w="3960" w:type="dxa"/>
            <w:shd w:val="clear" w:color="auto" w:fill="auto"/>
          </w:tcPr>
          <w:p w:rsidR="00D22636" w:rsidRPr="00E249AA" w:rsidRDefault="00D22636" w:rsidP="00E249AA">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3755DF">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rsidR="00B16F58" w:rsidRDefault="00B16F58" w:rsidP="00A15234">
      <w:pPr>
        <w:jc w:val="center"/>
        <w:rPr>
          <w:rFonts w:ascii="Book Antiqua" w:hAnsi="Book Antiqua" w:cs="Arial"/>
          <w:b/>
        </w:rPr>
      </w:pPr>
    </w:p>
    <w:p w:rsidR="00B12645" w:rsidRPr="00F5664C" w:rsidRDefault="00B12645"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3755DF" w:rsidP="00742A8D">
      <w:pPr>
        <w:jc w:val="center"/>
        <w:rPr>
          <w:rFonts w:ascii="Book Antiqua" w:hAnsi="Book Antiqua" w:cs="Arial"/>
          <w:b/>
          <w:caps/>
        </w:rPr>
      </w:pPr>
      <w:r>
        <w:rPr>
          <w:rFonts w:ascii="Book Antiqua" w:hAnsi="Book Antiqua" w:cs="Arial"/>
          <w:b/>
          <w:caps/>
        </w:rPr>
        <w:t xml:space="preserve">mr d. m. </w:t>
      </w:r>
    </w:p>
    <w:p w:rsidR="003405B7" w:rsidRDefault="003405B7" w:rsidP="003405B7">
      <w:pPr>
        <w:jc w:val="center"/>
        <w:rPr>
          <w:rFonts w:ascii="Book Antiqua" w:hAnsi="Book Antiqua" w:cs="Arial"/>
          <w:b/>
          <w:caps/>
        </w:rPr>
      </w:pPr>
      <w:r w:rsidRPr="003405B7">
        <w:rPr>
          <w:rFonts w:ascii="Book Antiqua" w:hAnsi="Book Antiqua" w:cs="Arial"/>
          <w:b/>
          <w:caps/>
        </w:rPr>
        <w:t xml:space="preserve">(ANONYMITY DIRECTION </w:t>
      </w:r>
      <w:r w:rsidR="003755DF">
        <w:rPr>
          <w:rFonts w:ascii="Book Antiqua" w:hAnsi="Book Antiqua" w:cs="Arial"/>
          <w:b/>
          <w:caps/>
        </w:rPr>
        <w:t>made</w:t>
      </w:r>
      <w:r w:rsidRPr="003405B7">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3755DF">
        <w:rPr>
          <w:rFonts w:ascii="Book Antiqua" w:hAnsi="Book Antiqua" w:cs="Arial"/>
        </w:rPr>
        <w:t>Miss C Warren,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3755DF">
        <w:rPr>
          <w:rFonts w:ascii="Book Antiqua" w:hAnsi="Book Antiqua" w:cs="Arial"/>
        </w:rPr>
        <w:t xml:space="preserve">Mr C Bates,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rsidR="00AF533C" w:rsidRDefault="00623C4D" w:rsidP="00AF533C">
      <w:pPr>
        <w:numPr>
          <w:ilvl w:val="0"/>
          <w:numId w:val="3"/>
        </w:numPr>
        <w:spacing w:before="240"/>
        <w:jc w:val="both"/>
        <w:rPr>
          <w:rFonts w:ascii="Book Antiqua" w:hAnsi="Book Antiqua" w:cs="Arial"/>
        </w:rPr>
      </w:pPr>
      <w:r>
        <w:rPr>
          <w:rFonts w:ascii="Book Antiqua" w:hAnsi="Book Antiqua" w:cs="Arial"/>
        </w:rPr>
        <w:t>The Appellant is a citizen of Iraq born on 10</w:t>
      </w:r>
      <w:r w:rsidRPr="00623C4D">
        <w:rPr>
          <w:rFonts w:ascii="Book Antiqua" w:hAnsi="Book Antiqua" w:cs="Arial"/>
          <w:vertAlign w:val="superscript"/>
        </w:rPr>
        <w:t>th</w:t>
      </w:r>
      <w:r>
        <w:rPr>
          <w:rFonts w:ascii="Book Antiqua" w:hAnsi="Book Antiqua" w:cs="Arial"/>
        </w:rPr>
        <w:t xml:space="preserve"> December 1979.  His immigration history is extensive in the extreme and is recited in detail in the Notice of Refusal.  I have considered all the Appellant’s previous history.  The most recent appeal of the Appellant was lodged in December 2016 and within that claim he relies on the authority of </w:t>
      </w:r>
      <w:r w:rsidR="005D5FCF">
        <w:rPr>
          <w:rFonts w:ascii="Book Antiqua" w:hAnsi="Book Antiqua" w:cs="Arial"/>
          <w:i/>
        </w:rPr>
        <w:t>AA (Article 15(c)</w:t>
      </w:r>
      <w:r>
        <w:rPr>
          <w:rFonts w:ascii="Book Antiqua" w:hAnsi="Book Antiqua" w:cs="Arial"/>
          <w:i/>
        </w:rPr>
        <w:t xml:space="preserve">) Iraq </w:t>
      </w:r>
      <w:r w:rsidR="005D5FCF">
        <w:rPr>
          <w:rFonts w:ascii="Book Antiqua" w:hAnsi="Book Antiqua" w:cs="Arial"/>
          <w:i/>
        </w:rPr>
        <w:t>CG [2015] UKUT 00554 (IAC)</w:t>
      </w:r>
      <w:r w:rsidR="005D5FCF">
        <w:rPr>
          <w:rFonts w:ascii="Book Antiqua" w:hAnsi="Book Antiqua" w:cs="Arial"/>
        </w:rPr>
        <w:t>.  That application was refused by Notice of Refusal dated 7</w:t>
      </w:r>
      <w:r w:rsidR="005D5FCF" w:rsidRPr="005D5FCF">
        <w:rPr>
          <w:rFonts w:ascii="Book Antiqua" w:hAnsi="Book Antiqua" w:cs="Arial"/>
          <w:vertAlign w:val="superscript"/>
        </w:rPr>
        <w:t>th</w:t>
      </w:r>
      <w:r w:rsidR="005D5FCF">
        <w:rPr>
          <w:rFonts w:ascii="Book Antiqua" w:hAnsi="Book Antiqua" w:cs="Arial"/>
        </w:rPr>
        <w:t xml:space="preserve"> September 2017.  </w:t>
      </w:r>
    </w:p>
    <w:p w:rsidR="005D5FCF" w:rsidRDefault="005D5FCF" w:rsidP="00AF533C">
      <w:pPr>
        <w:numPr>
          <w:ilvl w:val="0"/>
          <w:numId w:val="3"/>
        </w:numPr>
        <w:spacing w:before="240"/>
        <w:jc w:val="both"/>
        <w:rPr>
          <w:rFonts w:ascii="Book Antiqua" w:hAnsi="Book Antiqua" w:cs="Arial"/>
        </w:rPr>
      </w:pPr>
      <w:r>
        <w:rPr>
          <w:rFonts w:ascii="Book Antiqua" w:hAnsi="Book Antiqua" w:cs="Arial"/>
        </w:rPr>
        <w:lastRenderedPageBreak/>
        <w:t>The Appellant appealed and the appeal came before Judge of the First-tier Tribunal Durance sitting at Manchester on 28</w:t>
      </w:r>
      <w:r w:rsidRPr="005D5FCF">
        <w:rPr>
          <w:rFonts w:ascii="Book Antiqua" w:hAnsi="Book Antiqua" w:cs="Arial"/>
          <w:vertAlign w:val="superscript"/>
        </w:rPr>
        <w:t>th</w:t>
      </w:r>
      <w:r>
        <w:rPr>
          <w:rFonts w:ascii="Book Antiqua" w:hAnsi="Book Antiqua" w:cs="Arial"/>
        </w:rPr>
        <w:t xml:space="preserve"> October 2017.  In a decision and reasons promulgated on 16</w:t>
      </w:r>
      <w:r w:rsidRPr="005D5FCF">
        <w:rPr>
          <w:rFonts w:ascii="Book Antiqua" w:hAnsi="Book Antiqua" w:cs="Arial"/>
          <w:vertAlign w:val="superscript"/>
        </w:rPr>
        <w:t>th</w:t>
      </w:r>
      <w:r>
        <w:rPr>
          <w:rFonts w:ascii="Book Antiqua" w:hAnsi="Book Antiqua" w:cs="Arial"/>
        </w:rPr>
        <w:t xml:space="preserve"> April 2018 the Appellant’s appeal was dismissed both under the Refugee Convention and on human rights grounds.</w:t>
      </w:r>
    </w:p>
    <w:p w:rsidR="005D5FCF" w:rsidRDefault="005D5FCF" w:rsidP="00AF533C">
      <w:pPr>
        <w:numPr>
          <w:ilvl w:val="0"/>
          <w:numId w:val="3"/>
        </w:numPr>
        <w:spacing w:before="240"/>
        <w:jc w:val="both"/>
        <w:rPr>
          <w:rFonts w:ascii="Book Antiqua" w:hAnsi="Book Antiqua" w:cs="Arial"/>
        </w:rPr>
      </w:pPr>
      <w:r>
        <w:rPr>
          <w:rFonts w:ascii="Book Antiqua" w:hAnsi="Book Antiqua" w:cs="Arial"/>
        </w:rPr>
        <w:t>Grounds of Appeal were lodged on 3</w:t>
      </w:r>
      <w:r w:rsidRPr="005D5FCF">
        <w:rPr>
          <w:rFonts w:ascii="Book Antiqua" w:hAnsi="Book Antiqua" w:cs="Arial"/>
          <w:vertAlign w:val="superscript"/>
        </w:rPr>
        <w:t>rd</w:t>
      </w:r>
      <w:r>
        <w:rPr>
          <w:rFonts w:ascii="Book Antiqua" w:hAnsi="Book Antiqua" w:cs="Arial"/>
        </w:rPr>
        <w:t xml:space="preserve"> May 2018.  Those </w:t>
      </w:r>
      <w:r w:rsidR="0015379C">
        <w:rPr>
          <w:rFonts w:ascii="Book Antiqua" w:hAnsi="Book Antiqua" w:cs="Arial"/>
        </w:rPr>
        <w:t>grounds contended:</w:t>
      </w:r>
      <w:r>
        <w:rPr>
          <w:rFonts w:ascii="Book Antiqua" w:hAnsi="Book Antiqua" w:cs="Arial"/>
        </w:rPr>
        <w:t xml:space="preserve">– </w:t>
      </w:r>
    </w:p>
    <w:p w:rsidR="005D5FCF" w:rsidRDefault="005D5FCF" w:rsidP="00861384">
      <w:pPr>
        <w:numPr>
          <w:ilvl w:val="1"/>
          <w:numId w:val="24"/>
        </w:numPr>
        <w:spacing w:before="240"/>
        <w:jc w:val="both"/>
        <w:rPr>
          <w:rFonts w:ascii="Book Antiqua" w:hAnsi="Book Antiqua" w:cs="Arial"/>
        </w:rPr>
      </w:pPr>
      <w:r>
        <w:rPr>
          <w:rFonts w:ascii="Book Antiqua" w:hAnsi="Book Antiqua" w:cs="Arial"/>
        </w:rPr>
        <w:t>That the Judge erred in failing, properly or at all, to give reasons adequate to support his conclusions and/or in failing to conside</w:t>
      </w:r>
      <w:r w:rsidR="0015379C">
        <w:rPr>
          <w:rFonts w:ascii="Book Antiqua" w:hAnsi="Book Antiqua" w:cs="Arial"/>
        </w:rPr>
        <w:t>r relevant material</w:t>
      </w:r>
    </w:p>
    <w:p w:rsidR="005D5FCF" w:rsidRDefault="005D5FCF" w:rsidP="00861384">
      <w:pPr>
        <w:numPr>
          <w:ilvl w:val="1"/>
          <w:numId w:val="24"/>
        </w:numPr>
        <w:spacing w:before="240"/>
        <w:jc w:val="both"/>
        <w:rPr>
          <w:rFonts w:ascii="Book Antiqua" w:hAnsi="Book Antiqua" w:cs="Arial"/>
        </w:rPr>
      </w:pPr>
      <w:r>
        <w:rPr>
          <w:rFonts w:ascii="Book Antiqua" w:hAnsi="Book Antiqua" w:cs="Arial"/>
        </w:rPr>
        <w:t>Failed to f</w:t>
      </w:r>
      <w:r w:rsidR="0015379C">
        <w:rPr>
          <w:rFonts w:ascii="Book Antiqua" w:hAnsi="Book Antiqua" w:cs="Arial"/>
        </w:rPr>
        <w:t>ollow relevant country guidance</w:t>
      </w:r>
    </w:p>
    <w:p w:rsidR="005D5FCF" w:rsidRDefault="005D5FCF" w:rsidP="00861384">
      <w:pPr>
        <w:numPr>
          <w:ilvl w:val="1"/>
          <w:numId w:val="24"/>
        </w:numPr>
        <w:spacing w:before="240"/>
        <w:jc w:val="both"/>
        <w:rPr>
          <w:rFonts w:ascii="Book Antiqua" w:hAnsi="Book Antiqua" w:cs="Arial"/>
        </w:rPr>
      </w:pPr>
      <w:r>
        <w:rPr>
          <w:rFonts w:ascii="Book Antiqua" w:hAnsi="Book Antiqua" w:cs="Arial"/>
        </w:rPr>
        <w:t>Failure to obtain a CSID in a reasonable time if returned.</w:t>
      </w:r>
    </w:p>
    <w:p w:rsidR="005D5FCF" w:rsidRDefault="005D5FCF" w:rsidP="00AF533C">
      <w:pPr>
        <w:numPr>
          <w:ilvl w:val="0"/>
          <w:numId w:val="3"/>
        </w:numPr>
        <w:spacing w:before="240"/>
        <w:jc w:val="both"/>
        <w:rPr>
          <w:rFonts w:ascii="Book Antiqua" w:hAnsi="Book Antiqua" w:cs="Arial"/>
        </w:rPr>
      </w:pPr>
      <w:r>
        <w:rPr>
          <w:rFonts w:ascii="Book Antiqua" w:hAnsi="Book Antiqua" w:cs="Arial"/>
        </w:rPr>
        <w:t>On 14</w:t>
      </w:r>
      <w:r w:rsidRPr="005D5FCF">
        <w:rPr>
          <w:rFonts w:ascii="Book Antiqua" w:hAnsi="Book Antiqua" w:cs="Arial"/>
          <w:vertAlign w:val="superscript"/>
        </w:rPr>
        <w:t>th</w:t>
      </w:r>
      <w:r>
        <w:rPr>
          <w:rFonts w:ascii="Book Antiqua" w:hAnsi="Book Antiqua" w:cs="Arial"/>
        </w:rPr>
        <w:t xml:space="preserve"> May 2018 Judge of the First-tier Tribunal Blundell </w:t>
      </w:r>
      <w:r w:rsidR="00861384">
        <w:rPr>
          <w:rFonts w:ascii="Book Antiqua" w:hAnsi="Book Antiqua" w:cs="Arial"/>
        </w:rPr>
        <w:t>granted permission to appeal.  The p</w:t>
      </w:r>
      <w:r>
        <w:rPr>
          <w:rFonts w:ascii="Book Antiqua" w:hAnsi="Book Antiqua" w:cs="Arial"/>
        </w:rPr>
        <w:t>ermission notes that the First-tier Tribunal arguably failed to consider expert and witness evidence and erred in going behind a concession made by the Respondent regarding relocation to Mosul.  Further it contends that the judge arguably erred in leaving m</w:t>
      </w:r>
      <w:r w:rsidR="0015379C">
        <w:rPr>
          <w:rFonts w:ascii="Book Antiqua" w:hAnsi="Book Antiqua" w:cs="Arial"/>
        </w:rPr>
        <w:t>aterials out of the count when he concluded that the Appellant could obtain a CSID in a reasonable time.</w:t>
      </w:r>
    </w:p>
    <w:p w:rsidR="0015379C" w:rsidRDefault="0015379C" w:rsidP="00AF533C">
      <w:pPr>
        <w:numPr>
          <w:ilvl w:val="0"/>
          <w:numId w:val="3"/>
        </w:numPr>
        <w:spacing w:before="240"/>
        <w:jc w:val="both"/>
        <w:rPr>
          <w:rFonts w:ascii="Book Antiqua" w:hAnsi="Book Antiqua" w:cs="Arial"/>
        </w:rPr>
      </w:pPr>
      <w:r>
        <w:rPr>
          <w:rFonts w:ascii="Book Antiqua" w:hAnsi="Book Antiqua" w:cs="Arial"/>
        </w:rPr>
        <w:t>There is no Rule 24 response.  It is on that basis that this appeal comes before me solely for the purpose of determining whether there is a material error of law in the decision of the First-tier Tribunal Judge.  The Appellant appears by his instructed Counsel, Miss Warren.  Miss Warren is extremely familiar with this case.  She appeared before the First-tier Tribunal and she is the author of the Grounds of Appeal.  The Secretary of State appears by her Home Office Presenting Officer, Mr Bates.</w:t>
      </w:r>
    </w:p>
    <w:p w:rsidR="0015379C" w:rsidRPr="0015379C" w:rsidRDefault="0015379C" w:rsidP="0015379C">
      <w:pPr>
        <w:spacing w:before="240"/>
        <w:jc w:val="both"/>
        <w:rPr>
          <w:rFonts w:ascii="Book Antiqua" w:hAnsi="Book Antiqua" w:cs="Arial"/>
          <w:b/>
        </w:rPr>
      </w:pPr>
      <w:r>
        <w:rPr>
          <w:rFonts w:ascii="Book Antiqua" w:hAnsi="Book Antiqua" w:cs="Arial"/>
          <w:b/>
        </w:rPr>
        <w:t>Submissions/Discussion</w:t>
      </w:r>
    </w:p>
    <w:p w:rsidR="0015379C" w:rsidRDefault="0015379C" w:rsidP="00AF533C">
      <w:pPr>
        <w:numPr>
          <w:ilvl w:val="0"/>
          <w:numId w:val="3"/>
        </w:numPr>
        <w:spacing w:before="240"/>
        <w:jc w:val="both"/>
        <w:rPr>
          <w:rFonts w:ascii="Book Antiqua" w:hAnsi="Book Antiqua" w:cs="Arial"/>
        </w:rPr>
      </w:pPr>
      <w:r>
        <w:rPr>
          <w:rFonts w:ascii="Book Antiqua" w:hAnsi="Book Antiqua" w:cs="Arial"/>
        </w:rPr>
        <w:t>Miss Warren submits that there are three principal issues herein, namely:-</w:t>
      </w:r>
    </w:p>
    <w:p w:rsidR="0015379C" w:rsidRDefault="0015379C" w:rsidP="00861384">
      <w:pPr>
        <w:numPr>
          <w:ilvl w:val="1"/>
          <w:numId w:val="25"/>
        </w:numPr>
        <w:spacing w:before="240"/>
        <w:jc w:val="both"/>
        <w:rPr>
          <w:rFonts w:ascii="Book Antiqua" w:hAnsi="Book Antiqua" w:cs="Arial"/>
        </w:rPr>
      </w:pPr>
      <w:r>
        <w:rPr>
          <w:rFonts w:ascii="Book Antiqua" w:hAnsi="Book Antiqua" w:cs="Arial"/>
        </w:rPr>
        <w:t>That the First-tier Tribunal Judge has ignored the expert’s report that was before the Tribunal</w:t>
      </w:r>
    </w:p>
    <w:p w:rsidR="0015379C" w:rsidRDefault="0015379C" w:rsidP="00861384">
      <w:pPr>
        <w:numPr>
          <w:ilvl w:val="1"/>
          <w:numId w:val="25"/>
        </w:numPr>
        <w:spacing w:before="240"/>
        <w:jc w:val="both"/>
        <w:rPr>
          <w:rFonts w:ascii="Book Antiqua" w:hAnsi="Book Antiqua" w:cs="Arial"/>
        </w:rPr>
      </w:pPr>
      <w:r>
        <w:rPr>
          <w:rFonts w:ascii="Book Antiqua" w:hAnsi="Book Antiqua" w:cs="Arial"/>
        </w:rPr>
        <w:t>That he has failed to have regard to witnesses</w:t>
      </w:r>
    </w:p>
    <w:p w:rsidR="0015379C" w:rsidRDefault="0015379C" w:rsidP="00861384">
      <w:pPr>
        <w:numPr>
          <w:ilvl w:val="1"/>
          <w:numId w:val="25"/>
        </w:numPr>
        <w:spacing w:before="240"/>
        <w:jc w:val="both"/>
        <w:rPr>
          <w:rFonts w:ascii="Book Antiqua" w:hAnsi="Book Antiqua" w:cs="Arial"/>
        </w:rPr>
      </w:pPr>
      <w:r>
        <w:rPr>
          <w:rFonts w:ascii="Book Antiqua" w:hAnsi="Book Antiqua" w:cs="Arial"/>
        </w:rPr>
        <w:t>That in reaching his conclusion he has failed to give due and proper consideration to material evidence.</w:t>
      </w:r>
    </w:p>
    <w:p w:rsidR="0015379C" w:rsidRDefault="0015379C" w:rsidP="0015379C">
      <w:pPr>
        <w:spacing w:before="240"/>
        <w:ind w:left="567"/>
        <w:jc w:val="both"/>
        <w:rPr>
          <w:rFonts w:ascii="Book Antiqua" w:hAnsi="Book Antiqua" w:cs="Arial"/>
        </w:rPr>
      </w:pPr>
      <w:r>
        <w:rPr>
          <w:rFonts w:ascii="Book Antiqua" w:hAnsi="Book Antiqua" w:cs="Arial"/>
        </w:rPr>
        <w:t xml:space="preserve">Miss Warren reminds me that the Appellant’s bundle before the First-tier Tribunal ran to 653 pages, and whilst that is referred to at paragraph 8 of the First-tier Tribunal Judge’s decision, she submits that the judge has failed to consider the material therein that is of particular relevance, especially the expert report by Sheri Laizer and her conclusions.  Further she submits there was a detailed expert report from Professor Nadje Al Ali and </w:t>
      </w:r>
      <w:r w:rsidR="002B5B7C">
        <w:rPr>
          <w:rFonts w:ascii="Book Antiqua" w:hAnsi="Book Antiqua" w:cs="Arial"/>
        </w:rPr>
        <w:t xml:space="preserve">refers </w:t>
      </w:r>
      <w:r>
        <w:rPr>
          <w:rFonts w:ascii="Book Antiqua" w:hAnsi="Book Antiqua" w:cs="Arial"/>
        </w:rPr>
        <w:t xml:space="preserve">in particular </w:t>
      </w:r>
      <w:r w:rsidR="002B5B7C">
        <w:rPr>
          <w:rFonts w:ascii="Book Antiqua" w:hAnsi="Book Antiqua" w:cs="Arial"/>
        </w:rPr>
        <w:t xml:space="preserve">to </w:t>
      </w:r>
      <w:r>
        <w:rPr>
          <w:rFonts w:ascii="Book Antiqua" w:hAnsi="Book Antiqua" w:cs="Arial"/>
        </w:rPr>
        <w:t>the conclusions reached therein at paragraph 103.  Further she comments that evidence was provided by a witness, Mr S R, dated 16</w:t>
      </w:r>
      <w:r w:rsidRPr="0015379C">
        <w:rPr>
          <w:rFonts w:ascii="Book Antiqua" w:hAnsi="Book Antiqua" w:cs="Arial"/>
          <w:vertAlign w:val="superscript"/>
        </w:rPr>
        <w:t>th</w:t>
      </w:r>
      <w:r>
        <w:rPr>
          <w:rFonts w:ascii="Book Antiqua" w:hAnsi="Book Antiqua" w:cs="Arial"/>
        </w:rPr>
        <w:t xml:space="preserve"> October 2017 and that his credibility was not questioned, nor was he cross-examined.  However she submits that there is no reference made at all within the </w:t>
      </w:r>
      <w:r>
        <w:rPr>
          <w:rFonts w:ascii="Book Antiqua" w:hAnsi="Book Antiqua" w:cs="Arial"/>
        </w:rPr>
        <w:lastRenderedPageBreak/>
        <w:t>decision to the evidence of Mr S R and this she submits is not only an error of law but one that is material.</w:t>
      </w:r>
    </w:p>
    <w:p w:rsidR="0015379C" w:rsidRDefault="0015379C" w:rsidP="00AF533C">
      <w:pPr>
        <w:numPr>
          <w:ilvl w:val="0"/>
          <w:numId w:val="3"/>
        </w:numPr>
        <w:spacing w:before="240"/>
        <w:jc w:val="both"/>
        <w:rPr>
          <w:rFonts w:ascii="Book Antiqua" w:hAnsi="Book Antiqua" w:cs="Arial"/>
        </w:rPr>
      </w:pPr>
      <w:r>
        <w:rPr>
          <w:rFonts w:ascii="Book Antiqua" w:hAnsi="Book Antiqua" w:cs="Arial"/>
        </w:rPr>
        <w:t>Further she submits that the judge has rejected the Appellant’s account that he has not been able to contact his family since the occupation of Mosul.  She submits that the judge has erred in failing to have regard to material evidence in that he has had no regard to the conflict in Mosul and the violence against</w:t>
      </w:r>
      <w:r w:rsidR="002B5B7C">
        <w:rPr>
          <w:rFonts w:ascii="Book Antiqua" w:hAnsi="Book Antiqua" w:cs="Arial"/>
        </w:rPr>
        <w:t>,</w:t>
      </w:r>
      <w:r>
        <w:rPr>
          <w:rFonts w:ascii="Book Antiqua" w:hAnsi="Book Antiqua" w:cs="Arial"/>
        </w:rPr>
        <w:t xml:space="preserve"> and displacement of</w:t>
      </w:r>
      <w:r w:rsidR="002B5B7C">
        <w:rPr>
          <w:rFonts w:ascii="Book Antiqua" w:hAnsi="Book Antiqua" w:cs="Arial"/>
        </w:rPr>
        <w:t>,</w:t>
      </w:r>
      <w:r>
        <w:rPr>
          <w:rFonts w:ascii="Book Antiqua" w:hAnsi="Book Antiqua" w:cs="Arial"/>
        </w:rPr>
        <w:t xml:space="preserve"> the population of the city in concluding the Appellant is still in contact with his family, and he has given no reason why the evidence from the Red Cross is of only limited assistance to the Appellant.  In particular she emphasises that it was accepted by the Tribunal previously and the Respondent that the Appellant was Kurdish and from Mosul and that the judge relies on his conclusion about the Appellant being in contact with his family to support his conclusion at paragraph 46 that he could return to Baghdad.  She submits that there was simply no basis in the evidence to suggest that the Appellant’s family were</w:t>
      </w:r>
      <w:r w:rsidR="002B5B7C">
        <w:rPr>
          <w:rFonts w:ascii="Book Antiqua" w:hAnsi="Book Antiqua" w:cs="Arial"/>
        </w:rPr>
        <w:t>,</w:t>
      </w:r>
      <w:r>
        <w:rPr>
          <w:rFonts w:ascii="Book Antiqua" w:hAnsi="Book Antiqua" w:cs="Arial"/>
        </w:rPr>
        <w:t xml:space="preserve"> or were reasonably likely</w:t>
      </w:r>
      <w:r w:rsidR="002B5B7C">
        <w:rPr>
          <w:rFonts w:ascii="Book Antiqua" w:hAnsi="Book Antiqua" w:cs="Arial"/>
        </w:rPr>
        <w:t>,</w:t>
      </w:r>
      <w:r>
        <w:rPr>
          <w:rFonts w:ascii="Book Antiqua" w:hAnsi="Book Antiqua" w:cs="Arial"/>
        </w:rPr>
        <w:t xml:space="preserve"> to be in Baghdad such that they could offer him assistance there.  </w:t>
      </w:r>
    </w:p>
    <w:p w:rsidR="0015379C" w:rsidRDefault="0015379C" w:rsidP="00AF533C">
      <w:pPr>
        <w:numPr>
          <w:ilvl w:val="0"/>
          <w:numId w:val="3"/>
        </w:numPr>
        <w:spacing w:before="240"/>
        <w:jc w:val="both"/>
        <w:rPr>
          <w:rFonts w:ascii="Book Antiqua" w:hAnsi="Book Antiqua" w:cs="Arial"/>
        </w:rPr>
      </w:pPr>
      <w:r>
        <w:rPr>
          <w:rFonts w:ascii="Book Antiqua" w:hAnsi="Book Antiqua" w:cs="Arial"/>
        </w:rPr>
        <w:t xml:space="preserve">She turns next to the second Ground of Appeal, namely the failure to follow the relevant country guidance of </w:t>
      </w:r>
      <w:r>
        <w:rPr>
          <w:rFonts w:ascii="Book Antiqua" w:hAnsi="Book Antiqua" w:cs="Arial"/>
          <w:i/>
        </w:rPr>
        <w:t>AA</w:t>
      </w:r>
      <w:r>
        <w:rPr>
          <w:rFonts w:ascii="Book Antiqua" w:hAnsi="Book Antiqua" w:cs="Arial"/>
        </w:rPr>
        <w:t xml:space="preserve">.  She acknowledges that there has within the last days been a new country guidance case but submits to me that this actually </w:t>
      </w:r>
      <w:r w:rsidR="002B5B7C">
        <w:rPr>
          <w:rFonts w:ascii="Book Antiqua" w:hAnsi="Book Antiqua" w:cs="Arial"/>
        </w:rPr>
        <w:t>is not relevant</w:t>
      </w:r>
      <w:r>
        <w:rPr>
          <w:rFonts w:ascii="Book Antiqua" w:hAnsi="Book Antiqua" w:cs="Arial"/>
        </w:rPr>
        <w:t xml:space="preserve"> to the issue that is before me.  She submits that there is no evidence to say that country guidance should </w:t>
      </w:r>
      <w:r w:rsidR="009C05AE">
        <w:rPr>
          <w:rFonts w:ascii="Book Antiqua" w:hAnsi="Book Antiqua" w:cs="Arial"/>
        </w:rPr>
        <w:t>be departed from and that at paragraph 49 where the judge indicates that he is going to depart from country guidance there is actually no evidence to support such a contention.  She submits that the judge has materially erred in law in his approach to the country guidance authority.</w:t>
      </w:r>
    </w:p>
    <w:p w:rsidR="009C05AE" w:rsidRDefault="009C05AE" w:rsidP="00AF533C">
      <w:pPr>
        <w:numPr>
          <w:ilvl w:val="0"/>
          <w:numId w:val="3"/>
        </w:numPr>
        <w:spacing w:before="240"/>
        <w:jc w:val="both"/>
        <w:rPr>
          <w:rFonts w:ascii="Book Antiqua" w:hAnsi="Book Antiqua" w:cs="Arial"/>
        </w:rPr>
      </w:pPr>
      <w:r>
        <w:rPr>
          <w:rFonts w:ascii="Book Antiqua" w:hAnsi="Book Antiqua" w:cs="Arial"/>
        </w:rPr>
        <w:t xml:space="preserve">Further she submits that the judge in failing to apply country guidance in considering whether the Appellant could internally relocate to the IKR has failed to consider the practicality of travel despite this being an issue raised by the Appellant in the Appellant’s skeleton.  She submits there was at least a requirement for the judge to give due and proper consideration to this.  </w:t>
      </w:r>
    </w:p>
    <w:p w:rsidR="009C05AE" w:rsidRDefault="009C05AE" w:rsidP="00AF533C">
      <w:pPr>
        <w:numPr>
          <w:ilvl w:val="0"/>
          <w:numId w:val="3"/>
        </w:numPr>
        <w:spacing w:before="240"/>
        <w:jc w:val="both"/>
        <w:rPr>
          <w:rFonts w:ascii="Book Antiqua" w:hAnsi="Book Antiqua" w:cs="Arial"/>
        </w:rPr>
      </w:pPr>
      <w:r>
        <w:rPr>
          <w:rFonts w:ascii="Book Antiqua" w:hAnsi="Book Antiqua" w:cs="Arial"/>
        </w:rPr>
        <w:t xml:space="preserve">She further contends that the judge fails to correctly apply the country guidance case of </w:t>
      </w:r>
      <w:r>
        <w:rPr>
          <w:rFonts w:ascii="Book Antiqua" w:hAnsi="Book Antiqua" w:cs="Arial"/>
          <w:i/>
        </w:rPr>
        <w:t>BA(Returns to Baghdad Iraq CG) [2017] UKUT 18 (IAC)</w:t>
      </w:r>
      <w:r>
        <w:rPr>
          <w:rFonts w:ascii="Book Antiqua" w:hAnsi="Book Antiqua" w:cs="Arial"/>
        </w:rPr>
        <w:t xml:space="preserve"> and in particular the risk to the Appellant of kidnapping.  She points out that the Appellant would be at particular risk in Baghdad as he is a Sunni from Mosul and has been in Europe for 15 years.</w:t>
      </w:r>
    </w:p>
    <w:p w:rsidR="009C05AE" w:rsidRDefault="009C05AE" w:rsidP="00AF533C">
      <w:pPr>
        <w:numPr>
          <w:ilvl w:val="0"/>
          <w:numId w:val="3"/>
        </w:numPr>
        <w:spacing w:before="240"/>
        <w:jc w:val="both"/>
        <w:rPr>
          <w:rFonts w:ascii="Book Antiqua" w:hAnsi="Book Antiqua" w:cs="Arial"/>
        </w:rPr>
      </w:pPr>
      <w:r>
        <w:rPr>
          <w:rFonts w:ascii="Book Antiqua" w:hAnsi="Book Antiqua" w:cs="Arial"/>
        </w:rPr>
        <w:t>Finally, she turns to the issue of the failure to obtain a CSID in a reasonable time if returned, pointing out that the judge has erred in law and the fact that the Appellant previously had a CSID</w:t>
      </w:r>
      <w:r w:rsidR="00861384">
        <w:rPr>
          <w:rFonts w:ascii="Book Antiqua" w:hAnsi="Book Antiqua" w:cs="Arial"/>
        </w:rPr>
        <w:t xml:space="preserve"> was</w:t>
      </w:r>
      <w:r>
        <w:rPr>
          <w:rFonts w:ascii="Book Antiqua" w:hAnsi="Book Antiqua" w:cs="Arial"/>
        </w:rPr>
        <w:t xml:space="preserve"> some 15 years ago and that guidance is set out in the country guidance authorities and the judge has failed to give due or proper consideration to this guidance.  Over all, she consequently contends there are material errors of law in the decision of the First-tier Tribunal Judge and she asked me to set aside the decision and to remit the matter back to the First-tier Tribunal for re-hearing.</w:t>
      </w:r>
    </w:p>
    <w:p w:rsidR="009C05AE" w:rsidRDefault="009C05AE" w:rsidP="00AF533C">
      <w:pPr>
        <w:numPr>
          <w:ilvl w:val="0"/>
          <w:numId w:val="3"/>
        </w:numPr>
        <w:spacing w:before="240"/>
        <w:jc w:val="both"/>
        <w:rPr>
          <w:rFonts w:ascii="Book Antiqua" w:hAnsi="Book Antiqua" w:cs="Arial"/>
        </w:rPr>
      </w:pPr>
      <w:r>
        <w:rPr>
          <w:rFonts w:ascii="Book Antiqua" w:hAnsi="Book Antiqua" w:cs="Arial"/>
        </w:rPr>
        <w:t xml:space="preserve">In response, Mr Bates points out that the experts’ reports pre-date country guidance and that the key issue was the country guidance authority and not the experts’ reports.  </w:t>
      </w:r>
      <w:r>
        <w:rPr>
          <w:rFonts w:ascii="Book Antiqua" w:hAnsi="Book Antiqua" w:cs="Arial"/>
        </w:rPr>
        <w:lastRenderedPageBreak/>
        <w:t>Further he queries the materiality of witnesses, although he accepts the evidence given therein but contends that the principal point is the credibility of the Appellant’s explanation of the documentation obtained by the witness evidence and that this is addressed at paragraph 44 of the decision.  He submits that it all connects to the credibility of the Appellant’s evidence and that the judge did not accept his explanation at paragraph 45.  As the ID card had been lost the issue of the witness evidence does not add anything material to the appeal, and the issue of credibility is the one that the judge has had to address.</w:t>
      </w:r>
    </w:p>
    <w:p w:rsidR="009C05AE" w:rsidRDefault="009C05AE" w:rsidP="00AF533C">
      <w:pPr>
        <w:numPr>
          <w:ilvl w:val="0"/>
          <w:numId w:val="3"/>
        </w:numPr>
        <w:spacing w:before="240"/>
        <w:jc w:val="both"/>
        <w:rPr>
          <w:rFonts w:ascii="Book Antiqua" w:hAnsi="Book Antiqua" w:cs="Arial"/>
        </w:rPr>
      </w:pPr>
      <w:r>
        <w:rPr>
          <w:rFonts w:ascii="Book Antiqua" w:hAnsi="Book Antiqua" w:cs="Arial"/>
        </w:rPr>
        <w:t xml:space="preserve">He submits that the judge has set out his findings in detail at paragraph 34 and made findings there has been previous deception and that the judge does not accept that the Appellant has </w:t>
      </w:r>
      <w:r w:rsidR="00BB4879">
        <w:rPr>
          <w:rFonts w:ascii="Book Antiqua" w:hAnsi="Book Antiqua" w:cs="Arial"/>
        </w:rPr>
        <w:t>lost his ID card.  He is fit and healthy and has friends and family and the judge has found him not to be a credible witness.  He submits that the issue turns on the credibility of the Appellant’s testimony and that the position of the Appellant’s family has been addressed.  He accepts that the new country guidance authority is not of relevance.  He further submits that the position relating to the Red Cross is addressed at paragraph 33 and supports the judge’s view that the Red Cross have confirmed they canno</w:t>
      </w:r>
      <w:r w:rsidR="002B5B7C">
        <w:rPr>
          <w:rFonts w:ascii="Book Antiqua" w:hAnsi="Book Antiqua" w:cs="Arial"/>
        </w:rPr>
        <w:t>t undertake a search in Mosul as being</w:t>
      </w:r>
      <w:r w:rsidR="00BB4879">
        <w:rPr>
          <w:rFonts w:ascii="Book Antiqua" w:hAnsi="Book Antiqua" w:cs="Arial"/>
        </w:rPr>
        <w:t xml:space="preserve"> of limited assistance to the Appellant.  He asked me to find there are no material errors of law and to dismiss the appeal.</w:t>
      </w:r>
    </w:p>
    <w:p w:rsidR="00BB4879" w:rsidRDefault="00BB4879" w:rsidP="00AF533C">
      <w:pPr>
        <w:numPr>
          <w:ilvl w:val="0"/>
          <w:numId w:val="3"/>
        </w:numPr>
        <w:spacing w:before="240"/>
        <w:jc w:val="both"/>
        <w:rPr>
          <w:rFonts w:ascii="Book Antiqua" w:hAnsi="Book Antiqua" w:cs="Arial"/>
        </w:rPr>
      </w:pPr>
      <w:r>
        <w:rPr>
          <w:rFonts w:ascii="Book Antiqua" w:hAnsi="Book Antiqua" w:cs="Arial"/>
        </w:rPr>
        <w:t xml:space="preserve">In response, Miss Warren notes that the </w:t>
      </w:r>
      <w:r w:rsidR="002B5B7C">
        <w:rPr>
          <w:rFonts w:ascii="Book Antiqua" w:hAnsi="Book Antiqua" w:cs="Arial"/>
        </w:rPr>
        <w:t xml:space="preserve">expert’s reports originate </w:t>
      </w:r>
      <w:proofErr w:type="gramStart"/>
      <w:r w:rsidR="002B5B7C">
        <w:rPr>
          <w:rFonts w:ascii="Book Antiqua" w:hAnsi="Book Antiqua" w:cs="Arial"/>
        </w:rPr>
        <w:t>pre</w:t>
      </w:r>
      <w:r>
        <w:rPr>
          <w:rFonts w:ascii="Book Antiqua" w:hAnsi="Book Antiqua" w:cs="Arial"/>
        </w:rPr>
        <w:t xml:space="preserve"> country</w:t>
      </w:r>
      <w:proofErr w:type="gramEnd"/>
      <w:r>
        <w:rPr>
          <w:rFonts w:ascii="Book Antiqua" w:hAnsi="Book Antiqua" w:cs="Arial"/>
        </w:rPr>
        <w:t xml:space="preserve"> guidance but makes no comment beyond that and the judge has given no reason for not relying on them.  She reminds me that the witness was found to be credible and that his testimony was not impugned at all, </w:t>
      </w:r>
      <w:r w:rsidR="002B5B7C">
        <w:rPr>
          <w:rFonts w:ascii="Book Antiqua" w:hAnsi="Book Antiqua" w:cs="Arial"/>
        </w:rPr>
        <w:t>and it is important the judge hear</w:t>
      </w:r>
      <w:r>
        <w:rPr>
          <w:rFonts w:ascii="Book Antiqua" w:hAnsi="Book Antiqua" w:cs="Arial"/>
        </w:rPr>
        <w:t>s evidence that has not been tainted</w:t>
      </w:r>
      <w:r w:rsidR="00715090">
        <w:rPr>
          <w:rFonts w:ascii="Book Antiqua" w:hAnsi="Book Antiqua" w:cs="Arial"/>
        </w:rPr>
        <w:t>,</w:t>
      </w:r>
      <w:r>
        <w:rPr>
          <w:rFonts w:ascii="Book Antiqua" w:hAnsi="Book Antiqua" w:cs="Arial"/>
        </w:rPr>
        <w:t xml:space="preserve"> that he gives due consideration to this and he appears to have failed to have done so.  Further she submits that so far as the issue of onward transit is concerned the judge is not addressing the issue.  She submits that there is a total failure with regard to the evidence that was before the Tribunal being properly considered by the judge and reaffirms her request that the case be remitted for re-hearing.</w:t>
      </w:r>
    </w:p>
    <w:p w:rsidR="00BB4879" w:rsidRPr="00BB4879" w:rsidRDefault="00BB4879" w:rsidP="00BB4879">
      <w:pPr>
        <w:spacing w:before="240"/>
        <w:jc w:val="both"/>
        <w:rPr>
          <w:rFonts w:ascii="Book Antiqua" w:hAnsi="Book Antiqua" w:cs="Arial"/>
          <w:b/>
        </w:rPr>
      </w:pPr>
      <w:r>
        <w:rPr>
          <w:rFonts w:ascii="Book Antiqua" w:hAnsi="Book Antiqua" w:cs="Arial"/>
          <w:b/>
        </w:rPr>
        <w:t>The Law</w:t>
      </w:r>
    </w:p>
    <w:p w:rsidR="00BB4879" w:rsidRDefault="00BB4879" w:rsidP="00BB4879">
      <w:pPr>
        <w:numPr>
          <w:ilvl w:val="0"/>
          <w:numId w:val="3"/>
        </w:numPr>
        <w:spacing w:before="240"/>
        <w:jc w:val="both"/>
        <w:rPr>
          <w:rFonts w:ascii="Book Antiqua" w:hAnsi="Book Antiqua"/>
        </w:rPr>
      </w:pPr>
      <w:r>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rsidR="00BB4879" w:rsidRPr="00BB4879" w:rsidRDefault="00BB4879" w:rsidP="00BB4879">
      <w:pPr>
        <w:numPr>
          <w:ilvl w:val="0"/>
          <w:numId w:val="3"/>
        </w:numPr>
        <w:spacing w:before="240"/>
        <w:jc w:val="both"/>
        <w:rPr>
          <w:rFonts w:ascii="Book Antiqua" w:hAnsi="Book Antiqua" w:cs="Arial"/>
        </w:rPr>
      </w:pPr>
      <w:r>
        <w:rPr>
          <w:rFonts w:ascii="Book Antiqua" w:hAnsi="Book Antiqua"/>
        </w:rPr>
        <w:t xml:space="preserve">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w:t>
      </w:r>
      <w:r>
        <w:rPr>
          <w:rFonts w:ascii="Book Antiqua" w:hAnsi="Book Antiqua"/>
        </w:rPr>
        <w:lastRenderedPageBreak/>
        <w:t>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rsidR="00BB4879" w:rsidRPr="00BB4879" w:rsidRDefault="00BB4879" w:rsidP="00BB4879">
      <w:pPr>
        <w:spacing w:before="240"/>
        <w:jc w:val="both"/>
        <w:rPr>
          <w:rFonts w:ascii="Book Antiqua" w:hAnsi="Book Antiqua" w:cs="Arial"/>
          <w:b/>
        </w:rPr>
      </w:pPr>
      <w:r>
        <w:rPr>
          <w:rFonts w:ascii="Book Antiqua" w:hAnsi="Book Antiqua"/>
          <w:b/>
        </w:rPr>
        <w:t>Findings on Error of Law</w:t>
      </w:r>
    </w:p>
    <w:p w:rsidR="00BB4879" w:rsidRDefault="00BB4879" w:rsidP="00BB4879">
      <w:pPr>
        <w:numPr>
          <w:ilvl w:val="0"/>
          <w:numId w:val="3"/>
        </w:numPr>
        <w:spacing w:before="240"/>
        <w:jc w:val="both"/>
        <w:rPr>
          <w:rFonts w:ascii="Book Antiqua" w:hAnsi="Book Antiqua" w:cs="Arial"/>
        </w:rPr>
      </w:pPr>
      <w:r>
        <w:rPr>
          <w:rFonts w:ascii="Book Antiqua" w:hAnsi="Book Antiqua" w:cs="Arial"/>
        </w:rPr>
        <w:t>If ever there was a case that required finality, this is it.  The history of this matter is so extensive that a final adjudication is urgently required.  However, it is also appropriate and proper that an Appellant’s case is properly and fairly considered.  It is the contention of Mr Bates that this case turns on an assessment of credibility and that the judge has made findings that he was entitled to.  The proper approach to credibility will require an assessment of the evidence and of the general claim and relevant factors will be the internal consistency of the claim, the inherent plausibility of the claim and the consistency of the claim with external factors of the sort typically found in country guidance.  There is little doubt that in this case as time has gone on the amount of documentation has grown and now approaches nearly 700 pages.  The judge made negative credibility findings.</w:t>
      </w:r>
      <w:r w:rsidR="00E83B90">
        <w:rPr>
          <w:rFonts w:ascii="Book Antiqua" w:hAnsi="Book Antiqua" w:cs="Arial"/>
        </w:rPr>
        <w:t xml:space="preserve">  </w:t>
      </w:r>
    </w:p>
    <w:p w:rsidR="00E83B90" w:rsidRDefault="00E83B90" w:rsidP="00BB4879">
      <w:pPr>
        <w:numPr>
          <w:ilvl w:val="0"/>
          <w:numId w:val="3"/>
        </w:numPr>
        <w:spacing w:before="240"/>
        <w:jc w:val="both"/>
        <w:rPr>
          <w:rFonts w:ascii="Book Antiqua" w:hAnsi="Book Antiqua" w:cs="Arial"/>
        </w:rPr>
      </w:pPr>
      <w:r>
        <w:rPr>
          <w:rFonts w:ascii="Book Antiqua" w:hAnsi="Book Antiqua" w:cs="Arial"/>
        </w:rPr>
        <w:t>However, as Miss Warren has pointed out, those findings may be tempered by a full analysis of the evidence that was before the Tribunal.  A detailed reading of the de</w:t>
      </w:r>
      <w:r w:rsidR="005B088E">
        <w:rPr>
          <w:rFonts w:ascii="Book Antiqua" w:hAnsi="Book Antiqua" w:cs="Arial"/>
        </w:rPr>
        <w:t>cision shows that the judge has failed to give consideration firstly to the report of Sheri Laizer and secondly to the report of</w:t>
      </w:r>
      <w:r w:rsidR="00186CB7">
        <w:rPr>
          <w:rFonts w:ascii="Book Antiqua" w:hAnsi="Book Antiqua" w:cs="Arial"/>
        </w:rPr>
        <w:t xml:space="preserve"> Professor Nadje</w:t>
      </w:r>
      <w:r w:rsidR="005B088E">
        <w:rPr>
          <w:rFonts w:ascii="Book Antiqua" w:hAnsi="Book Antiqua" w:cs="Arial"/>
        </w:rPr>
        <w:t xml:space="preserve"> Al Ali.  Those reports may well have pre-dated the country guidance authority of </w:t>
      </w:r>
      <w:r w:rsidR="005B088E">
        <w:rPr>
          <w:rFonts w:ascii="Book Antiqua" w:hAnsi="Book Antiqua" w:cs="Arial"/>
          <w:i/>
        </w:rPr>
        <w:t>AA</w:t>
      </w:r>
      <w:r w:rsidR="005B088E">
        <w:rPr>
          <w:rFonts w:ascii="Book Antiqua" w:hAnsi="Book Antiqua" w:cs="Arial"/>
        </w:rPr>
        <w:t xml:space="preserve"> but there is a requirement to give them due consideration.  Secondly the judge has given the most scant consideration to the witness evidence that was before the court.  If a witness does attend before a Tribunal and give evidence there is a requirement on the judge to at least make findings with regard to that evidence.  Whether the omission to do so in this instance on its own </w:t>
      </w:r>
      <w:r w:rsidR="00731A39">
        <w:rPr>
          <w:rFonts w:ascii="Book Antiqua" w:hAnsi="Book Antiqua" w:cs="Arial"/>
        </w:rPr>
        <w:t xml:space="preserve">is </w:t>
      </w:r>
      <w:r w:rsidR="005B088E">
        <w:rPr>
          <w:rFonts w:ascii="Book Antiqua" w:hAnsi="Book Antiqua" w:cs="Arial"/>
        </w:rPr>
        <w:t>material is a matter of conjecture but I find that the combined failure to give due consideration to the expert evidence and to the witness evidence taints the decision to the extent that there is a material error of law and that the findings of the judge are consequently not sustainable.  I emphasise however to the Appellant that this is not to say that on a re-hearing of this matter when full and proper consideration is given to these issues that a different judge would not come to exactly the same conclusion as that of the First-tier Tribunal</w:t>
      </w:r>
      <w:r w:rsidR="00731A39">
        <w:rPr>
          <w:rFonts w:ascii="Book Antiqua" w:hAnsi="Book Antiqua" w:cs="Arial"/>
        </w:rPr>
        <w:t xml:space="preserve"> Judge</w:t>
      </w:r>
      <w:r w:rsidR="005B088E">
        <w:rPr>
          <w:rFonts w:ascii="Book Antiqua" w:hAnsi="Book Antiqua" w:cs="Arial"/>
        </w:rPr>
        <w:t xml:space="preserve"> who heard this appeal.</w:t>
      </w:r>
    </w:p>
    <w:p w:rsidR="005B088E" w:rsidRDefault="005B088E" w:rsidP="00BB4879">
      <w:pPr>
        <w:numPr>
          <w:ilvl w:val="0"/>
          <w:numId w:val="3"/>
        </w:numPr>
        <w:spacing w:before="240"/>
        <w:jc w:val="both"/>
        <w:rPr>
          <w:rFonts w:ascii="Book Antiqua" w:hAnsi="Book Antiqua" w:cs="Arial"/>
        </w:rPr>
      </w:pPr>
      <w:r>
        <w:rPr>
          <w:rFonts w:ascii="Book Antiqua" w:hAnsi="Book Antiqua" w:cs="Arial"/>
        </w:rPr>
        <w:t>Finally it is appropriate to address the issue with regard to return.  The judge has of his own volition failed to follow country guidance.  That is a bold step to take, and whilst the judge has attempted to give reasons the picture in Mosul is an ever-changing feast</w:t>
      </w:r>
      <w:r w:rsidR="00D3493C">
        <w:rPr>
          <w:rFonts w:ascii="Book Antiqua" w:hAnsi="Book Antiqua" w:cs="Arial"/>
        </w:rPr>
        <w:t xml:space="preserve">.  I accept that ISIS has now been removed from Mosul but return is a matter of considerable </w:t>
      </w:r>
      <w:r w:rsidR="002B5B7C">
        <w:rPr>
          <w:rFonts w:ascii="Book Antiqua" w:hAnsi="Book Antiqua" w:cs="Arial"/>
        </w:rPr>
        <w:t>debate</w:t>
      </w:r>
      <w:r w:rsidR="00D3493C">
        <w:rPr>
          <w:rFonts w:ascii="Book Antiqua" w:hAnsi="Book Antiqua" w:cs="Arial"/>
        </w:rPr>
        <w:t xml:space="preserve"> including the ability to return and the position that the Appellant would find himself in as a Sunni Muslim arriving in Baghdad after 15 years’ absence.  </w:t>
      </w:r>
      <w:r w:rsidR="00D3493C">
        <w:rPr>
          <w:rFonts w:ascii="Book Antiqua" w:hAnsi="Book Antiqua" w:cs="Arial"/>
        </w:rPr>
        <w:lastRenderedPageBreak/>
        <w:t xml:space="preserve">These issues have not been properly addressed, and as such there are material errors of law in the decision of the First-tier Tribunal Judge.  </w:t>
      </w:r>
    </w:p>
    <w:p w:rsidR="00D3493C" w:rsidRDefault="00D3493C" w:rsidP="00BB4879">
      <w:pPr>
        <w:numPr>
          <w:ilvl w:val="0"/>
          <w:numId w:val="3"/>
        </w:numPr>
        <w:spacing w:before="240"/>
        <w:jc w:val="both"/>
        <w:rPr>
          <w:rFonts w:ascii="Book Antiqua" w:hAnsi="Book Antiqua" w:cs="Arial"/>
        </w:rPr>
      </w:pPr>
      <w:r>
        <w:rPr>
          <w:rFonts w:ascii="Book Antiqua" w:hAnsi="Book Antiqua" w:cs="Arial"/>
        </w:rPr>
        <w:t>For all the above reasons, I find the decision of the First-tier Tribunal Judge to be unsafe, and I set aside the decision and remit the matter back to the First-tier Tribunal for re-hearing.</w:t>
      </w:r>
    </w:p>
    <w:p w:rsidR="00D3493C" w:rsidRPr="00731A39" w:rsidRDefault="00D3493C" w:rsidP="00D3493C">
      <w:pPr>
        <w:numPr>
          <w:ilvl w:val="0"/>
          <w:numId w:val="3"/>
        </w:numPr>
        <w:spacing w:before="240"/>
        <w:jc w:val="both"/>
        <w:rPr>
          <w:rFonts w:ascii="Book Antiqua" w:hAnsi="Book Antiqua" w:cs="Arial"/>
        </w:rPr>
      </w:pPr>
      <w:r w:rsidRPr="00731A39">
        <w:rPr>
          <w:rFonts w:ascii="Book Antiqua" w:hAnsi="Book Antiqua" w:cs="Arial"/>
        </w:rPr>
        <w:t>Normally I would set out directions leading to the re-hearing of this matter on the soonest available date.  However,</w:t>
      </w:r>
      <w:r w:rsidR="00731A39" w:rsidRPr="00731A39">
        <w:rPr>
          <w:rFonts w:ascii="Book Antiqua" w:hAnsi="Book Antiqua" w:cs="Arial"/>
        </w:rPr>
        <w:t xml:space="preserve"> due to firstly </w:t>
      </w:r>
      <w:r w:rsidRPr="00731A39">
        <w:rPr>
          <w:rFonts w:ascii="Book Antiqua" w:hAnsi="Book Antiqua" w:cs="Arial"/>
        </w:rPr>
        <w:t>the change of circumstances that have arisen since the Appellant first lodged his application, and</w:t>
      </w:r>
      <w:r w:rsidR="00731A39" w:rsidRPr="00731A39">
        <w:rPr>
          <w:rFonts w:ascii="Book Antiqua" w:hAnsi="Book Antiqua" w:cs="Arial"/>
        </w:rPr>
        <w:t xml:space="preserve"> secondly </w:t>
      </w:r>
      <w:r w:rsidRPr="00731A39">
        <w:rPr>
          <w:rFonts w:ascii="Book Antiqua" w:hAnsi="Book Antiqua" w:cs="Arial"/>
        </w:rPr>
        <w:t>the horrendous history of this particular matter,</w:t>
      </w:r>
      <w:r w:rsidR="00731A39" w:rsidRPr="00731A39">
        <w:rPr>
          <w:rFonts w:ascii="Book Antiqua" w:hAnsi="Book Antiqua" w:cs="Arial"/>
        </w:rPr>
        <w:t xml:space="preserve"> </w:t>
      </w:r>
      <w:r w:rsidRPr="00731A39">
        <w:rPr>
          <w:rFonts w:ascii="Book Antiqua" w:hAnsi="Book Antiqua" w:cs="Arial"/>
        </w:rPr>
        <w:t>I consider it appropriate that the matter be referred firstly to the designated Tribunal Judge sitting at Manchester to hear the matter at a CMC and to give directions for the re-hearing.  I acknowledge to a certain extent any findings in this matter are at present of only limited value bearing in mind that the Secretary of State is not enforcing any returns to Iraq.</w:t>
      </w:r>
    </w:p>
    <w:p w:rsidR="00D3493C" w:rsidRPr="00D3493C" w:rsidRDefault="00D3493C" w:rsidP="00D3493C">
      <w:pPr>
        <w:spacing w:before="240"/>
        <w:jc w:val="both"/>
        <w:rPr>
          <w:rFonts w:ascii="Book Antiqua" w:hAnsi="Book Antiqua" w:cs="Arial"/>
          <w:b/>
        </w:rPr>
      </w:pPr>
      <w:r>
        <w:rPr>
          <w:rFonts w:ascii="Book Antiqua" w:hAnsi="Book Antiqua" w:cs="Arial"/>
          <w:b/>
        </w:rPr>
        <w:t>Decision and Directions</w:t>
      </w:r>
    </w:p>
    <w:p w:rsidR="003405B7" w:rsidRDefault="003405B7" w:rsidP="003405B7">
      <w:pPr>
        <w:jc w:val="both"/>
        <w:rPr>
          <w:rFonts w:ascii="Book Antiqua" w:hAnsi="Book Antiqua" w:cs="Arial"/>
          <w:b/>
        </w:rPr>
      </w:pPr>
    </w:p>
    <w:p w:rsidR="003405B7" w:rsidRDefault="00D3493C" w:rsidP="003405B7">
      <w:pPr>
        <w:jc w:val="both"/>
        <w:rPr>
          <w:rFonts w:ascii="Book Antiqua" w:hAnsi="Book Antiqua" w:cs="Arial"/>
        </w:rPr>
      </w:pPr>
      <w:r>
        <w:rPr>
          <w:rFonts w:ascii="Book Antiqua" w:hAnsi="Book Antiqua" w:cs="Arial"/>
        </w:rPr>
        <w:t>The decision of the First-tier Tribunal contains a material error of law and is set aside with none of the findings of fact to stand.  Directions are given hereinafter to lead to the re-hearing of this matter.</w:t>
      </w:r>
    </w:p>
    <w:p w:rsidR="00D3493C" w:rsidRDefault="00D3493C" w:rsidP="003405B7">
      <w:pPr>
        <w:jc w:val="both"/>
        <w:rPr>
          <w:rFonts w:ascii="Book Antiqua" w:hAnsi="Book Antiqua" w:cs="Arial"/>
        </w:rPr>
      </w:pPr>
    </w:p>
    <w:p w:rsidR="00D3493C" w:rsidRDefault="00D3493C" w:rsidP="00D3493C">
      <w:pPr>
        <w:pStyle w:val="ListParagraph"/>
        <w:numPr>
          <w:ilvl w:val="0"/>
          <w:numId w:val="23"/>
        </w:numPr>
        <w:jc w:val="both"/>
        <w:rPr>
          <w:rFonts w:ascii="Book Antiqua" w:hAnsi="Book Antiqua" w:cs="Arial"/>
        </w:rPr>
      </w:pPr>
      <w:r>
        <w:rPr>
          <w:rFonts w:ascii="Book Antiqua" w:hAnsi="Book Antiqua" w:cs="Arial"/>
        </w:rPr>
        <w:t>On finding that there are material errors of law in the decision of the First-tier Tribunal Judge, the decision is set aside with none of the findings of fact to stand.</w:t>
      </w:r>
    </w:p>
    <w:p w:rsidR="00D3493C" w:rsidRDefault="00D3493C" w:rsidP="00D3493C">
      <w:pPr>
        <w:pStyle w:val="ListParagraph"/>
        <w:numPr>
          <w:ilvl w:val="0"/>
          <w:numId w:val="23"/>
        </w:numPr>
        <w:spacing w:before="240"/>
        <w:contextualSpacing w:val="0"/>
        <w:jc w:val="both"/>
        <w:rPr>
          <w:rFonts w:ascii="Book Antiqua" w:hAnsi="Book Antiqua" w:cs="Arial"/>
        </w:rPr>
      </w:pPr>
      <w:r>
        <w:rPr>
          <w:rFonts w:ascii="Book Antiqua" w:hAnsi="Book Antiqua" w:cs="Arial"/>
        </w:rPr>
        <w:t>The matter is remitted to the First-tier Tribunal sitting at Manchester or Liverpool.</w:t>
      </w:r>
    </w:p>
    <w:p w:rsidR="00D3493C" w:rsidRDefault="00731A39" w:rsidP="00D3493C">
      <w:pPr>
        <w:pStyle w:val="ListParagraph"/>
        <w:numPr>
          <w:ilvl w:val="0"/>
          <w:numId w:val="23"/>
        </w:numPr>
        <w:spacing w:before="240"/>
        <w:contextualSpacing w:val="0"/>
        <w:jc w:val="both"/>
        <w:rPr>
          <w:rFonts w:ascii="Book Antiqua" w:hAnsi="Book Antiqua" w:cs="Arial"/>
        </w:rPr>
      </w:pPr>
      <w:r>
        <w:rPr>
          <w:rFonts w:ascii="Book Antiqua" w:hAnsi="Book Antiqua" w:cs="Arial"/>
        </w:rPr>
        <w:t>That d</w:t>
      </w:r>
      <w:r w:rsidR="00D3493C">
        <w:rPr>
          <w:rFonts w:ascii="Book Antiqua" w:hAnsi="Book Antiqua" w:cs="Arial"/>
        </w:rPr>
        <w:t>ue to:</w:t>
      </w:r>
    </w:p>
    <w:p w:rsidR="00D3493C" w:rsidRDefault="00D3493C" w:rsidP="00D3493C">
      <w:pPr>
        <w:pStyle w:val="ListParagraph"/>
        <w:numPr>
          <w:ilvl w:val="1"/>
          <w:numId w:val="23"/>
        </w:numPr>
        <w:spacing w:before="240"/>
        <w:contextualSpacing w:val="0"/>
        <w:jc w:val="both"/>
        <w:rPr>
          <w:rFonts w:ascii="Book Antiqua" w:hAnsi="Book Antiqua" w:cs="Arial"/>
        </w:rPr>
      </w:pPr>
      <w:r>
        <w:rPr>
          <w:rFonts w:ascii="Book Antiqua" w:hAnsi="Book Antiqua" w:cs="Arial"/>
        </w:rPr>
        <w:t>The history of this matter, and</w:t>
      </w:r>
    </w:p>
    <w:p w:rsidR="00731A39" w:rsidRDefault="00D3493C" w:rsidP="00D3493C">
      <w:pPr>
        <w:pStyle w:val="ListParagraph"/>
        <w:numPr>
          <w:ilvl w:val="1"/>
          <w:numId w:val="23"/>
        </w:numPr>
        <w:spacing w:before="240"/>
        <w:contextualSpacing w:val="0"/>
        <w:jc w:val="both"/>
        <w:rPr>
          <w:rFonts w:ascii="Book Antiqua" w:hAnsi="Book Antiqua" w:cs="Arial"/>
        </w:rPr>
      </w:pPr>
      <w:r>
        <w:rPr>
          <w:rFonts w:ascii="Book Antiqua" w:hAnsi="Book Antiqua" w:cs="Arial"/>
        </w:rPr>
        <w:t>The change of circumstances in Iraq since the Appellant made his application</w:t>
      </w:r>
    </w:p>
    <w:p w:rsidR="00D3493C" w:rsidRPr="00731A39" w:rsidRDefault="00D3493C" w:rsidP="00731A39">
      <w:pPr>
        <w:spacing w:before="240"/>
        <w:ind w:left="567"/>
        <w:jc w:val="both"/>
        <w:rPr>
          <w:rFonts w:ascii="Book Antiqua" w:hAnsi="Book Antiqua" w:cs="Arial"/>
        </w:rPr>
      </w:pPr>
      <w:r w:rsidRPr="00731A39">
        <w:rPr>
          <w:rFonts w:ascii="Book Antiqua" w:hAnsi="Book Antiqua" w:cs="Arial"/>
        </w:rPr>
        <w:t>I direct that this mat</w:t>
      </w:r>
      <w:r w:rsidR="002B5B7C">
        <w:rPr>
          <w:rFonts w:ascii="Book Antiqua" w:hAnsi="Book Antiqua" w:cs="Arial"/>
        </w:rPr>
        <w:t>ter be firstly referred to the D</w:t>
      </w:r>
      <w:r w:rsidRPr="00731A39">
        <w:rPr>
          <w:rFonts w:ascii="Book Antiqua" w:hAnsi="Book Antiqua" w:cs="Arial"/>
        </w:rPr>
        <w:t xml:space="preserve">esignated Immigration Judge sitting at Manchester with a view that the matter be listed for a CMC for directions for re-hearing and </w:t>
      </w:r>
      <w:r w:rsidR="00731A39">
        <w:rPr>
          <w:rFonts w:ascii="Book Antiqua" w:hAnsi="Book Antiqua" w:cs="Arial"/>
        </w:rPr>
        <w:t>for</w:t>
      </w:r>
      <w:r w:rsidR="002B5B7C">
        <w:rPr>
          <w:rFonts w:ascii="Book Antiqua" w:hAnsi="Book Antiqua" w:cs="Arial"/>
        </w:rPr>
        <w:t xml:space="preserve"> consideration</w:t>
      </w:r>
      <w:r w:rsidRPr="00731A39">
        <w:rPr>
          <w:rFonts w:ascii="Book Antiqua" w:hAnsi="Book Antiqua" w:cs="Arial"/>
        </w:rPr>
        <w:t xml:space="preserve"> bearing in mind the substantial number of judges who have previously been involved in this matter that the matter be heard by a full</w:t>
      </w:r>
      <w:r w:rsidR="002B5B7C">
        <w:rPr>
          <w:rFonts w:ascii="Book Antiqua" w:hAnsi="Book Antiqua" w:cs="Arial"/>
        </w:rPr>
        <w:t>-time Immigration Judge on the Designated J</w:t>
      </w:r>
      <w:r w:rsidRPr="00731A39">
        <w:rPr>
          <w:rFonts w:ascii="Book Antiqua" w:hAnsi="Book Antiqua" w:cs="Arial"/>
        </w:rPr>
        <w:t>udge giving directions and an estimated length of hearing.</w:t>
      </w:r>
    </w:p>
    <w:p w:rsidR="00D3493C" w:rsidRDefault="00D3493C" w:rsidP="00D3493C">
      <w:pPr>
        <w:pStyle w:val="ListParagraph"/>
        <w:numPr>
          <w:ilvl w:val="0"/>
          <w:numId w:val="23"/>
        </w:numPr>
        <w:spacing w:before="240"/>
        <w:contextualSpacing w:val="0"/>
        <w:jc w:val="both"/>
        <w:rPr>
          <w:rFonts w:ascii="Book Antiqua" w:hAnsi="Book Antiqua" w:cs="Arial"/>
        </w:rPr>
      </w:pPr>
      <w:r>
        <w:rPr>
          <w:rFonts w:ascii="Book Antiqua" w:hAnsi="Book Antiqua" w:cs="Arial"/>
        </w:rPr>
        <w:t>That at some stage in these proceedings the Appellant has been granted anonymity.  Whilst I would not consider that it is necessary for the Appellant to have anonymity no application is made to vary that order and consequently the anonymity direction will remain in place.</w:t>
      </w:r>
    </w:p>
    <w:p w:rsidR="00D3493C" w:rsidRPr="00D3493C" w:rsidRDefault="00D3493C" w:rsidP="00D3493C">
      <w:pPr>
        <w:pStyle w:val="ListParagraph"/>
        <w:numPr>
          <w:ilvl w:val="0"/>
          <w:numId w:val="23"/>
        </w:numPr>
        <w:spacing w:before="240"/>
        <w:contextualSpacing w:val="0"/>
        <w:jc w:val="both"/>
        <w:rPr>
          <w:rFonts w:ascii="Book Antiqua" w:hAnsi="Book Antiqua" w:cs="Arial"/>
        </w:rPr>
      </w:pPr>
      <w:r>
        <w:rPr>
          <w:rFonts w:ascii="Book Antiqua" w:hAnsi="Book Antiqua" w:cs="Arial"/>
        </w:rPr>
        <w:t>That if the Appellant requires an interpreter at the restored hearing then it is for his instructed solicitors to notify the Tribunal prior to the hearing of any CMC or further directions being given.</w:t>
      </w:r>
    </w:p>
    <w:p w:rsidR="003405B7" w:rsidRPr="003405B7" w:rsidRDefault="003405B7" w:rsidP="003405B7">
      <w:pPr>
        <w:jc w:val="both"/>
        <w:rPr>
          <w:rFonts w:ascii="Book Antiqua" w:hAnsi="Book Antiqua" w:cs="Arial"/>
        </w:rPr>
      </w:pPr>
    </w:p>
    <w:p w:rsidR="00731A39" w:rsidRPr="003405B7" w:rsidRDefault="00731A39" w:rsidP="00731A39">
      <w:pPr>
        <w:jc w:val="both"/>
        <w:rPr>
          <w:rFonts w:ascii="Book Antiqua" w:hAnsi="Book Antiqua" w:cs="Arial"/>
        </w:rPr>
      </w:pPr>
      <w:r w:rsidRPr="003405B7">
        <w:rPr>
          <w:rFonts w:ascii="Book Antiqua" w:hAnsi="Book Antiqua" w:cs="Arial"/>
          <w:b/>
        </w:rPr>
        <w:t>Direction Regarding Anonymity – Rule 14 of the Tribunal Procedure (Upper Tribunal) Rules 2008</w:t>
      </w:r>
    </w:p>
    <w:p w:rsidR="00731A39" w:rsidRPr="003405B7" w:rsidRDefault="00731A39" w:rsidP="00731A39">
      <w:pPr>
        <w:jc w:val="both"/>
        <w:rPr>
          <w:rFonts w:ascii="Book Antiqua" w:hAnsi="Book Antiqua" w:cs="Arial"/>
        </w:rPr>
      </w:pPr>
    </w:p>
    <w:p w:rsidR="00731A39" w:rsidRPr="00687601" w:rsidRDefault="00731A39" w:rsidP="00731A39">
      <w:pPr>
        <w:jc w:val="both"/>
        <w:rPr>
          <w:rFonts w:ascii="Book Antiqua" w:hAnsi="Book Antiqua" w:cs="Arial"/>
        </w:rPr>
      </w:pPr>
      <w:r w:rsidRPr="003405B7">
        <w:rPr>
          <w:rFonts w:ascii="Book Antiqua" w:hAnsi="Book Antiqua" w:cs="Arial"/>
        </w:rPr>
        <w:t xml:space="preserve">Unless and </w:t>
      </w:r>
      <w:r w:rsidRPr="003405B7">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rsidR="003405B7" w:rsidRDefault="003405B7" w:rsidP="000369F5">
      <w:pPr>
        <w:tabs>
          <w:tab w:val="left" w:pos="2520"/>
        </w:tabs>
        <w:jc w:val="both"/>
        <w:rPr>
          <w:rFonts w:ascii="Book Antiqua" w:hAnsi="Book Antiqua" w:cs="Arial"/>
        </w:rPr>
      </w:pPr>
    </w:p>
    <w:p w:rsidR="00B12645" w:rsidRDefault="00B12645" w:rsidP="000369F5">
      <w:pPr>
        <w:tabs>
          <w:tab w:val="left" w:pos="2520"/>
        </w:tabs>
        <w:jc w:val="both"/>
        <w:rPr>
          <w:rFonts w:ascii="Book Antiqua" w:hAnsi="Book Antiqua" w:cs="Arial"/>
        </w:rPr>
      </w:pPr>
    </w:p>
    <w:p w:rsidR="00B12645" w:rsidRPr="00F5664C" w:rsidRDefault="00B12645" w:rsidP="000369F5">
      <w:pPr>
        <w:tabs>
          <w:tab w:val="left" w:pos="2520"/>
        </w:tabs>
        <w:jc w:val="both"/>
        <w:rPr>
          <w:rFonts w:ascii="Book Antiqua" w:hAnsi="Book Antiqua" w:cs="Arial"/>
        </w:rPr>
      </w:pPr>
    </w:p>
    <w:p w:rsidR="00C321B5" w:rsidRPr="00F5664C" w:rsidRDefault="00C321B5" w:rsidP="000369F5">
      <w:pPr>
        <w:tabs>
          <w:tab w:val="left" w:pos="2520"/>
        </w:tabs>
        <w:jc w:val="both"/>
        <w:rPr>
          <w:rFonts w:ascii="Book Antiqua" w:hAnsi="Book Antiqua" w:cs="Arial"/>
        </w:rPr>
      </w:pPr>
    </w:p>
    <w:p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rsidR="003405B7" w:rsidRPr="00385C3B" w:rsidRDefault="003405B7" w:rsidP="003405B7">
      <w:pPr>
        <w:ind w:left="567" w:hanging="567"/>
        <w:jc w:val="both"/>
        <w:rPr>
          <w:rFonts w:ascii="Book Antiqua" w:hAnsi="Book Antiqua" w:cs="Arial"/>
        </w:rPr>
      </w:pPr>
    </w:p>
    <w:p w:rsidR="003405B7" w:rsidRDefault="00554B19" w:rsidP="003405B7">
      <w:pPr>
        <w:jc w:val="both"/>
        <w:rPr>
          <w:rFonts w:ascii="Book Antiqua" w:hAnsi="Book Antiqua" w:cs="Arial"/>
        </w:rPr>
      </w:pPr>
      <w:r>
        <w:rPr>
          <w:rFonts w:ascii="Book Antiqua" w:hAnsi="Book Antiqua" w:cs="Arial"/>
        </w:rPr>
        <w:t>No application is made for a fee award and none is made</w:t>
      </w:r>
      <w:r w:rsidR="003405B7" w:rsidRPr="003405B7">
        <w:rPr>
          <w:rFonts w:ascii="Book Antiqua" w:hAnsi="Book Antiqua" w:cs="Arial"/>
        </w:rPr>
        <w:t>.</w:t>
      </w:r>
    </w:p>
    <w:p w:rsidR="003405B7"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p>
    <w:p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rsidR="003405B7" w:rsidRPr="00F5664C"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r>
        <w:rPr>
          <w:rFonts w:ascii="Book Antiqua" w:hAnsi="Book Antiqua" w:cs="Arial"/>
        </w:rPr>
        <w:t>Deputy Upper Tribunal Judge D N Harris</w:t>
      </w:r>
    </w:p>
    <w:sectPr w:rsidR="003405B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E8B" w:rsidRDefault="00FE5E8B">
      <w:r>
        <w:separator/>
      </w:r>
    </w:p>
  </w:endnote>
  <w:endnote w:type="continuationSeparator" w:id="0">
    <w:p w:rsidR="00FE5E8B" w:rsidRDefault="00FE5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7D3B08">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E8B" w:rsidRDefault="00FE5E8B">
      <w:r>
        <w:separator/>
      </w:r>
    </w:p>
  </w:footnote>
  <w:footnote w:type="continuationSeparator" w:id="0">
    <w:p w:rsidR="00FE5E8B" w:rsidRDefault="00FE5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3755DF">
      <w:rPr>
        <w:rFonts w:ascii="Book Antiqua" w:hAnsi="Book Antiqua" w:cs="Arial"/>
        <w:sz w:val="16"/>
        <w:szCs w:val="16"/>
      </w:rPr>
      <w:t>PA/09472/2017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B3C6EB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A9E20EC"/>
    <w:multiLevelType w:val="multilevel"/>
    <w:tmpl w:val="80F81D9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C0C7185"/>
    <w:multiLevelType w:val="multilevel"/>
    <w:tmpl w:val="CB3C6EB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2157E11"/>
    <w:multiLevelType w:val="multilevel"/>
    <w:tmpl w:val="32D8DC14"/>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8"/>
  </w:num>
  <w:num w:numId="3">
    <w:abstractNumId w:val="2"/>
  </w:num>
  <w:num w:numId="4">
    <w:abstractNumId w:val="14"/>
  </w:num>
  <w:num w:numId="5">
    <w:abstractNumId w:val="24"/>
  </w:num>
  <w:num w:numId="6">
    <w:abstractNumId w:val="16"/>
  </w:num>
  <w:num w:numId="7">
    <w:abstractNumId w:val="22"/>
  </w:num>
  <w:num w:numId="8">
    <w:abstractNumId w:val="12"/>
  </w:num>
  <w:num w:numId="9">
    <w:abstractNumId w:val="6"/>
  </w:num>
  <w:num w:numId="10">
    <w:abstractNumId w:val="21"/>
  </w:num>
  <w:num w:numId="11">
    <w:abstractNumId w:val="20"/>
  </w:num>
  <w:num w:numId="12">
    <w:abstractNumId w:val="1"/>
  </w:num>
  <w:num w:numId="13">
    <w:abstractNumId w:val="19"/>
  </w:num>
  <w:num w:numId="14">
    <w:abstractNumId w:val="0"/>
  </w:num>
  <w:num w:numId="15">
    <w:abstractNumId w:val="3"/>
  </w:num>
  <w:num w:numId="16">
    <w:abstractNumId w:val="5"/>
  </w:num>
  <w:num w:numId="17">
    <w:abstractNumId w:val="17"/>
  </w:num>
  <w:num w:numId="18">
    <w:abstractNumId w:val="13"/>
  </w:num>
  <w:num w:numId="19">
    <w:abstractNumId w:val="9"/>
  </w:num>
  <w:num w:numId="20">
    <w:abstractNumId w:val="11"/>
  </w:num>
  <w:num w:numId="21">
    <w:abstractNumId w:val="23"/>
  </w:num>
  <w:num w:numId="22">
    <w:abstractNumId w:val="15"/>
  </w:num>
  <w:num w:numId="23">
    <w:abstractNumId w:val="8"/>
  </w:num>
  <w:num w:numId="24">
    <w:abstractNumId w:val="1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8B"/>
    <w:rsid w:val="00000621"/>
    <w:rsid w:val="000036C2"/>
    <w:rsid w:val="00021665"/>
    <w:rsid w:val="00033D3D"/>
    <w:rsid w:val="000369F5"/>
    <w:rsid w:val="0003746D"/>
    <w:rsid w:val="00071A7E"/>
    <w:rsid w:val="000746C0"/>
    <w:rsid w:val="00074D1D"/>
    <w:rsid w:val="00092580"/>
    <w:rsid w:val="000D01C9"/>
    <w:rsid w:val="000D5D94"/>
    <w:rsid w:val="000E0CD7"/>
    <w:rsid w:val="00114F8B"/>
    <w:rsid w:val="001165A7"/>
    <w:rsid w:val="00151BB7"/>
    <w:rsid w:val="0015379C"/>
    <w:rsid w:val="00167D3A"/>
    <w:rsid w:val="00186CB7"/>
    <w:rsid w:val="001A1E2C"/>
    <w:rsid w:val="001E2C99"/>
    <w:rsid w:val="001F2716"/>
    <w:rsid w:val="0020133A"/>
    <w:rsid w:val="00207617"/>
    <w:rsid w:val="00255071"/>
    <w:rsid w:val="00283659"/>
    <w:rsid w:val="002B5B7C"/>
    <w:rsid w:val="002C4E73"/>
    <w:rsid w:val="002D68BF"/>
    <w:rsid w:val="00336CBF"/>
    <w:rsid w:val="003405B7"/>
    <w:rsid w:val="00353469"/>
    <w:rsid w:val="003546C8"/>
    <w:rsid w:val="00372706"/>
    <w:rsid w:val="003755DF"/>
    <w:rsid w:val="00385C3B"/>
    <w:rsid w:val="003A7CF2"/>
    <w:rsid w:val="003C5CE5"/>
    <w:rsid w:val="003D3984"/>
    <w:rsid w:val="003E267B"/>
    <w:rsid w:val="003E7CD1"/>
    <w:rsid w:val="003F6C5E"/>
    <w:rsid w:val="00402B9E"/>
    <w:rsid w:val="00423932"/>
    <w:rsid w:val="004249CB"/>
    <w:rsid w:val="0044127D"/>
    <w:rsid w:val="004448DB"/>
    <w:rsid w:val="00446C9A"/>
    <w:rsid w:val="00477193"/>
    <w:rsid w:val="004A1848"/>
    <w:rsid w:val="00507FEC"/>
    <w:rsid w:val="00510F0E"/>
    <w:rsid w:val="005479E1"/>
    <w:rsid w:val="00554B19"/>
    <w:rsid w:val="005570FD"/>
    <w:rsid w:val="005575EA"/>
    <w:rsid w:val="0057790C"/>
    <w:rsid w:val="00593795"/>
    <w:rsid w:val="005A75FF"/>
    <w:rsid w:val="005B088E"/>
    <w:rsid w:val="005B7789"/>
    <w:rsid w:val="005C1A42"/>
    <w:rsid w:val="005D5FCF"/>
    <w:rsid w:val="005D63E8"/>
    <w:rsid w:val="005E49A7"/>
    <w:rsid w:val="00623C4D"/>
    <w:rsid w:val="0065791C"/>
    <w:rsid w:val="00690B8A"/>
    <w:rsid w:val="0069218B"/>
    <w:rsid w:val="006C1571"/>
    <w:rsid w:val="006D1DFA"/>
    <w:rsid w:val="006D506B"/>
    <w:rsid w:val="006E3C90"/>
    <w:rsid w:val="00704B61"/>
    <w:rsid w:val="00707DB1"/>
    <w:rsid w:val="00715090"/>
    <w:rsid w:val="00731A39"/>
    <w:rsid w:val="007353BB"/>
    <w:rsid w:val="00742A8D"/>
    <w:rsid w:val="00752359"/>
    <w:rsid w:val="007552A9"/>
    <w:rsid w:val="00761858"/>
    <w:rsid w:val="00762329"/>
    <w:rsid w:val="00767D59"/>
    <w:rsid w:val="00776E97"/>
    <w:rsid w:val="00780FD7"/>
    <w:rsid w:val="007912AD"/>
    <w:rsid w:val="007A1F28"/>
    <w:rsid w:val="007B0824"/>
    <w:rsid w:val="007C0CD9"/>
    <w:rsid w:val="007D3B08"/>
    <w:rsid w:val="007F61AD"/>
    <w:rsid w:val="008303B8"/>
    <w:rsid w:val="00833DCE"/>
    <w:rsid w:val="00842418"/>
    <w:rsid w:val="008579D7"/>
    <w:rsid w:val="00861384"/>
    <w:rsid w:val="008634DB"/>
    <w:rsid w:val="00871D34"/>
    <w:rsid w:val="008B270C"/>
    <w:rsid w:val="008B3A83"/>
    <w:rsid w:val="008C3D3D"/>
    <w:rsid w:val="008D4131"/>
    <w:rsid w:val="008F1932"/>
    <w:rsid w:val="008F294D"/>
    <w:rsid w:val="00921062"/>
    <w:rsid w:val="0092618D"/>
    <w:rsid w:val="009306CD"/>
    <w:rsid w:val="0093083E"/>
    <w:rsid w:val="009533D0"/>
    <w:rsid w:val="00956C24"/>
    <w:rsid w:val="00960C72"/>
    <w:rsid w:val="00966ECF"/>
    <w:rsid w:val="009727A3"/>
    <w:rsid w:val="00987774"/>
    <w:rsid w:val="009A11E8"/>
    <w:rsid w:val="009C05AE"/>
    <w:rsid w:val="009E4E62"/>
    <w:rsid w:val="009F5220"/>
    <w:rsid w:val="009F7C4D"/>
    <w:rsid w:val="00A15234"/>
    <w:rsid w:val="00A201AB"/>
    <w:rsid w:val="00A31C8B"/>
    <w:rsid w:val="00A75965"/>
    <w:rsid w:val="00A845DC"/>
    <w:rsid w:val="00A97AEE"/>
    <w:rsid w:val="00AC5CF6"/>
    <w:rsid w:val="00AF533C"/>
    <w:rsid w:val="00B07A53"/>
    <w:rsid w:val="00B12645"/>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96FA0"/>
    <w:rsid w:val="00BB4879"/>
    <w:rsid w:val="00BC6C97"/>
    <w:rsid w:val="00BD4196"/>
    <w:rsid w:val="00BE31CE"/>
    <w:rsid w:val="00BF22CA"/>
    <w:rsid w:val="00C26032"/>
    <w:rsid w:val="00C265B0"/>
    <w:rsid w:val="00C321B5"/>
    <w:rsid w:val="00C345E1"/>
    <w:rsid w:val="00C977BA"/>
    <w:rsid w:val="00CB6E35"/>
    <w:rsid w:val="00CE1A46"/>
    <w:rsid w:val="00CE26B2"/>
    <w:rsid w:val="00CF253F"/>
    <w:rsid w:val="00CF56B4"/>
    <w:rsid w:val="00D20F09"/>
    <w:rsid w:val="00D22636"/>
    <w:rsid w:val="00D3493C"/>
    <w:rsid w:val="00D40FD9"/>
    <w:rsid w:val="00D45764"/>
    <w:rsid w:val="00D53769"/>
    <w:rsid w:val="00D65912"/>
    <w:rsid w:val="00D85C13"/>
    <w:rsid w:val="00D91BE3"/>
    <w:rsid w:val="00D94AFC"/>
    <w:rsid w:val="00DB3E91"/>
    <w:rsid w:val="00DB70AE"/>
    <w:rsid w:val="00DB7231"/>
    <w:rsid w:val="00DD5071"/>
    <w:rsid w:val="00DD5C39"/>
    <w:rsid w:val="00DE26AF"/>
    <w:rsid w:val="00DE7DB7"/>
    <w:rsid w:val="00E00A0A"/>
    <w:rsid w:val="00E07F57"/>
    <w:rsid w:val="00E1040E"/>
    <w:rsid w:val="00E10BB6"/>
    <w:rsid w:val="00E249AA"/>
    <w:rsid w:val="00E34DA7"/>
    <w:rsid w:val="00E50BCE"/>
    <w:rsid w:val="00E5154F"/>
    <w:rsid w:val="00E61292"/>
    <w:rsid w:val="00E76309"/>
    <w:rsid w:val="00E77C4D"/>
    <w:rsid w:val="00E81D01"/>
    <w:rsid w:val="00E83B90"/>
    <w:rsid w:val="00EC11F2"/>
    <w:rsid w:val="00EE45D8"/>
    <w:rsid w:val="00F004CD"/>
    <w:rsid w:val="00F22A22"/>
    <w:rsid w:val="00F22EDA"/>
    <w:rsid w:val="00F3224D"/>
    <w:rsid w:val="00F33E0E"/>
    <w:rsid w:val="00F5664C"/>
    <w:rsid w:val="00F95317"/>
    <w:rsid w:val="00FB7E80"/>
    <w:rsid w:val="00FE5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B9809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 w:type="paragraph" w:styleId="ListParagraph">
    <w:name w:val="List Paragraph"/>
    <w:basedOn w:val="Normal"/>
    <w:uiPriority w:val="34"/>
    <w:qFormat/>
    <w:rsid w:val="00D34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2883</Words>
  <Characters>13970</Characters>
  <Application>Microsoft Office Word</Application>
  <DocSecurity>0</DocSecurity>
  <Lines>116</Lines>
  <Paragraphs>33</Paragraphs>
  <ScaleCrop>false</ScaleCrop>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2018-08-28T15:12:00Z</dcterms:created>
  <dcterms:modified xsi:type="dcterms:W3CDTF">2018-08-28T15:12:00Z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