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C668BB" w:rsidRDefault="00EB0E22" w:rsidP="006B6451">
      <w:pPr>
        <w:jc w:val="center"/>
        <w:rPr>
          <w:rFonts w:ascii="Book Antiqua" w:hAnsi="Book Antiqua" w:cs="Arial"/>
          <w:sz w:val="16"/>
          <w:szCs w:val="16"/>
        </w:rPr>
      </w:pPr>
      <w:r w:rsidRPr="00C668BB">
        <w:rPr>
          <w:noProof/>
          <w:sz w:val="16"/>
          <w:szCs w:val="16"/>
        </w:rPr>
        <w:drawing>
          <wp:inline distT="0" distB="0" distL="0" distR="0">
            <wp:extent cx="1046480" cy="90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6480" cy="909320"/>
                    </a:xfrm>
                    <a:prstGeom prst="rect">
                      <a:avLst/>
                    </a:prstGeom>
                    <a:noFill/>
                    <a:ln>
                      <a:noFill/>
                    </a:ln>
                  </pic:spPr>
                </pic:pic>
              </a:graphicData>
            </a:graphic>
          </wp:inline>
        </w:drawing>
      </w:r>
    </w:p>
    <w:p w:rsidR="00D94AFC" w:rsidRPr="00C668BB" w:rsidRDefault="00D94AFC">
      <w:pPr>
        <w:rPr>
          <w:rFonts w:ascii="Book Antiqua" w:hAnsi="Book Antiqua" w:cs="Arial"/>
          <w:sz w:val="16"/>
          <w:szCs w:val="16"/>
        </w:rPr>
      </w:pPr>
    </w:p>
    <w:p w:rsidR="006B6451" w:rsidRPr="00D72CF9" w:rsidRDefault="00215199" w:rsidP="00B626FA">
      <w:pPr>
        <w:tabs>
          <w:tab w:val="right" w:pos="9639"/>
        </w:tabs>
        <w:rPr>
          <w:rFonts w:ascii="Book Antiqua" w:hAnsi="Book Antiqua" w:cs="Arial"/>
          <w:b/>
        </w:rPr>
      </w:pPr>
      <w:r w:rsidRPr="00D72CF9">
        <w:rPr>
          <w:rFonts w:ascii="Book Antiqua" w:hAnsi="Book Antiqua" w:cs="Arial"/>
          <w:b/>
        </w:rPr>
        <w:t>Upper</w:t>
      </w:r>
      <w:r w:rsidR="006B6451" w:rsidRPr="00D72CF9">
        <w:rPr>
          <w:rFonts w:ascii="Book Antiqua" w:hAnsi="Book Antiqua" w:cs="Arial"/>
          <w:b/>
        </w:rPr>
        <w:t xml:space="preserve"> Tribunal</w:t>
      </w:r>
    </w:p>
    <w:p w:rsidR="007B0824" w:rsidRPr="00D72CF9" w:rsidRDefault="006B6451" w:rsidP="00B626FA">
      <w:pPr>
        <w:tabs>
          <w:tab w:val="right" w:pos="9639"/>
        </w:tabs>
        <w:rPr>
          <w:rFonts w:ascii="Book Antiqua" w:hAnsi="Book Antiqua" w:cs="Arial"/>
        </w:rPr>
      </w:pPr>
      <w:r w:rsidRPr="00D72CF9">
        <w:rPr>
          <w:rFonts w:ascii="Book Antiqua" w:hAnsi="Book Antiqua" w:cs="Arial"/>
          <w:b/>
        </w:rPr>
        <w:t>(Immigration and Asylum Chamber)</w:t>
      </w:r>
      <w:r w:rsidR="00B626FA" w:rsidRPr="00D72CF9">
        <w:rPr>
          <w:rFonts w:ascii="Book Antiqua" w:hAnsi="Book Antiqua" w:cs="Arial"/>
          <w:b/>
        </w:rPr>
        <w:tab/>
      </w:r>
      <w:r w:rsidR="00B3524D" w:rsidRPr="00D72CF9">
        <w:rPr>
          <w:rFonts w:ascii="Book Antiqua" w:hAnsi="Book Antiqua" w:cs="Arial"/>
        </w:rPr>
        <w:t>Appeal Number</w:t>
      </w:r>
      <w:r w:rsidR="00D53769" w:rsidRPr="00D72CF9">
        <w:rPr>
          <w:rFonts w:ascii="Book Antiqua" w:hAnsi="Book Antiqua" w:cs="Arial"/>
        </w:rPr>
        <w:t>:</w:t>
      </w:r>
      <w:r w:rsidR="00B3524D" w:rsidRPr="00D72CF9">
        <w:rPr>
          <w:rFonts w:ascii="Book Antiqua" w:hAnsi="Book Antiqua" w:cs="Arial"/>
        </w:rPr>
        <w:t xml:space="preserve"> </w:t>
      </w:r>
      <w:bookmarkStart w:id="0" w:name="_GoBack"/>
      <w:r w:rsidR="00EB0E22" w:rsidRPr="00D72CF9">
        <w:rPr>
          <w:rFonts w:ascii="Book Antiqua" w:hAnsi="Book Antiqua" w:cs="Arial"/>
          <w:caps/>
        </w:rPr>
        <w:t>PA/09638/2017</w:t>
      </w:r>
      <w:bookmarkEnd w:id="0"/>
      <w:r w:rsidR="00EB0E22" w:rsidRPr="00D72CF9">
        <w:rPr>
          <w:rFonts w:ascii="Book Antiqua" w:hAnsi="Book Antiqua" w:cs="Arial"/>
          <w:caps/>
        </w:rPr>
        <w:t xml:space="preserve">  </w:t>
      </w:r>
    </w:p>
    <w:p w:rsidR="00C345E1" w:rsidRPr="00D72CF9" w:rsidRDefault="00C345E1" w:rsidP="00C345E1">
      <w:pPr>
        <w:jc w:val="center"/>
        <w:rPr>
          <w:rFonts w:ascii="Book Antiqua" w:hAnsi="Book Antiqua" w:cs="Arial"/>
        </w:rPr>
      </w:pPr>
    </w:p>
    <w:p w:rsidR="00C345E1" w:rsidRDefault="00C345E1" w:rsidP="00C345E1">
      <w:pPr>
        <w:jc w:val="center"/>
        <w:rPr>
          <w:rFonts w:ascii="Book Antiqua" w:hAnsi="Book Antiqua" w:cs="Arial"/>
        </w:rPr>
      </w:pPr>
    </w:p>
    <w:p w:rsidR="00C668BB" w:rsidRPr="004664B6" w:rsidRDefault="00C668BB" w:rsidP="00C345E1">
      <w:pPr>
        <w:jc w:val="center"/>
        <w:rPr>
          <w:rFonts w:ascii="Book Antiqua" w:hAnsi="Book Antiqua" w:cs="Arial"/>
          <w:vanish/>
          <w:specVanish/>
        </w:rPr>
      </w:pPr>
    </w:p>
    <w:p w:rsidR="00C345E1" w:rsidRPr="00D72CF9" w:rsidRDefault="00C345E1" w:rsidP="00C345E1">
      <w:pPr>
        <w:jc w:val="center"/>
        <w:rPr>
          <w:rFonts w:ascii="Book Antiqua" w:hAnsi="Book Antiqua" w:cs="Arial"/>
          <w:b/>
          <w:u w:val="single"/>
        </w:rPr>
      </w:pPr>
      <w:r w:rsidRPr="00D72CF9">
        <w:rPr>
          <w:rFonts w:ascii="Book Antiqua" w:hAnsi="Book Antiqua" w:cs="Arial"/>
          <w:b/>
          <w:u w:val="single"/>
        </w:rPr>
        <w:t>THE IMMIGRATION ACTS</w:t>
      </w:r>
    </w:p>
    <w:p w:rsidR="00C345E1" w:rsidRPr="00D72CF9" w:rsidRDefault="00C345E1" w:rsidP="00C345E1">
      <w:pPr>
        <w:jc w:val="center"/>
        <w:rPr>
          <w:rFonts w:ascii="Book Antiqua" w:hAnsi="Book Antiqua" w:cs="Arial"/>
          <w:b/>
          <w:u w:val="single"/>
        </w:rPr>
      </w:pPr>
    </w:p>
    <w:p w:rsidR="00C345E1" w:rsidRPr="00D72CF9"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11"/>
        <w:gridCol w:w="837"/>
        <w:gridCol w:w="3960"/>
      </w:tblGrid>
      <w:tr w:rsidR="00D22636" w:rsidRPr="00D72CF9" w:rsidTr="00413CF4">
        <w:tc>
          <w:tcPr>
            <w:tcW w:w="5211" w:type="dxa"/>
          </w:tcPr>
          <w:p w:rsidR="00D22636" w:rsidRPr="00D72CF9" w:rsidRDefault="00D22636" w:rsidP="004A1848">
            <w:pPr>
              <w:jc w:val="both"/>
              <w:rPr>
                <w:rFonts w:ascii="Book Antiqua" w:hAnsi="Book Antiqua" w:cs="Arial"/>
                <w:b/>
              </w:rPr>
            </w:pPr>
            <w:r w:rsidRPr="00D72CF9">
              <w:rPr>
                <w:rFonts w:ascii="Book Antiqua" w:hAnsi="Book Antiqua" w:cs="Arial"/>
                <w:b/>
              </w:rPr>
              <w:t xml:space="preserve">Heard at </w:t>
            </w:r>
            <w:r w:rsidR="0088312F" w:rsidRPr="00D72CF9">
              <w:rPr>
                <w:rFonts w:ascii="Book Antiqua" w:hAnsi="Book Antiqua" w:cs="Arial"/>
                <w:b/>
              </w:rPr>
              <w:t xml:space="preserve">Field House </w:t>
            </w:r>
            <w:r w:rsidR="001B61A7" w:rsidRPr="00D72CF9">
              <w:rPr>
                <w:rFonts w:ascii="Book Antiqua" w:hAnsi="Book Antiqua" w:cs="Arial"/>
                <w:b/>
              </w:rPr>
              <w:t xml:space="preserve"> </w:t>
            </w:r>
          </w:p>
        </w:tc>
        <w:tc>
          <w:tcPr>
            <w:tcW w:w="4797" w:type="dxa"/>
            <w:gridSpan w:val="2"/>
          </w:tcPr>
          <w:p w:rsidR="00D22636" w:rsidRPr="00D72CF9" w:rsidRDefault="00073E80" w:rsidP="004A1848">
            <w:pPr>
              <w:jc w:val="both"/>
              <w:rPr>
                <w:rFonts w:ascii="Book Antiqua" w:hAnsi="Book Antiqua" w:cs="Arial"/>
                <w:b/>
              </w:rPr>
            </w:pPr>
            <w:r w:rsidRPr="00D72CF9">
              <w:rPr>
                <w:rFonts w:ascii="Book Antiqua" w:hAnsi="Book Antiqua" w:cs="Arial"/>
                <w:b/>
              </w:rPr>
              <w:t>Decision &amp; Reasons</w:t>
            </w:r>
            <w:r w:rsidR="00283659" w:rsidRPr="00D72CF9">
              <w:rPr>
                <w:rFonts w:ascii="Book Antiqua" w:hAnsi="Book Antiqua" w:cs="Arial"/>
                <w:b/>
              </w:rPr>
              <w:t xml:space="preserve"> Promulgated</w:t>
            </w:r>
          </w:p>
        </w:tc>
      </w:tr>
      <w:tr w:rsidR="00D22636" w:rsidRPr="00D72CF9" w:rsidTr="00413CF4">
        <w:tc>
          <w:tcPr>
            <w:tcW w:w="5211" w:type="dxa"/>
          </w:tcPr>
          <w:p w:rsidR="00D22636" w:rsidRPr="00D72CF9" w:rsidRDefault="00D22636" w:rsidP="004A1848">
            <w:pPr>
              <w:jc w:val="both"/>
              <w:rPr>
                <w:rFonts w:ascii="Book Antiqua" w:hAnsi="Book Antiqua" w:cs="Arial"/>
                <w:b/>
              </w:rPr>
            </w:pPr>
            <w:r w:rsidRPr="00D72CF9">
              <w:rPr>
                <w:rFonts w:ascii="Book Antiqua" w:hAnsi="Book Antiqua" w:cs="Arial"/>
                <w:b/>
              </w:rPr>
              <w:t xml:space="preserve">On </w:t>
            </w:r>
            <w:r w:rsidR="0088312F" w:rsidRPr="00D72CF9">
              <w:rPr>
                <w:rFonts w:ascii="Book Antiqua" w:hAnsi="Book Antiqua" w:cs="Arial"/>
                <w:b/>
              </w:rPr>
              <w:t>8</w:t>
            </w:r>
            <w:r w:rsidR="0088312F" w:rsidRPr="00D72CF9">
              <w:rPr>
                <w:rFonts w:ascii="Book Antiqua" w:hAnsi="Book Antiqua" w:cs="Arial"/>
                <w:b/>
                <w:vertAlign w:val="superscript"/>
              </w:rPr>
              <w:t>th</w:t>
            </w:r>
            <w:r w:rsidR="0088312F" w:rsidRPr="00D72CF9">
              <w:rPr>
                <w:rFonts w:ascii="Book Antiqua" w:hAnsi="Book Antiqua" w:cs="Arial"/>
                <w:b/>
              </w:rPr>
              <w:t xml:space="preserve"> August 2018 </w:t>
            </w:r>
            <w:r w:rsidR="001B61A7" w:rsidRPr="00D72CF9">
              <w:rPr>
                <w:rFonts w:ascii="Book Antiqua" w:hAnsi="Book Antiqua" w:cs="Arial"/>
                <w:b/>
              </w:rPr>
              <w:t xml:space="preserve"> </w:t>
            </w:r>
          </w:p>
        </w:tc>
        <w:tc>
          <w:tcPr>
            <w:tcW w:w="4797" w:type="dxa"/>
            <w:gridSpan w:val="2"/>
          </w:tcPr>
          <w:p w:rsidR="00D22636" w:rsidRPr="00D72CF9" w:rsidRDefault="00413CF4" w:rsidP="004A1848">
            <w:pPr>
              <w:jc w:val="both"/>
              <w:rPr>
                <w:rFonts w:ascii="Book Antiqua" w:hAnsi="Book Antiqua" w:cs="Arial"/>
                <w:b/>
              </w:rPr>
            </w:pPr>
            <w:r>
              <w:rPr>
                <w:rFonts w:ascii="Book Antiqua" w:hAnsi="Book Antiqua" w:cs="Arial"/>
                <w:b/>
              </w:rPr>
              <w:t xml:space="preserve">On </w:t>
            </w:r>
            <w:r w:rsidR="00C55E5B">
              <w:rPr>
                <w:rFonts w:ascii="Book Antiqua" w:hAnsi="Book Antiqua" w:cs="Arial"/>
                <w:b/>
              </w:rPr>
              <w:t>30</w:t>
            </w:r>
            <w:r w:rsidRPr="00413CF4">
              <w:rPr>
                <w:rFonts w:ascii="Book Antiqua" w:hAnsi="Book Antiqua" w:cs="Arial"/>
                <w:b/>
                <w:vertAlign w:val="superscript"/>
              </w:rPr>
              <w:t>th</w:t>
            </w:r>
            <w:r>
              <w:rPr>
                <w:rFonts w:ascii="Book Antiqua" w:hAnsi="Book Antiqua" w:cs="Arial"/>
                <w:b/>
              </w:rPr>
              <w:t xml:space="preserve"> August 2018 </w:t>
            </w:r>
          </w:p>
        </w:tc>
      </w:tr>
      <w:tr w:rsidR="00D22636" w:rsidRPr="00D72CF9" w:rsidTr="00413CF4">
        <w:tc>
          <w:tcPr>
            <w:tcW w:w="6048" w:type="dxa"/>
            <w:gridSpan w:val="2"/>
          </w:tcPr>
          <w:p w:rsidR="00D22636" w:rsidRPr="00D72CF9" w:rsidRDefault="00D22636" w:rsidP="004A1848">
            <w:pPr>
              <w:jc w:val="both"/>
              <w:rPr>
                <w:rFonts w:ascii="Book Antiqua" w:hAnsi="Book Antiqua" w:cs="Arial"/>
                <w:b/>
              </w:rPr>
            </w:pPr>
          </w:p>
        </w:tc>
        <w:tc>
          <w:tcPr>
            <w:tcW w:w="3960" w:type="dxa"/>
          </w:tcPr>
          <w:p w:rsidR="00D22636" w:rsidRPr="00D72CF9" w:rsidRDefault="00D22636" w:rsidP="004A1848">
            <w:pPr>
              <w:jc w:val="both"/>
              <w:rPr>
                <w:rFonts w:ascii="Book Antiqua" w:hAnsi="Book Antiqua" w:cs="Arial"/>
                <w:b/>
              </w:rPr>
            </w:pPr>
          </w:p>
        </w:tc>
      </w:tr>
    </w:tbl>
    <w:p w:rsidR="00A15234" w:rsidRPr="00D72CF9" w:rsidRDefault="00A15234" w:rsidP="00A15234">
      <w:pPr>
        <w:jc w:val="center"/>
        <w:rPr>
          <w:rFonts w:ascii="Book Antiqua" w:hAnsi="Book Antiqua" w:cs="Arial"/>
        </w:rPr>
      </w:pPr>
    </w:p>
    <w:p w:rsidR="00A15234" w:rsidRPr="00D72CF9" w:rsidRDefault="00207617" w:rsidP="00A15234">
      <w:pPr>
        <w:jc w:val="center"/>
        <w:rPr>
          <w:rFonts w:ascii="Book Antiqua" w:hAnsi="Book Antiqua" w:cs="Arial"/>
          <w:b/>
        </w:rPr>
      </w:pPr>
      <w:r w:rsidRPr="00D72CF9">
        <w:rPr>
          <w:rFonts w:ascii="Book Antiqua" w:hAnsi="Book Antiqua" w:cs="Arial"/>
          <w:b/>
        </w:rPr>
        <w:t>Befo</w:t>
      </w:r>
      <w:r w:rsidR="00A15234" w:rsidRPr="00D72CF9">
        <w:rPr>
          <w:rFonts w:ascii="Book Antiqua" w:hAnsi="Book Antiqua" w:cs="Arial"/>
          <w:b/>
        </w:rPr>
        <w:t>re</w:t>
      </w:r>
    </w:p>
    <w:p w:rsidR="00A15234" w:rsidRPr="00D72CF9" w:rsidRDefault="00A15234" w:rsidP="00A15234">
      <w:pPr>
        <w:jc w:val="center"/>
        <w:rPr>
          <w:rFonts w:ascii="Book Antiqua" w:hAnsi="Book Antiqua" w:cs="Arial"/>
          <w:b/>
        </w:rPr>
      </w:pPr>
    </w:p>
    <w:p w:rsidR="00A15234" w:rsidRPr="00D72CF9" w:rsidRDefault="00635C47" w:rsidP="00A15234">
      <w:pPr>
        <w:jc w:val="center"/>
        <w:rPr>
          <w:rFonts w:ascii="Book Antiqua" w:hAnsi="Book Antiqua" w:cs="Arial"/>
          <w:b/>
          <w:caps/>
        </w:rPr>
      </w:pPr>
      <w:r w:rsidRPr="00D72CF9">
        <w:rPr>
          <w:rFonts w:ascii="Book Antiqua" w:hAnsi="Book Antiqua" w:cs="Arial"/>
          <w:b/>
          <w:caps/>
        </w:rPr>
        <w:t xml:space="preserve">DEPUTY </w:t>
      </w:r>
      <w:r w:rsidR="00C61C08" w:rsidRPr="00D72CF9">
        <w:rPr>
          <w:rFonts w:ascii="Book Antiqua" w:hAnsi="Book Antiqua" w:cs="Arial"/>
          <w:b/>
          <w:caps/>
        </w:rPr>
        <w:t>upper tribunal judge</w:t>
      </w:r>
      <w:r w:rsidR="00825478" w:rsidRPr="00D72CF9">
        <w:rPr>
          <w:rFonts w:ascii="Book Antiqua" w:hAnsi="Book Antiqua" w:cs="Arial"/>
          <w:b/>
          <w:caps/>
        </w:rPr>
        <w:t xml:space="preserve"> ROBERTS</w:t>
      </w:r>
      <w:r w:rsidR="002C4131" w:rsidRPr="00D72CF9">
        <w:rPr>
          <w:rFonts w:ascii="Book Antiqua" w:hAnsi="Book Antiqua" w:cs="Arial"/>
          <w:b/>
          <w:caps/>
        </w:rPr>
        <w:t xml:space="preserve">  </w:t>
      </w:r>
    </w:p>
    <w:p w:rsidR="00A845DC" w:rsidRDefault="00A845DC" w:rsidP="00A15234">
      <w:pPr>
        <w:jc w:val="center"/>
        <w:rPr>
          <w:rFonts w:ascii="Book Antiqua" w:hAnsi="Book Antiqua" w:cs="Arial"/>
          <w:b/>
        </w:rPr>
      </w:pPr>
    </w:p>
    <w:p w:rsidR="00C668BB" w:rsidRPr="00D72CF9" w:rsidRDefault="00C668BB" w:rsidP="00A15234">
      <w:pPr>
        <w:jc w:val="center"/>
        <w:rPr>
          <w:rFonts w:ascii="Book Antiqua" w:hAnsi="Book Antiqua" w:cs="Arial"/>
          <w:b/>
        </w:rPr>
      </w:pPr>
    </w:p>
    <w:p w:rsidR="00A845DC" w:rsidRPr="00D72CF9" w:rsidRDefault="00A845DC" w:rsidP="00A15234">
      <w:pPr>
        <w:jc w:val="center"/>
        <w:rPr>
          <w:rFonts w:ascii="Book Antiqua" w:hAnsi="Book Antiqua" w:cs="Arial"/>
          <w:b/>
        </w:rPr>
      </w:pPr>
      <w:r w:rsidRPr="00D72CF9">
        <w:rPr>
          <w:rFonts w:ascii="Book Antiqua" w:hAnsi="Book Antiqua" w:cs="Arial"/>
          <w:b/>
        </w:rPr>
        <w:t>Between</w:t>
      </w:r>
    </w:p>
    <w:p w:rsidR="00A845DC" w:rsidRPr="00D72CF9" w:rsidRDefault="00A845DC" w:rsidP="00A15234">
      <w:pPr>
        <w:jc w:val="center"/>
        <w:rPr>
          <w:rFonts w:ascii="Book Antiqua" w:hAnsi="Book Antiqua" w:cs="Arial"/>
          <w:b/>
        </w:rPr>
      </w:pPr>
    </w:p>
    <w:p w:rsidR="00073E80" w:rsidRPr="00D72CF9" w:rsidRDefault="007F4483" w:rsidP="00073E80">
      <w:pPr>
        <w:jc w:val="center"/>
        <w:rPr>
          <w:rFonts w:ascii="Book Antiqua" w:hAnsi="Book Antiqua" w:cs="Arial"/>
          <w:b/>
          <w:caps/>
          <w:noProof/>
        </w:rPr>
      </w:pPr>
      <w:bookmarkStart w:id="1" w:name="Text7"/>
      <w:r w:rsidRPr="00D72CF9">
        <w:rPr>
          <w:rFonts w:ascii="Book Antiqua" w:hAnsi="Book Antiqua" w:cs="Arial"/>
          <w:b/>
          <w:caps/>
          <w:noProof/>
        </w:rPr>
        <w:t>THE SECRETARY OF STATE FOR THE HOME DEPARTMENT</w:t>
      </w:r>
      <w:bookmarkEnd w:id="1"/>
      <w:r w:rsidRPr="00D72CF9">
        <w:rPr>
          <w:rFonts w:ascii="Book Antiqua" w:hAnsi="Book Antiqua" w:cs="Arial"/>
          <w:b/>
          <w:caps/>
          <w:noProof/>
        </w:rPr>
        <w:t xml:space="preserve">  </w:t>
      </w:r>
    </w:p>
    <w:p w:rsidR="00704B61" w:rsidRPr="00D72CF9" w:rsidRDefault="00704B61" w:rsidP="00704B61">
      <w:pPr>
        <w:jc w:val="right"/>
        <w:rPr>
          <w:rFonts w:ascii="Book Antiqua" w:hAnsi="Book Antiqua" w:cs="Arial"/>
          <w:u w:val="single"/>
        </w:rPr>
      </w:pPr>
      <w:r w:rsidRPr="00D72CF9">
        <w:rPr>
          <w:rFonts w:ascii="Book Antiqua" w:hAnsi="Book Antiqua" w:cs="Arial"/>
          <w:u w:val="single"/>
        </w:rPr>
        <w:t>Appellant</w:t>
      </w:r>
    </w:p>
    <w:p w:rsidR="00704B61" w:rsidRPr="00D72CF9" w:rsidRDefault="00DD5071" w:rsidP="00704B61">
      <w:pPr>
        <w:jc w:val="center"/>
        <w:rPr>
          <w:rFonts w:ascii="Book Antiqua" w:hAnsi="Book Antiqua" w:cs="Arial"/>
          <w:b/>
        </w:rPr>
      </w:pPr>
      <w:r w:rsidRPr="00D72CF9">
        <w:rPr>
          <w:rFonts w:ascii="Book Antiqua" w:hAnsi="Book Antiqua" w:cs="Arial"/>
          <w:b/>
        </w:rPr>
        <w:t>and</w:t>
      </w:r>
    </w:p>
    <w:p w:rsidR="00DD5071" w:rsidRPr="00D72CF9" w:rsidRDefault="00DD5071" w:rsidP="00704B61">
      <w:pPr>
        <w:jc w:val="center"/>
        <w:rPr>
          <w:rFonts w:ascii="Book Antiqua" w:hAnsi="Book Antiqua" w:cs="Arial"/>
          <w:b/>
        </w:rPr>
      </w:pPr>
    </w:p>
    <w:p w:rsidR="007F4483" w:rsidRPr="00D72CF9" w:rsidRDefault="007F4483" w:rsidP="007F4483">
      <w:pPr>
        <w:jc w:val="center"/>
        <w:rPr>
          <w:rFonts w:ascii="Book Antiqua" w:hAnsi="Book Antiqua" w:cs="Arial"/>
          <w:b/>
          <w:caps/>
        </w:rPr>
      </w:pPr>
      <w:r w:rsidRPr="00D72CF9">
        <w:rPr>
          <w:rFonts w:ascii="Book Antiqua" w:hAnsi="Book Antiqua" w:cs="Arial"/>
          <w:b/>
          <w:caps/>
        </w:rPr>
        <w:t>R</w:t>
      </w:r>
      <w:r w:rsidR="00020530">
        <w:rPr>
          <w:rFonts w:ascii="Book Antiqua" w:hAnsi="Book Antiqua" w:cs="Arial"/>
          <w:b/>
          <w:caps/>
        </w:rPr>
        <w:t>.</w:t>
      </w:r>
      <w:r w:rsidRPr="00D72CF9">
        <w:rPr>
          <w:rFonts w:ascii="Book Antiqua" w:hAnsi="Book Antiqua" w:cs="Arial"/>
          <w:b/>
          <w:caps/>
        </w:rPr>
        <w:t>R</w:t>
      </w:r>
      <w:r w:rsidR="00020530">
        <w:rPr>
          <w:rFonts w:ascii="Book Antiqua" w:hAnsi="Book Antiqua" w:cs="Arial"/>
          <w:b/>
          <w:caps/>
        </w:rPr>
        <w:t>.</w:t>
      </w:r>
      <w:r w:rsidRPr="00D72CF9">
        <w:rPr>
          <w:rFonts w:ascii="Book Antiqua" w:hAnsi="Book Antiqua" w:cs="Arial"/>
          <w:b/>
          <w:caps/>
        </w:rPr>
        <w:t xml:space="preserve">  </w:t>
      </w:r>
    </w:p>
    <w:p w:rsidR="007F4483" w:rsidRPr="00C668BB" w:rsidRDefault="007F4483" w:rsidP="007F4483">
      <w:pPr>
        <w:jc w:val="center"/>
        <w:rPr>
          <w:rFonts w:ascii="Book Antiqua" w:hAnsi="Book Antiqua" w:cs="Arial"/>
          <w:b/>
          <w:sz w:val="22"/>
        </w:rPr>
      </w:pPr>
      <w:r w:rsidRPr="00C668BB">
        <w:rPr>
          <w:rFonts w:ascii="Book Antiqua" w:hAnsi="Book Antiqua" w:cs="Arial"/>
          <w:b/>
          <w:caps/>
          <w:sz w:val="22"/>
        </w:rPr>
        <w:t xml:space="preserve">(ANONYMITY DIRECTION </w:t>
      </w:r>
      <w:r w:rsidR="00020530" w:rsidRPr="00C668BB">
        <w:rPr>
          <w:rFonts w:ascii="Book Antiqua" w:hAnsi="Book Antiqua" w:cs="Arial"/>
          <w:b/>
          <w:caps/>
          <w:sz w:val="22"/>
        </w:rPr>
        <w:t>made</w:t>
      </w:r>
      <w:r w:rsidRPr="00C668BB">
        <w:rPr>
          <w:rFonts w:ascii="Book Antiqua" w:hAnsi="Book Antiqua" w:cs="Arial"/>
          <w:b/>
          <w:caps/>
          <w:sz w:val="22"/>
        </w:rPr>
        <w:t>)</w:t>
      </w:r>
    </w:p>
    <w:p w:rsidR="00DD5071" w:rsidRPr="00D72CF9" w:rsidRDefault="00DD5071" w:rsidP="00DD5071">
      <w:pPr>
        <w:jc w:val="right"/>
        <w:rPr>
          <w:rFonts w:ascii="Book Antiqua" w:hAnsi="Book Antiqua" w:cs="Arial"/>
          <w:u w:val="single"/>
        </w:rPr>
      </w:pPr>
      <w:r w:rsidRPr="00D72CF9">
        <w:rPr>
          <w:rFonts w:ascii="Book Antiqua" w:hAnsi="Book Antiqua" w:cs="Arial"/>
          <w:u w:val="single"/>
        </w:rPr>
        <w:t>Respondent</w:t>
      </w:r>
    </w:p>
    <w:p w:rsidR="00DD5071" w:rsidRPr="00D72CF9" w:rsidRDefault="00DD5071" w:rsidP="00DD5071">
      <w:pPr>
        <w:rPr>
          <w:rFonts w:ascii="Book Antiqua" w:hAnsi="Book Antiqua" w:cs="Arial"/>
          <w:u w:val="single"/>
        </w:rPr>
      </w:pPr>
    </w:p>
    <w:p w:rsidR="00DD5071" w:rsidRPr="00D72CF9" w:rsidRDefault="00DD5071" w:rsidP="00DD5071">
      <w:pPr>
        <w:rPr>
          <w:rFonts w:ascii="Book Antiqua" w:hAnsi="Book Antiqua" w:cs="Arial"/>
          <w:u w:val="single"/>
        </w:rPr>
      </w:pPr>
    </w:p>
    <w:p w:rsidR="00DD5071" w:rsidRPr="00D72CF9" w:rsidRDefault="00DE7DB7" w:rsidP="00DD5071">
      <w:pPr>
        <w:rPr>
          <w:rFonts w:ascii="Book Antiqua" w:hAnsi="Book Antiqua" w:cs="Arial"/>
        </w:rPr>
      </w:pPr>
      <w:r w:rsidRPr="00D72CF9">
        <w:rPr>
          <w:rFonts w:ascii="Book Antiqua" w:hAnsi="Book Antiqua" w:cs="Arial"/>
          <w:b/>
          <w:u w:val="single"/>
        </w:rPr>
        <w:t>Representation</w:t>
      </w:r>
      <w:r w:rsidRPr="00D72CF9">
        <w:rPr>
          <w:rFonts w:ascii="Book Antiqua" w:hAnsi="Book Antiqua" w:cs="Arial"/>
          <w:b/>
        </w:rPr>
        <w:t>:</w:t>
      </w:r>
    </w:p>
    <w:p w:rsidR="00DE7DB7" w:rsidRPr="00D72CF9" w:rsidRDefault="00DE7DB7" w:rsidP="00DE7DB7">
      <w:pPr>
        <w:tabs>
          <w:tab w:val="left" w:pos="2520"/>
        </w:tabs>
        <w:rPr>
          <w:rFonts w:ascii="Book Antiqua" w:hAnsi="Book Antiqua" w:cs="Arial"/>
        </w:rPr>
      </w:pPr>
      <w:r w:rsidRPr="00D72CF9">
        <w:rPr>
          <w:rFonts w:ascii="Book Antiqua" w:hAnsi="Book Antiqua" w:cs="Arial"/>
        </w:rPr>
        <w:t>For the Appellant:</w:t>
      </w:r>
      <w:r w:rsidRPr="00D72CF9">
        <w:rPr>
          <w:rFonts w:ascii="Book Antiqua" w:hAnsi="Book Antiqua" w:cs="Arial"/>
        </w:rPr>
        <w:tab/>
      </w:r>
      <w:r w:rsidR="007F4483" w:rsidRPr="00D72CF9">
        <w:rPr>
          <w:rFonts w:ascii="Book Antiqua" w:hAnsi="Book Antiqua" w:cs="Arial"/>
        </w:rPr>
        <w:t xml:space="preserve">Miss Fijiwala, Senior Home Office Presenting Officer  </w:t>
      </w:r>
    </w:p>
    <w:p w:rsidR="00DE7DB7" w:rsidRPr="00D72CF9" w:rsidRDefault="00DE7DB7" w:rsidP="00DE7DB7">
      <w:pPr>
        <w:tabs>
          <w:tab w:val="left" w:pos="2520"/>
        </w:tabs>
        <w:rPr>
          <w:rFonts w:ascii="Book Antiqua" w:hAnsi="Book Antiqua" w:cs="Arial"/>
        </w:rPr>
      </w:pPr>
      <w:r w:rsidRPr="00D72CF9">
        <w:rPr>
          <w:rFonts w:ascii="Book Antiqua" w:hAnsi="Book Antiqua" w:cs="Arial"/>
        </w:rPr>
        <w:t>For the Respondent:</w:t>
      </w:r>
      <w:r w:rsidRPr="00D72CF9">
        <w:rPr>
          <w:rFonts w:ascii="Book Antiqua" w:hAnsi="Book Antiqua" w:cs="Arial"/>
        </w:rPr>
        <w:tab/>
      </w:r>
      <w:r w:rsidR="00EA7F84">
        <w:rPr>
          <w:rFonts w:ascii="Book Antiqua" w:hAnsi="Book Antiqua" w:cs="Arial"/>
        </w:rPr>
        <w:t xml:space="preserve">Mr </w:t>
      </w:r>
      <w:proofErr w:type="spellStart"/>
      <w:r w:rsidR="00EA7F84">
        <w:rPr>
          <w:rFonts w:ascii="Book Antiqua" w:hAnsi="Book Antiqua" w:cs="Arial"/>
        </w:rPr>
        <w:t>Waheed</w:t>
      </w:r>
      <w:proofErr w:type="spellEnd"/>
      <w:r w:rsidR="00EA7F84">
        <w:rPr>
          <w:rFonts w:ascii="Book Antiqua" w:hAnsi="Book Antiqua" w:cs="Arial"/>
        </w:rPr>
        <w:t>,</w:t>
      </w:r>
      <w:r w:rsidR="004F48EA" w:rsidRPr="00D72CF9">
        <w:rPr>
          <w:rFonts w:ascii="Book Antiqua" w:hAnsi="Book Antiqua" w:cs="Arial"/>
        </w:rPr>
        <w:t xml:space="preserve"> Counsel  </w:t>
      </w:r>
    </w:p>
    <w:p w:rsidR="00DE7DB7" w:rsidRDefault="00DE7DB7" w:rsidP="00402B9E">
      <w:pPr>
        <w:tabs>
          <w:tab w:val="left" w:pos="2520"/>
        </w:tabs>
        <w:jc w:val="center"/>
        <w:rPr>
          <w:rFonts w:ascii="Book Antiqua" w:hAnsi="Book Antiqua" w:cs="Arial"/>
        </w:rPr>
      </w:pPr>
    </w:p>
    <w:p w:rsidR="00E70295" w:rsidRPr="00D72CF9" w:rsidRDefault="00E70295" w:rsidP="00402B9E">
      <w:pPr>
        <w:tabs>
          <w:tab w:val="left" w:pos="2520"/>
        </w:tabs>
        <w:jc w:val="center"/>
        <w:rPr>
          <w:rFonts w:ascii="Book Antiqua" w:hAnsi="Book Antiqua" w:cs="Arial"/>
        </w:rPr>
      </w:pPr>
    </w:p>
    <w:p w:rsidR="00020530" w:rsidRDefault="00020530" w:rsidP="00020530">
      <w:pPr>
        <w:rPr>
          <w:rFonts w:ascii="Book Antiqua" w:hAnsi="Book Antiqua" w:cs="Arial"/>
          <w:b/>
          <w:u w:val="single"/>
        </w:rPr>
      </w:pPr>
      <w:r>
        <w:rPr>
          <w:rFonts w:ascii="Book Antiqua" w:hAnsi="Book Antiqua" w:cs="Arial"/>
          <w:b/>
          <w:u w:val="single"/>
        </w:rPr>
        <w:t>Anonymity</w:t>
      </w:r>
    </w:p>
    <w:p w:rsidR="00020530" w:rsidRPr="002B111E" w:rsidRDefault="00020530" w:rsidP="00020530">
      <w:pPr>
        <w:rPr>
          <w:rFonts w:ascii="Book Antiqua" w:hAnsi="Book Antiqua" w:cs="Arial"/>
          <w:i/>
        </w:rPr>
      </w:pPr>
      <w:r w:rsidRPr="002B111E">
        <w:rPr>
          <w:rFonts w:ascii="Book Antiqua" w:hAnsi="Book Antiqua" w:cs="Arial"/>
          <w:i/>
        </w:rPr>
        <w:t>Rule 14: The Tribunal Procedure (Upper Tribunal) Rules 2008</w:t>
      </w:r>
    </w:p>
    <w:p w:rsidR="00020530" w:rsidRPr="002B111E" w:rsidRDefault="00020530" w:rsidP="00020530">
      <w:pPr>
        <w:rPr>
          <w:rFonts w:ascii="Book Antiqua" w:hAnsi="Book Antiqua" w:cs="Arial"/>
        </w:rPr>
      </w:pPr>
      <w:r>
        <w:rPr>
          <w:rFonts w:ascii="Book Antiqua" w:hAnsi="Book Antiqua" w:cs="Arial"/>
        </w:rPr>
        <w:t xml:space="preserve">An anonymity direction is made. As a protection claim, it is appropriate to do so. </w:t>
      </w:r>
    </w:p>
    <w:p w:rsidR="00DE7DB7" w:rsidRPr="00D72CF9" w:rsidRDefault="00DE7DB7" w:rsidP="00402B9E">
      <w:pPr>
        <w:tabs>
          <w:tab w:val="left" w:pos="2520"/>
        </w:tabs>
        <w:jc w:val="center"/>
        <w:rPr>
          <w:rFonts w:ascii="Book Antiqua" w:hAnsi="Book Antiqua" w:cs="Arial"/>
        </w:rPr>
      </w:pPr>
    </w:p>
    <w:p w:rsidR="009C425C" w:rsidRDefault="009C425C" w:rsidP="00402B9E">
      <w:pPr>
        <w:tabs>
          <w:tab w:val="left" w:pos="2520"/>
        </w:tabs>
        <w:jc w:val="center"/>
        <w:rPr>
          <w:rFonts w:ascii="Book Antiqua" w:hAnsi="Book Antiqua" w:cs="Arial"/>
          <w:b/>
          <w:u w:val="single"/>
        </w:rPr>
      </w:pPr>
    </w:p>
    <w:p w:rsidR="00DE7DB7" w:rsidRPr="00D72CF9" w:rsidRDefault="00073E80" w:rsidP="00402B9E">
      <w:pPr>
        <w:tabs>
          <w:tab w:val="left" w:pos="2520"/>
        </w:tabs>
        <w:jc w:val="center"/>
        <w:rPr>
          <w:rFonts w:ascii="Book Antiqua" w:hAnsi="Book Antiqua" w:cs="Arial"/>
        </w:rPr>
      </w:pPr>
      <w:r w:rsidRPr="00D72CF9">
        <w:rPr>
          <w:rFonts w:ascii="Book Antiqua" w:hAnsi="Book Antiqua" w:cs="Arial"/>
          <w:b/>
          <w:u w:val="single"/>
        </w:rPr>
        <w:t xml:space="preserve">DECISION </w:t>
      </w:r>
      <w:r w:rsidR="00402B9E" w:rsidRPr="00D72CF9">
        <w:rPr>
          <w:rFonts w:ascii="Book Antiqua" w:hAnsi="Book Antiqua" w:cs="Arial"/>
          <w:b/>
          <w:u w:val="single"/>
        </w:rPr>
        <w:t>AND REASONS</w:t>
      </w:r>
      <w:r w:rsidR="004F48EA" w:rsidRPr="00D72CF9">
        <w:rPr>
          <w:rFonts w:ascii="Book Antiqua" w:hAnsi="Book Antiqua" w:cs="Arial"/>
          <w:b/>
          <w:u w:val="single"/>
        </w:rPr>
        <w:t xml:space="preserve">  </w:t>
      </w:r>
    </w:p>
    <w:p w:rsidR="001B61A7" w:rsidRPr="00D72CF9" w:rsidRDefault="00EE3332" w:rsidP="00E943B7">
      <w:pPr>
        <w:numPr>
          <w:ilvl w:val="0"/>
          <w:numId w:val="3"/>
        </w:numPr>
        <w:spacing w:before="240"/>
        <w:jc w:val="both"/>
        <w:rPr>
          <w:rFonts w:ascii="Book Antiqua" w:hAnsi="Book Antiqua" w:cs="Arial"/>
        </w:rPr>
      </w:pPr>
      <w:r w:rsidRPr="00D72CF9">
        <w:rPr>
          <w:rFonts w:ascii="Book Antiqua" w:hAnsi="Book Antiqua" w:cs="Arial"/>
        </w:rPr>
        <w:t>This is the appeal of the Secretary of State against the decision of the First-tier Tribunal (Judge Gaskell) allowing the appeal of Miss R</w:t>
      </w:r>
      <w:r w:rsidR="00020530">
        <w:rPr>
          <w:rFonts w:ascii="Book Antiqua" w:hAnsi="Book Antiqua" w:cs="Arial"/>
        </w:rPr>
        <w:t>.</w:t>
      </w:r>
      <w:r w:rsidRPr="00D72CF9">
        <w:rPr>
          <w:rFonts w:ascii="Book Antiqua" w:hAnsi="Book Antiqua" w:cs="Arial"/>
        </w:rPr>
        <w:t>R</w:t>
      </w:r>
      <w:r w:rsidR="00020530">
        <w:rPr>
          <w:rFonts w:ascii="Book Antiqua" w:hAnsi="Book Antiqua" w:cs="Arial"/>
        </w:rPr>
        <w:t>.</w:t>
      </w:r>
      <w:r w:rsidRPr="00D72CF9">
        <w:rPr>
          <w:rFonts w:ascii="Book Antiqua" w:hAnsi="Book Antiqua" w:cs="Arial"/>
        </w:rPr>
        <w:t xml:space="preserve"> against the Secretary of State’s refusal to grant her asylum/humanitarian protection.  </w:t>
      </w:r>
    </w:p>
    <w:p w:rsidR="00EE3332" w:rsidRPr="00D72CF9" w:rsidRDefault="00EE3332" w:rsidP="00E943B7">
      <w:pPr>
        <w:numPr>
          <w:ilvl w:val="0"/>
          <w:numId w:val="3"/>
        </w:numPr>
        <w:spacing w:before="240"/>
        <w:jc w:val="both"/>
        <w:rPr>
          <w:rFonts w:ascii="Book Antiqua" w:hAnsi="Book Antiqua" w:cs="Arial"/>
        </w:rPr>
      </w:pPr>
      <w:r w:rsidRPr="00D72CF9">
        <w:rPr>
          <w:rFonts w:ascii="Book Antiqua" w:hAnsi="Book Antiqua" w:cs="Arial"/>
        </w:rPr>
        <w:lastRenderedPageBreak/>
        <w:t>For the sake of clarity I shall throughout this decision refer to Miss R</w:t>
      </w:r>
      <w:r w:rsidR="00020530">
        <w:rPr>
          <w:rFonts w:ascii="Book Antiqua" w:hAnsi="Book Antiqua" w:cs="Arial"/>
        </w:rPr>
        <w:t>.</w:t>
      </w:r>
      <w:r w:rsidRPr="00D72CF9">
        <w:rPr>
          <w:rFonts w:ascii="Book Antiqua" w:hAnsi="Book Antiqua" w:cs="Arial"/>
        </w:rPr>
        <w:t>R</w:t>
      </w:r>
      <w:r w:rsidR="00020530">
        <w:rPr>
          <w:rFonts w:ascii="Book Antiqua" w:hAnsi="Book Antiqua" w:cs="Arial"/>
        </w:rPr>
        <w:t>.</w:t>
      </w:r>
      <w:r w:rsidRPr="00D72CF9">
        <w:rPr>
          <w:rFonts w:ascii="Book Antiqua" w:hAnsi="Book Antiqua" w:cs="Arial"/>
        </w:rPr>
        <w:t xml:space="preserve"> as “the Appellant” and to the Secretary of State as “the Respondent”</w:t>
      </w:r>
      <w:r w:rsidR="007C1F18" w:rsidRPr="00D72CF9">
        <w:rPr>
          <w:rFonts w:ascii="Book Antiqua" w:hAnsi="Book Antiqua" w:cs="Arial"/>
        </w:rPr>
        <w:t xml:space="preserve"> </w:t>
      </w:r>
      <w:r w:rsidRPr="00D72CF9">
        <w:rPr>
          <w:rFonts w:ascii="Book Antiqua" w:hAnsi="Book Antiqua" w:cs="Arial"/>
        </w:rPr>
        <w:t xml:space="preserve">thereby reflecting their respective positions before the First-tier Tribunal.  </w:t>
      </w:r>
    </w:p>
    <w:p w:rsidR="00EE3332" w:rsidRPr="00D72CF9" w:rsidRDefault="00EE3332" w:rsidP="00EE3332">
      <w:pPr>
        <w:spacing w:before="240"/>
        <w:jc w:val="both"/>
        <w:rPr>
          <w:rFonts w:ascii="Book Antiqua" w:hAnsi="Book Antiqua" w:cs="Arial"/>
          <w:b/>
          <w:u w:val="single"/>
        </w:rPr>
      </w:pPr>
      <w:r w:rsidRPr="00D72CF9">
        <w:rPr>
          <w:rFonts w:ascii="Book Antiqua" w:hAnsi="Book Antiqua" w:cs="Arial"/>
          <w:b/>
          <w:u w:val="single"/>
        </w:rPr>
        <w:t xml:space="preserve">Background  </w:t>
      </w:r>
    </w:p>
    <w:p w:rsidR="001B61A7" w:rsidRPr="00D72CF9" w:rsidRDefault="00EE3332" w:rsidP="00E943B7">
      <w:pPr>
        <w:numPr>
          <w:ilvl w:val="0"/>
          <w:numId w:val="3"/>
        </w:numPr>
        <w:spacing w:before="240"/>
        <w:jc w:val="both"/>
        <w:rPr>
          <w:rFonts w:ascii="Book Antiqua" w:hAnsi="Book Antiqua" w:cs="Arial"/>
        </w:rPr>
      </w:pPr>
      <w:r w:rsidRPr="00D72CF9">
        <w:rPr>
          <w:rFonts w:ascii="Book Antiqua" w:hAnsi="Book Antiqua" w:cs="Arial"/>
        </w:rPr>
        <w:t>The Appellant is a citizen of India born 21</w:t>
      </w:r>
      <w:r w:rsidRPr="00D72CF9">
        <w:rPr>
          <w:rFonts w:ascii="Book Antiqua" w:hAnsi="Book Antiqua" w:cs="Arial"/>
          <w:vertAlign w:val="superscript"/>
        </w:rPr>
        <w:t>st</w:t>
      </w:r>
      <w:r w:rsidRPr="00D72CF9">
        <w:rPr>
          <w:rFonts w:ascii="Book Antiqua" w:hAnsi="Book Antiqua" w:cs="Arial"/>
        </w:rPr>
        <w:t xml:space="preserve"> November 1984.  She arrived in the UK in January</w:t>
      </w:r>
      <w:r w:rsidR="00EA7F84">
        <w:rPr>
          <w:rFonts w:ascii="Book Antiqua" w:hAnsi="Book Antiqua" w:cs="Arial"/>
        </w:rPr>
        <w:t xml:space="preserve"> 2011 </w:t>
      </w:r>
      <w:r w:rsidRPr="00D72CF9">
        <w:rPr>
          <w:rFonts w:ascii="Book Antiqua" w:hAnsi="Book Antiqua" w:cs="Arial"/>
        </w:rPr>
        <w:t>with leave as a Tier 4 Student.</w:t>
      </w:r>
      <w:r w:rsidR="00EA7F84">
        <w:rPr>
          <w:rFonts w:ascii="Book Antiqua" w:hAnsi="Book Antiqua" w:cs="Arial"/>
        </w:rPr>
        <w:t xml:space="preserve"> She was accompanied by her husband.</w:t>
      </w:r>
      <w:r w:rsidRPr="00D72CF9">
        <w:rPr>
          <w:rFonts w:ascii="Book Antiqua" w:hAnsi="Book Antiqua" w:cs="Arial"/>
        </w:rPr>
        <w:t xml:space="preserve">  She and her husband separate</w:t>
      </w:r>
      <w:r w:rsidR="00EA7F84">
        <w:rPr>
          <w:rFonts w:ascii="Book Antiqua" w:hAnsi="Book Antiqua" w:cs="Arial"/>
        </w:rPr>
        <w:t>d soon after her arrival.  T</w:t>
      </w:r>
      <w:r w:rsidRPr="00D72CF9">
        <w:rPr>
          <w:rFonts w:ascii="Book Antiqua" w:hAnsi="Book Antiqua" w:cs="Arial"/>
        </w:rPr>
        <w:t>he reason for their separation was because of her husband’s abusive behaviour towards her</w:t>
      </w:r>
      <w:r w:rsidR="00C67590" w:rsidRPr="00D72CF9">
        <w:rPr>
          <w:rFonts w:ascii="Book Antiqua" w:hAnsi="Book Antiqua" w:cs="Arial"/>
        </w:rPr>
        <w:t>.  In 2014 her husband was convicted and imprisoned in the UK for an offence of causi</w:t>
      </w:r>
      <w:r w:rsidR="00357550" w:rsidRPr="00D72CF9">
        <w:rPr>
          <w:rFonts w:ascii="Book Antiqua" w:hAnsi="Book Antiqua" w:cs="Arial"/>
        </w:rPr>
        <w:t xml:space="preserve">ng death by dangerous driving.  </w:t>
      </w:r>
      <w:r w:rsidR="00981D3A" w:rsidRPr="00D72CF9">
        <w:rPr>
          <w:rFonts w:ascii="Book Antiqua" w:hAnsi="Book Antiqua" w:cs="Arial"/>
        </w:rPr>
        <w:t>He was subsequently deported to India.  By 7</w:t>
      </w:r>
      <w:r w:rsidR="00981D3A" w:rsidRPr="00D72CF9">
        <w:rPr>
          <w:rFonts w:ascii="Book Antiqua" w:hAnsi="Book Antiqua" w:cs="Arial"/>
          <w:vertAlign w:val="superscript"/>
        </w:rPr>
        <w:t>th</w:t>
      </w:r>
      <w:r w:rsidR="00981D3A" w:rsidRPr="00D72CF9">
        <w:rPr>
          <w:rFonts w:ascii="Book Antiqua" w:hAnsi="Book Antiqua" w:cs="Arial"/>
        </w:rPr>
        <w:t xml:space="preserve"> October 2016 the Appellant obtained a divorce from</w:t>
      </w:r>
      <w:r w:rsidR="00EA7F84">
        <w:rPr>
          <w:rFonts w:ascii="Book Antiqua" w:hAnsi="Book Antiqua" w:cs="Arial"/>
        </w:rPr>
        <w:t xml:space="preserve"> him. </w:t>
      </w:r>
      <w:r w:rsidR="00981D3A" w:rsidRPr="00D72CF9">
        <w:rPr>
          <w:rFonts w:ascii="Book Antiqua" w:hAnsi="Book Antiqua" w:cs="Arial"/>
        </w:rPr>
        <w:t xml:space="preserve">  </w:t>
      </w:r>
    </w:p>
    <w:p w:rsidR="00981D3A" w:rsidRPr="00D72CF9" w:rsidRDefault="00981D3A" w:rsidP="00E943B7">
      <w:pPr>
        <w:numPr>
          <w:ilvl w:val="0"/>
          <w:numId w:val="3"/>
        </w:numPr>
        <w:spacing w:before="240"/>
        <w:jc w:val="both"/>
        <w:rPr>
          <w:rFonts w:ascii="Book Antiqua" w:hAnsi="Book Antiqua" w:cs="Arial"/>
        </w:rPr>
      </w:pPr>
      <w:r w:rsidRPr="00D72CF9">
        <w:rPr>
          <w:rFonts w:ascii="Book Antiqua" w:hAnsi="Book Antiqua" w:cs="Arial"/>
        </w:rPr>
        <w:t>She claimed that following the separation and divorce, her husband</w:t>
      </w:r>
      <w:r w:rsidR="00EA7F84">
        <w:rPr>
          <w:rFonts w:ascii="Book Antiqua" w:hAnsi="Book Antiqua" w:cs="Arial"/>
        </w:rPr>
        <w:t xml:space="preserve"> and his family</w:t>
      </w:r>
      <w:r w:rsidRPr="00D72CF9">
        <w:rPr>
          <w:rFonts w:ascii="Book Antiqua" w:hAnsi="Book Antiqua" w:cs="Arial"/>
        </w:rPr>
        <w:t xml:space="preserve"> harassed her by sending her text messages, threatening her that if she returned to India she would be killed.  The Appellant’</w:t>
      </w:r>
      <w:r w:rsidR="00042195" w:rsidRPr="00D72CF9">
        <w:rPr>
          <w:rFonts w:ascii="Book Antiqua" w:hAnsi="Book Antiqua" w:cs="Arial"/>
        </w:rPr>
        <w:t xml:space="preserve">s parents disowned her saying that the divorce had brought shame upon the family.  </w:t>
      </w:r>
    </w:p>
    <w:p w:rsidR="003F6B19" w:rsidRPr="00D72CF9" w:rsidRDefault="003F6B19" w:rsidP="00E943B7">
      <w:pPr>
        <w:numPr>
          <w:ilvl w:val="0"/>
          <w:numId w:val="3"/>
        </w:numPr>
        <w:spacing w:before="240"/>
        <w:jc w:val="both"/>
        <w:rPr>
          <w:rFonts w:ascii="Book Antiqua" w:hAnsi="Book Antiqua" w:cs="Arial"/>
        </w:rPr>
      </w:pPr>
      <w:r w:rsidRPr="00D72CF9">
        <w:rPr>
          <w:rFonts w:ascii="Book Antiqua" w:hAnsi="Book Antiqua" w:cs="Arial"/>
        </w:rPr>
        <w:t xml:space="preserve">In 2017, following a refusal of an application made for leave to remain based on her private and family life, the Appellant applied for asylum.  The asylum application was refused and it is that refusal which forms the basis of the instant </w:t>
      </w:r>
      <w:r w:rsidR="00351F3B" w:rsidRPr="00D72CF9">
        <w:rPr>
          <w:rFonts w:ascii="Book Antiqua" w:hAnsi="Book Antiqua" w:cs="Arial"/>
        </w:rPr>
        <w:t xml:space="preserve">appeal before me.  </w:t>
      </w:r>
    </w:p>
    <w:p w:rsidR="00351F3B" w:rsidRPr="00D72CF9" w:rsidRDefault="00351F3B" w:rsidP="00351F3B">
      <w:pPr>
        <w:spacing w:before="240"/>
        <w:jc w:val="both"/>
        <w:rPr>
          <w:rFonts w:ascii="Book Antiqua" w:hAnsi="Book Antiqua" w:cs="Arial"/>
          <w:b/>
          <w:u w:val="single"/>
        </w:rPr>
      </w:pPr>
      <w:r w:rsidRPr="00D72CF9">
        <w:rPr>
          <w:rFonts w:ascii="Book Antiqua" w:hAnsi="Book Antiqua" w:cs="Arial"/>
          <w:b/>
          <w:u w:val="single"/>
        </w:rPr>
        <w:t xml:space="preserve">The FtT Decision  </w:t>
      </w:r>
    </w:p>
    <w:p w:rsidR="00351F3B" w:rsidRPr="00D72CF9" w:rsidRDefault="00351F3B" w:rsidP="00E943B7">
      <w:pPr>
        <w:numPr>
          <w:ilvl w:val="0"/>
          <w:numId w:val="3"/>
        </w:numPr>
        <w:spacing w:before="240"/>
        <w:jc w:val="both"/>
        <w:rPr>
          <w:rFonts w:ascii="Book Antiqua" w:hAnsi="Book Antiqua" w:cs="Arial"/>
        </w:rPr>
      </w:pPr>
      <w:r w:rsidRPr="00D72CF9">
        <w:rPr>
          <w:rFonts w:ascii="Book Antiqua" w:hAnsi="Book Antiqua" w:cs="Arial"/>
        </w:rPr>
        <w:t xml:space="preserve">The Appellant appealed the Respondent’s </w:t>
      </w:r>
      <w:r w:rsidR="00EA7F84">
        <w:rPr>
          <w:rFonts w:ascii="Book Antiqua" w:hAnsi="Book Antiqua" w:cs="Arial"/>
        </w:rPr>
        <w:t>refusal of her protection claim and t</w:t>
      </w:r>
      <w:r w:rsidRPr="00D72CF9">
        <w:rPr>
          <w:rFonts w:ascii="Book Antiqua" w:hAnsi="Book Antiqua" w:cs="Arial"/>
        </w:rPr>
        <w:t>he appeal came before First-tier</w:t>
      </w:r>
      <w:r w:rsidR="0078468D">
        <w:rPr>
          <w:rFonts w:ascii="Book Antiqua" w:hAnsi="Book Antiqua" w:cs="Arial"/>
        </w:rPr>
        <w:t xml:space="preserve"> Tribunal Judge Gaskell.  It has</w:t>
      </w:r>
      <w:r w:rsidRPr="00D72CF9">
        <w:rPr>
          <w:rFonts w:ascii="Book Antiqua" w:hAnsi="Book Antiqua" w:cs="Arial"/>
        </w:rPr>
        <w:t xml:space="preserve"> always been the Respondent’s case that the Appellant was not entitled to asylum because </w:t>
      </w:r>
      <w:r w:rsidR="00EA7F84">
        <w:rPr>
          <w:rFonts w:ascii="Book Antiqua" w:hAnsi="Book Antiqua" w:cs="Arial"/>
        </w:rPr>
        <w:t>she</w:t>
      </w:r>
      <w:r w:rsidR="0078468D">
        <w:rPr>
          <w:rFonts w:ascii="Book Antiqua" w:hAnsi="Book Antiqua" w:cs="Arial"/>
        </w:rPr>
        <w:t xml:space="preserve"> could not </w:t>
      </w:r>
      <w:r w:rsidRPr="00D72CF9">
        <w:rPr>
          <w:rFonts w:ascii="Book Antiqua" w:hAnsi="Book Antiqua" w:cs="Arial"/>
        </w:rPr>
        <w:t>establish a case within the terms of the Refugee Convention.</w:t>
      </w:r>
      <w:r w:rsidR="0078468D">
        <w:rPr>
          <w:rFonts w:ascii="Book Antiqua" w:hAnsi="Book Antiqua" w:cs="Arial"/>
        </w:rPr>
        <w:t xml:space="preserve"> </w:t>
      </w:r>
      <w:r w:rsidR="00020530">
        <w:rPr>
          <w:rFonts w:ascii="Book Antiqua" w:hAnsi="Book Antiqua" w:cs="Arial"/>
        </w:rPr>
        <w:t xml:space="preserve"> </w:t>
      </w:r>
      <w:r w:rsidR="0078468D">
        <w:rPr>
          <w:rFonts w:ascii="Book Antiqua" w:hAnsi="Book Antiqua" w:cs="Arial"/>
        </w:rPr>
        <w:t>In other words there was no Convention reason for granting her asylum.</w:t>
      </w:r>
      <w:r w:rsidRPr="00D72CF9">
        <w:rPr>
          <w:rFonts w:ascii="Book Antiqua" w:hAnsi="Book Antiqua" w:cs="Arial"/>
        </w:rPr>
        <w:t xml:space="preserve">  Equally it was the Respondent’s case that she was not entitled to humanitarian protection because there was sufficiency of protection available to her in India, bearing in mind </w:t>
      </w:r>
      <w:r w:rsidR="00F72361" w:rsidRPr="00D72CF9">
        <w:rPr>
          <w:rFonts w:ascii="Book Antiqua" w:hAnsi="Book Antiqua" w:cs="Arial"/>
        </w:rPr>
        <w:t>that she is educated to a high level (she has two masters degrees</w:t>
      </w:r>
      <w:r w:rsidR="00344686" w:rsidRPr="00D72CF9">
        <w:rPr>
          <w:rFonts w:ascii="Book Antiqua" w:hAnsi="Book Antiqua" w:cs="Arial"/>
        </w:rPr>
        <w:t>,</w:t>
      </w:r>
      <w:r w:rsidR="00F72361" w:rsidRPr="00D72CF9">
        <w:rPr>
          <w:rFonts w:ascii="Book Antiqua" w:hAnsi="Book Antiqua" w:cs="Arial"/>
        </w:rPr>
        <w:t xml:space="preserve"> including one in marketing and innovation</w:t>
      </w:r>
      <w:r w:rsidR="00EA7F84">
        <w:rPr>
          <w:rFonts w:ascii="Book Antiqua" w:hAnsi="Book Antiqua" w:cs="Arial"/>
        </w:rPr>
        <w:t xml:space="preserve">) </w:t>
      </w:r>
      <w:r w:rsidR="00F72361" w:rsidRPr="00D72CF9">
        <w:rPr>
          <w:rFonts w:ascii="Book Antiqua" w:hAnsi="Book Antiqua" w:cs="Arial"/>
        </w:rPr>
        <w:t xml:space="preserve">and there was no evidence to show that internal relocation was not a viable option in her particular circumstances.  </w:t>
      </w:r>
      <w:r w:rsidR="001C3169" w:rsidRPr="00D72CF9">
        <w:rPr>
          <w:rFonts w:ascii="Book Antiqua" w:hAnsi="Book Antiqua" w:cs="Arial"/>
        </w:rPr>
        <w:t xml:space="preserve">It was accepted that she has been suffering from depression, but there was no evidence that she would be unable to </w:t>
      </w:r>
      <w:r w:rsidR="00EA7F84">
        <w:rPr>
          <w:rFonts w:ascii="Book Antiqua" w:hAnsi="Book Antiqua" w:cs="Arial"/>
        </w:rPr>
        <w:t xml:space="preserve">access or </w:t>
      </w:r>
      <w:r w:rsidR="001C3169" w:rsidRPr="00D72CF9">
        <w:rPr>
          <w:rFonts w:ascii="Book Antiqua" w:hAnsi="Book Antiqua" w:cs="Arial"/>
        </w:rPr>
        <w:t xml:space="preserve">avail herself of the medical facilities available in India.  </w:t>
      </w:r>
    </w:p>
    <w:p w:rsidR="0078468D" w:rsidRDefault="00EA7F84" w:rsidP="00E943B7">
      <w:pPr>
        <w:numPr>
          <w:ilvl w:val="0"/>
          <w:numId w:val="3"/>
        </w:numPr>
        <w:spacing w:before="240"/>
        <w:jc w:val="both"/>
        <w:rPr>
          <w:rFonts w:ascii="Book Antiqua" w:hAnsi="Book Antiqua" w:cs="Arial"/>
        </w:rPr>
      </w:pPr>
      <w:r>
        <w:rPr>
          <w:rFonts w:ascii="Book Antiqua" w:hAnsi="Book Antiqua" w:cs="Arial"/>
        </w:rPr>
        <w:t>The FtTJ in his decision spent</w:t>
      </w:r>
      <w:r w:rsidR="00A92972" w:rsidRPr="00D72CF9">
        <w:rPr>
          <w:rFonts w:ascii="Book Antiqua" w:hAnsi="Book Antiqua" w:cs="Arial"/>
        </w:rPr>
        <w:t xml:space="preserve"> several lengthy paragraphs from [9] to [44], </w:t>
      </w:r>
      <w:r>
        <w:rPr>
          <w:rFonts w:ascii="Book Antiqua" w:hAnsi="Book Antiqua" w:cs="Arial"/>
        </w:rPr>
        <w:t xml:space="preserve">citing </w:t>
      </w:r>
      <w:r w:rsidR="00A92972" w:rsidRPr="00D72CF9">
        <w:rPr>
          <w:rFonts w:ascii="Book Antiqua" w:hAnsi="Book Antiqua" w:cs="Arial"/>
        </w:rPr>
        <w:t xml:space="preserve">case law, the Immigration Rules, the Appellant’s case and the </w:t>
      </w:r>
      <w:r>
        <w:rPr>
          <w:rFonts w:ascii="Book Antiqua" w:hAnsi="Book Antiqua" w:cs="Arial"/>
        </w:rPr>
        <w:t xml:space="preserve">Respondent’s case. In addition there is a </w:t>
      </w:r>
      <w:r w:rsidR="00A92972" w:rsidRPr="00D72CF9">
        <w:rPr>
          <w:rFonts w:ascii="Book Antiqua" w:hAnsi="Book Antiqua" w:cs="Arial"/>
        </w:rPr>
        <w:t>note of the evidence which was before him at the h</w:t>
      </w:r>
      <w:r w:rsidR="00131130" w:rsidRPr="00D72CF9">
        <w:rPr>
          <w:rFonts w:ascii="Book Antiqua" w:hAnsi="Book Antiqua" w:cs="Arial"/>
        </w:rPr>
        <w:t xml:space="preserve">earing. </w:t>
      </w:r>
    </w:p>
    <w:p w:rsidR="001C3169" w:rsidRPr="00A6255C" w:rsidRDefault="00131130" w:rsidP="00020530">
      <w:pPr>
        <w:numPr>
          <w:ilvl w:val="0"/>
          <w:numId w:val="3"/>
        </w:numPr>
        <w:spacing w:before="240"/>
        <w:jc w:val="both"/>
        <w:rPr>
          <w:rFonts w:ascii="Book Antiqua" w:hAnsi="Book Antiqua" w:cs="Arial"/>
        </w:rPr>
      </w:pPr>
      <w:r w:rsidRPr="00D72CF9">
        <w:rPr>
          <w:rFonts w:ascii="Book Antiqua" w:hAnsi="Book Antiqua" w:cs="Arial"/>
        </w:rPr>
        <w:t>His findings</w:t>
      </w:r>
      <w:r w:rsidR="0078468D">
        <w:rPr>
          <w:rFonts w:ascii="Book Antiqua" w:hAnsi="Book Antiqua" w:cs="Arial"/>
        </w:rPr>
        <w:t xml:space="preserve"> which start at [45] under a heading </w:t>
      </w:r>
      <w:r w:rsidR="00020530">
        <w:rPr>
          <w:rFonts w:ascii="Book Antiqua" w:hAnsi="Book Antiqua" w:cs="Arial"/>
        </w:rPr>
        <w:t>“</w:t>
      </w:r>
      <w:r w:rsidR="00020530" w:rsidRPr="00020530">
        <w:rPr>
          <w:rFonts w:ascii="Book Antiqua" w:hAnsi="Book Antiqua" w:cs="Arial"/>
          <w:b/>
          <w:u w:val="single"/>
        </w:rPr>
        <w:t>Discussion and Conclusions</w:t>
      </w:r>
      <w:r w:rsidR="00020530">
        <w:rPr>
          <w:rFonts w:ascii="Book Antiqua" w:hAnsi="Book Antiqua" w:cs="Arial"/>
        </w:rPr>
        <w:t>”</w:t>
      </w:r>
      <w:r w:rsidR="0078468D">
        <w:rPr>
          <w:rFonts w:ascii="Book Antiqua" w:hAnsi="Book Antiqua" w:cs="Arial"/>
        </w:rPr>
        <w:t xml:space="preserve"> are confined to considering the issue of internal relocation. </w:t>
      </w:r>
      <w:r w:rsidR="00020530">
        <w:rPr>
          <w:rFonts w:ascii="Book Antiqua" w:hAnsi="Book Antiqua" w:cs="Arial"/>
        </w:rPr>
        <w:t xml:space="preserve"> </w:t>
      </w:r>
      <w:r w:rsidR="0078468D">
        <w:rPr>
          <w:rFonts w:ascii="Book Antiqua" w:hAnsi="Book Antiqua" w:cs="Arial"/>
        </w:rPr>
        <w:t xml:space="preserve">His discussion </w:t>
      </w:r>
      <w:r w:rsidR="00020530">
        <w:rPr>
          <w:rFonts w:ascii="Book Antiqua" w:hAnsi="Book Antiqua" w:cs="Arial"/>
        </w:rPr>
        <w:t xml:space="preserve">is </w:t>
      </w:r>
      <w:r w:rsidR="0078468D">
        <w:rPr>
          <w:rFonts w:ascii="Book Antiqua" w:hAnsi="Book Antiqua" w:cs="Arial"/>
        </w:rPr>
        <w:t>essentially</w:t>
      </w:r>
      <w:r w:rsidR="00020530">
        <w:rPr>
          <w:rFonts w:ascii="Book Antiqua" w:hAnsi="Book Antiqua" w:cs="Arial"/>
        </w:rPr>
        <w:t xml:space="preserve"> confined</w:t>
      </w:r>
      <w:r w:rsidRPr="00D72CF9">
        <w:rPr>
          <w:rFonts w:ascii="Book Antiqua" w:hAnsi="Book Antiqua" w:cs="Arial"/>
        </w:rPr>
        <w:t xml:space="preserve"> to ten lines contained in [47].</w:t>
      </w:r>
      <w:r w:rsidR="002B16DC" w:rsidRPr="00D72CF9">
        <w:rPr>
          <w:rFonts w:ascii="Book Antiqua" w:hAnsi="Book Antiqua" w:cs="Arial"/>
        </w:rPr>
        <w:t xml:space="preserve">  </w:t>
      </w:r>
      <w:r w:rsidRPr="00D72CF9">
        <w:rPr>
          <w:rFonts w:ascii="Book Antiqua" w:hAnsi="Book Antiqua" w:cs="Arial"/>
        </w:rPr>
        <w:t>It amounts to a conclusion that the Appellant is “unworldly”</w:t>
      </w:r>
      <w:r w:rsidR="00A132E6" w:rsidRPr="00D72CF9">
        <w:rPr>
          <w:rFonts w:ascii="Book Antiqua" w:hAnsi="Book Antiqua" w:cs="Arial"/>
        </w:rPr>
        <w:t xml:space="preserve"> and that it is clear from the country guidance that she will be viewed with suspicion by potential landlords and employers in India</w:t>
      </w:r>
      <w:r w:rsidR="00020530">
        <w:rPr>
          <w:rFonts w:ascii="Book Antiqua" w:hAnsi="Book Antiqua" w:cs="Arial"/>
        </w:rPr>
        <w:t>,</w:t>
      </w:r>
      <w:r w:rsidR="00DA07EF" w:rsidRPr="00D72CF9">
        <w:rPr>
          <w:rFonts w:ascii="Book Antiqua" w:hAnsi="Book Antiqua" w:cs="Arial"/>
        </w:rPr>
        <w:t xml:space="preserve"> </w:t>
      </w:r>
      <w:r w:rsidR="00E94CAE" w:rsidRPr="00D72CF9">
        <w:rPr>
          <w:rFonts w:ascii="Book Antiqua" w:hAnsi="Book Antiqua" w:cs="Arial"/>
        </w:rPr>
        <w:t xml:space="preserve">particularly </w:t>
      </w:r>
      <w:r w:rsidR="00020530">
        <w:rPr>
          <w:rFonts w:ascii="Book Antiqua" w:hAnsi="Book Antiqua" w:cs="Arial"/>
        </w:rPr>
        <w:t>“</w:t>
      </w:r>
      <w:r w:rsidR="00E94CAE" w:rsidRPr="00D72CF9">
        <w:rPr>
          <w:rFonts w:ascii="Book Antiqua" w:hAnsi="Book Antiqua" w:cs="Arial"/>
        </w:rPr>
        <w:t>because she is not merely single but divorced.</w:t>
      </w:r>
      <w:r w:rsidR="00020530">
        <w:rPr>
          <w:rFonts w:ascii="Book Antiqua" w:hAnsi="Book Antiqua" w:cs="Arial"/>
        </w:rPr>
        <w:t>”</w:t>
      </w:r>
      <w:r w:rsidR="00E94CAE" w:rsidRPr="00D72CF9">
        <w:rPr>
          <w:rFonts w:ascii="Book Antiqua" w:hAnsi="Book Antiqua" w:cs="Arial"/>
        </w:rPr>
        <w:t xml:space="preserve">  The judge</w:t>
      </w:r>
      <w:r w:rsidR="00A6255C">
        <w:rPr>
          <w:rFonts w:ascii="Book Antiqua" w:hAnsi="Book Antiqua" w:cs="Arial"/>
        </w:rPr>
        <w:t xml:space="preserve"> makes further conclusion</w:t>
      </w:r>
      <w:r w:rsidR="0059614C">
        <w:rPr>
          <w:rFonts w:ascii="Book Antiqua" w:hAnsi="Book Antiqua" w:cs="Arial"/>
        </w:rPr>
        <w:t>s</w:t>
      </w:r>
      <w:r w:rsidR="00A6255C">
        <w:rPr>
          <w:rFonts w:ascii="Book Antiqua" w:hAnsi="Book Antiqua" w:cs="Arial"/>
        </w:rPr>
        <w:t xml:space="preserve"> </w:t>
      </w:r>
      <w:r w:rsidR="00E94CAE" w:rsidRPr="00D72CF9">
        <w:rPr>
          <w:rFonts w:ascii="Book Antiqua" w:hAnsi="Book Antiqua" w:cs="Arial"/>
        </w:rPr>
        <w:t>that</w:t>
      </w:r>
      <w:r w:rsidR="00A6255C">
        <w:rPr>
          <w:rFonts w:ascii="Book Antiqua" w:hAnsi="Book Antiqua" w:cs="Arial"/>
        </w:rPr>
        <w:t xml:space="preserve"> “</w:t>
      </w:r>
      <w:r w:rsidR="00E94CAE" w:rsidRPr="00D72CF9">
        <w:rPr>
          <w:rFonts w:ascii="Book Antiqua" w:hAnsi="Book Antiqua" w:cs="Arial"/>
        </w:rPr>
        <w:t>she</w:t>
      </w:r>
      <w:r w:rsidR="00A6255C">
        <w:rPr>
          <w:rFonts w:ascii="Book Antiqua" w:hAnsi="Book Antiqua" w:cs="Arial"/>
        </w:rPr>
        <w:t xml:space="preserve"> </w:t>
      </w:r>
      <w:r w:rsidR="00A6255C">
        <w:rPr>
          <w:rFonts w:ascii="Book Antiqua" w:hAnsi="Book Antiqua" w:cs="Arial"/>
        </w:rPr>
        <w:lastRenderedPageBreak/>
        <w:t>clearly has very fragile mental health”</w:t>
      </w:r>
      <w:r w:rsidR="00E94CAE" w:rsidRPr="00A6255C">
        <w:rPr>
          <w:rFonts w:ascii="Book Antiqua" w:hAnsi="Book Antiqua" w:cs="Arial"/>
        </w:rPr>
        <w:t xml:space="preserve"> and </w:t>
      </w:r>
      <w:r w:rsidR="00020530">
        <w:rPr>
          <w:rFonts w:ascii="Book Antiqua" w:hAnsi="Book Antiqua" w:cs="Arial"/>
        </w:rPr>
        <w:t>“</w:t>
      </w:r>
      <w:r w:rsidR="00E94CAE" w:rsidRPr="00A6255C">
        <w:rPr>
          <w:rFonts w:ascii="Book Antiqua" w:hAnsi="Book Antiqua" w:cs="Arial"/>
        </w:rPr>
        <w:t>it would be simply impossible for her to establish an independent life away from her home area without any support</w:t>
      </w:r>
      <w:r w:rsidR="0059614C">
        <w:rPr>
          <w:rFonts w:ascii="Book Antiqua" w:hAnsi="Book Antiqua" w:cs="Arial"/>
        </w:rPr>
        <w:t>.</w:t>
      </w:r>
      <w:r w:rsidR="00A6255C">
        <w:rPr>
          <w:rFonts w:ascii="Book Antiqua" w:hAnsi="Book Antiqua" w:cs="Arial"/>
        </w:rPr>
        <w:t>”</w:t>
      </w:r>
      <w:r w:rsidR="00E94CAE" w:rsidRPr="00A6255C">
        <w:rPr>
          <w:rFonts w:ascii="Book Antiqua" w:hAnsi="Book Antiqua" w:cs="Arial"/>
        </w:rPr>
        <w:t xml:space="preserve">  </w:t>
      </w:r>
    </w:p>
    <w:p w:rsidR="00340B00" w:rsidRPr="00D72CF9" w:rsidRDefault="00340B00" w:rsidP="00E943B7">
      <w:pPr>
        <w:numPr>
          <w:ilvl w:val="0"/>
          <w:numId w:val="3"/>
        </w:numPr>
        <w:spacing w:before="240"/>
        <w:jc w:val="both"/>
        <w:rPr>
          <w:rFonts w:ascii="Book Antiqua" w:hAnsi="Book Antiqua" w:cs="Arial"/>
        </w:rPr>
      </w:pPr>
      <w:r w:rsidRPr="00D72CF9">
        <w:rPr>
          <w:rFonts w:ascii="Book Antiqua" w:hAnsi="Book Antiqua" w:cs="Arial"/>
        </w:rPr>
        <w:t>The judge then concludes in [</w:t>
      </w:r>
      <w:r w:rsidR="00A6255C">
        <w:rPr>
          <w:rFonts w:ascii="Book Antiqua" w:hAnsi="Book Antiqua" w:cs="Arial"/>
        </w:rPr>
        <w:t>48</w:t>
      </w:r>
      <w:r w:rsidRPr="00D72CF9">
        <w:rPr>
          <w:rFonts w:ascii="Book Antiqua" w:hAnsi="Book Antiqua" w:cstheme="minorHAnsi"/>
        </w:rPr>
        <w:t>]</w:t>
      </w:r>
      <w:r w:rsidR="003B73D3">
        <w:rPr>
          <w:rFonts w:ascii="Book Antiqua" w:hAnsi="Book Antiqua" w:cstheme="minorHAnsi"/>
        </w:rPr>
        <w:t>:</w:t>
      </w:r>
      <w:r w:rsidRPr="00D72CF9">
        <w:rPr>
          <w:rFonts w:ascii="Book Antiqua" w:hAnsi="Book Antiqua" w:cstheme="minorHAnsi"/>
        </w:rPr>
        <w:t xml:space="preserve">  </w:t>
      </w:r>
    </w:p>
    <w:p w:rsidR="00A6255C" w:rsidRPr="00E70295" w:rsidRDefault="0059614C" w:rsidP="00E70295">
      <w:pPr>
        <w:spacing w:before="120"/>
        <w:ind w:left="1134" w:right="567"/>
        <w:jc w:val="both"/>
        <w:rPr>
          <w:rFonts w:ascii="Book Antiqua" w:hAnsi="Book Antiqua" w:cstheme="minorHAnsi"/>
          <w:sz w:val="22"/>
        </w:rPr>
      </w:pPr>
      <w:r w:rsidRPr="00E70295">
        <w:rPr>
          <w:rFonts w:ascii="Book Antiqua" w:hAnsi="Book Antiqua" w:cstheme="minorHAnsi"/>
          <w:sz w:val="22"/>
        </w:rPr>
        <w:t>“</w:t>
      </w:r>
      <w:r w:rsidR="00340B00" w:rsidRPr="00E70295">
        <w:rPr>
          <w:rFonts w:ascii="Book Antiqua" w:hAnsi="Book Antiqua" w:cstheme="minorHAnsi"/>
          <w:sz w:val="22"/>
        </w:rPr>
        <w:t>Accordingly</w:t>
      </w:r>
      <w:r w:rsidR="00C6144E" w:rsidRPr="00E70295">
        <w:rPr>
          <w:rFonts w:ascii="Book Antiqua" w:hAnsi="Book Antiqua" w:cstheme="minorHAnsi"/>
          <w:sz w:val="22"/>
        </w:rPr>
        <w:t xml:space="preserve">, and for </w:t>
      </w:r>
      <w:r w:rsidRPr="00E70295">
        <w:rPr>
          <w:rFonts w:ascii="Book Antiqua" w:hAnsi="Book Antiqua" w:cstheme="minorHAnsi"/>
          <w:sz w:val="22"/>
        </w:rPr>
        <w:t>these reasons, I find that the a</w:t>
      </w:r>
      <w:r w:rsidR="00C6144E" w:rsidRPr="00E70295">
        <w:rPr>
          <w:rFonts w:ascii="Book Antiqua" w:hAnsi="Book Antiqua" w:cstheme="minorHAnsi"/>
          <w:sz w:val="22"/>
        </w:rPr>
        <w:t>ppellant is a refugee; she is entitled to asylum; and humanitarian protection; and her enforced return to India would contravene her rights under Articles 2 and 3 ECHR.</w:t>
      </w:r>
      <w:r w:rsidRPr="00E70295">
        <w:rPr>
          <w:rFonts w:ascii="Book Antiqua" w:hAnsi="Book Antiqua" w:cstheme="minorHAnsi"/>
          <w:sz w:val="22"/>
        </w:rPr>
        <w:t>”</w:t>
      </w:r>
    </w:p>
    <w:p w:rsidR="00A6255C" w:rsidRDefault="003B73D3" w:rsidP="00340B00">
      <w:pPr>
        <w:spacing w:before="240"/>
        <w:ind w:left="567"/>
        <w:jc w:val="both"/>
        <w:rPr>
          <w:rFonts w:ascii="Book Antiqua" w:hAnsi="Book Antiqua" w:cstheme="minorHAnsi"/>
        </w:rPr>
      </w:pPr>
      <w:r>
        <w:rPr>
          <w:rFonts w:ascii="Book Antiqua" w:hAnsi="Book Antiqua" w:cstheme="minorHAnsi"/>
        </w:rPr>
        <w:t>He followed this up at [49]:</w:t>
      </w:r>
    </w:p>
    <w:p w:rsidR="00340B00" w:rsidRPr="00E70295" w:rsidRDefault="0059614C" w:rsidP="00E70295">
      <w:pPr>
        <w:spacing w:before="120"/>
        <w:ind w:left="1134" w:right="567"/>
        <w:jc w:val="both"/>
        <w:rPr>
          <w:rFonts w:ascii="Book Antiqua" w:hAnsi="Book Antiqua" w:cstheme="minorHAnsi"/>
          <w:sz w:val="22"/>
        </w:rPr>
      </w:pPr>
      <w:r w:rsidRPr="00E70295">
        <w:rPr>
          <w:rFonts w:ascii="Book Antiqua" w:hAnsi="Book Antiqua" w:cstheme="minorHAnsi"/>
          <w:sz w:val="22"/>
        </w:rPr>
        <w:t>“</w:t>
      </w:r>
      <w:r w:rsidR="00A6255C" w:rsidRPr="00E70295">
        <w:rPr>
          <w:rFonts w:ascii="Book Antiqua" w:hAnsi="Book Antiqua" w:cstheme="minorHAnsi"/>
          <w:sz w:val="22"/>
        </w:rPr>
        <w:t>In the light of the above finding, it has be</w:t>
      </w:r>
      <w:r w:rsidRPr="00E70295">
        <w:rPr>
          <w:rFonts w:ascii="Book Antiqua" w:hAnsi="Book Antiqua" w:cstheme="minorHAnsi"/>
          <w:sz w:val="22"/>
        </w:rPr>
        <w:t>e</w:t>
      </w:r>
      <w:r w:rsidR="00A6255C" w:rsidRPr="00E70295">
        <w:rPr>
          <w:rFonts w:ascii="Book Antiqua" w:hAnsi="Book Antiqua" w:cstheme="minorHAnsi"/>
          <w:sz w:val="22"/>
        </w:rPr>
        <w:t>n unnecessary for me to consider the appellant’s claim pursuant to article ECHR in detail.</w:t>
      </w:r>
      <w:r w:rsidRPr="00E70295">
        <w:rPr>
          <w:rFonts w:ascii="Book Antiqua" w:hAnsi="Book Antiqua" w:cstheme="minorHAnsi"/>
          <w:sz w:val="22"/>
        </w:rPr>
        <w:t xml:space="preserve">  </w:t>
      </w:r>
      <w:r w:rsidR="00A6255C" w:rsidRPr="00E70295">
        <w:rPr>
          <w:rFonts w:ascii="Book Antiqua" w:hAnsi="Book Antiqua" w:cstheme="minorHAnsi"/>
          <w:sz w:val="22"/>
        </w:rPr>
        <w:t>But it follows from my findings that,</w:t>
      </w:r>
      <w:r w:rsidRPr="00E70295">
        <w:rPr>
          <w:rFonts w:ascii="Book Antiqua" w:hAnsi="Book Antiqua" w:cstheme="minorHAnsi"/>
          <w:sz w:val="22"/>
        </w:rPr>
        <w:t xml:space="preserve"> </w:t>
      </w:r>
      <w:r w:rsidR="00A6255C" w:rsidRPr="00E70295">
        <w:rPr>
          <w:rFonts w:ascii="Book Antiqua" w:hAnsi="Book Antiqua" w:cstheme="minorHAnsi"/>
          <w:sz w:val="22"/>
        </w:rPr>
        <w:t>in my judgement,</w:t>
      </w:r>
      <w:r w:rsidRPr="00E70295">
        <w:rPr>
          <w:rFonts w:ascii="Book Antiqua" w:hAnsi="Book Antiqua" w:cstheme="minorHAnsi"/>
          <w:sz w:val="22"/>
        </w:rPr>
        <w:t xml:space="preserve"> </w:t>
      </w:r>
      <w:r w:rsidR="00A6255C" w:rsidRPr="00E70295">
        <w:rPr>
          <w:rFonts w:ascii="Book Antiqua" w:hAnsi="Book Antiqua" w:cstheme="minorHAnsi"/>
          <w:sz w:val="22"/>
        </w:rPr>
        <w:t>there are very significant obstacles in her return to India (Paragraph</w:t>
      </w:r>
      <w:r w:rsidRPr="00E70295">
        <w:rPr>
          <w:rFonts w:ascii="Book Antiqua" w:hAnsi="Book Antiqua" w:cstheme="minorHAnsi"/>
          <w:sz w:val="22"/>
        </w:rPr>
        <w:t xml:space="preserve"> </w:t>
      </w:r>
      <w:r w:rsidR="00A6255C" w:rsidRPr="00E70295">
        <w:rPr>
          <w:rFonts w:ascii="Book Antiqua" w:hAnsi="Book Antiqua" w:cstheme="minorHAnsi"/>
          <w:sz w:val="22"/>
        </w:rPr>
        <w:t>276ADE(vi) of the Rules)</w:t>
      </w:r>
      <w:r w:rsidRPr="00E70295">
        <w:rPr>
          <w:rFonts w:ascii="Book Antiqua" w:hAnsi="Book Antiqua" w:cstheme="minorHAnsi"/>
          <w:sz w:val="22"/>
        </w:rPr>
        <w:t xml:space="preserve"> </w:t>
      </w:r>
      <w:r w:rsidR="00A6255C" w:rsidRPr="00E70295">
        <w:rPr>
          <w:rFonts w:ascii="Book Antiqua" w:hAnsi="Book Antiqua" w:cstheme="minorHAnsi"/>
          <w:sz w:val="22"/>
        </w:rPr>
        <w:t xml:space="preserve">and she would be entitled to </w:t>
      </w:r>
      <w:r w:rsidR="000E06F2" w:rsidRPr="00E70295">
        <w:rPr>
          <w:rFonts w:ascii="Book Antiqua" w:hAnsi="Book Antiqua" w:cstheme="minorHAnsi"/>
          <w:sz w:val="22"/>
        </w:rPr>
        <w:t>remain on Article 8 Grounds.</w:t>
      </w:r>
      <w:r w:rsidRPr="00E70295">
        <w:rPr>
          <w:rFonts w:ascii="Book Antiqua" w:hAnsi="Book Antiqua" w:cstheme="minorHAnsi"/>
          <w:sz w:val="22"/>
        </w:rPr>
        <w:t>”</w:t>
      </w:r>
    </w:p>
    <w:p w:rsidR="001B61A7" w:rsidRPr="00D72CF9" w:rsidRDefault="00C6144E" w:rsidP="00C6144E">
      <w:pPr>
        <w:spacing w:before="240"/>
        <w:jc w:val="both"/>
        <w:rPr>
          <w:rFonts w:ascii="Book Antiqua" w:hAnsi="Book Antiqua" w:cs="Arial"/>
          <w:b/>
          <w:u w:val="single"/>
        </w:rPr>
      </w:pPr>
      <w:r w:rsidRPr="00D72CF9">
        <w:rPr>
          <w:rFonts w:ascii="Book Antiqua" w:hAnsi="Book Antiqua" w:cs="Arial"/>
          <w:b/>
          <w:u w:val="single"/>
        </w:rPr>
        <w:t xml:space="preserve">Onward Appeal  </w:t>
      </w:r>
    </w:p>
    <w:p w:rsidR="00C6144E" w:rsidRPr="00D72CF9" w:rsidRDefault="00C6144E" w:rsidP="00E943B7">
      <w:pPr>
        <w:numPr>
          <w:ilvl w:val="0"/>
          <w:numId w:val="3"/>
        </w:numPr>
        <w:spacing w:before="240"/>
        <w:jc w:val="both"/>
        <w:rPr>
          <w:rFonts w:ascii="Book Antiqua" w:hAnsi="Book Antiqua" w:cs="Arial"/>
        </w:rPr>
      </w:pPr>
      <w:r w:rsidRPr="00D72CF9">
        <w:rPr>
          <w:rFonts w:ascii="Book Antiqua" w:hAnsi="Book Antiqua" w:cs="Arial"/>
        </w:rPr>
        <w:t xml:space="preserve">The Secretary of State sought and was granted permission to </w:t>
      </w:r>
      <w:r w:rsidR="002B7F54" w:rsidRPr="00D72CF9">
        <w:rPr>
          <w:rFonts w:ascii="Book Antiqua" w:hAnsi="Book Antiqua" w:cs="Arial"/>
        </w:rPr>
        <w:t>appeal.  The</w:t>
      </w:r>
      <w:r w:rsidR="00603D35" w:rsidRPr="00D72CF9">
        <w:rPr>
          <w:rFonts w:ascii="Book Antiqua" w:hAnsi="Book Antiqua" w:cs="Arial"/>
        </w:rPr>
        <w:t xml:space="preserve"> relevant </w:t>
      </w:r>
      <w:r w:rsidR="00E06B57" w:rsidRPr="00D72CF9">
        <w:rPr>
          <w:rFonts w:ascii="Book Antiqua" w:hAnsi="Book Antiqua" w:cs="Arial"/>
        </w:rPr>
        <w:t>parts of the gran</w:t>
      </w:r>
      <w:r w:rsidR="00EA0EA7">
        <w:rPr>
          <w:rFonts w:ascii="Book Antiqua" w:hAnsi="Book Antiqua" w:cs="Arial"/>
        </w:rPr>
        <w:t>t of permission read as follows:</w:t>
      </w:r>
      <w:r w:rsidR="00E06B57" w:rsidRPr="00D72CF9">
        <w:rPr>
          <w:rFonts w:ascii="Book Antiqua" w:hAnsi="Book Antiqua" w:cs="Arial"/>
        </w:rPr>
        <w:t xml:space="preserve"> </w:t>
      </w:r>
    </w:p>
    <w:p w:rsidR="00E06B57" w:rsidRPr="00E70295" w:rsidRDefault="00EA0EA7" w:rsidP="00E70295">
      <w:pPr>
        <w:spacing w:before="120"/>
        <w:ind w:left="1134" w:right="567"/>
        <w:jc w:val="both"/>
        <w:rPr>
          <w:rFonts w:ascii="Book Antiqua" w:hAnsi="Book Antiqua" w:cs="Arial"/>
          <w:sz w:val="22"/>
        </w:rPr>
      </w:pPr>
      <w:r w:rsidRPr="00E70295">
        <w:rPr>
          <w:rFonts w:ascii="Book Antiqua" w:hAnsi="Book Antiqua" w:cs="Arial"/>
          <w:sz w:val="22"/>
        </w:rPr>
        <w:t>“The grounds assert that the J</w:t>
      </w:r>
      <w:r w:rsidR="00E06B57" w:rsidRPr="00E70295">
        <w:rPr>
          <w:rFonts w:ascii="Book Antiqua" w:hAnsi="Book Antiqua" w:cs="Arial"/>
          <w:sz w:val="22"/>
        </w:rPr>
        <w:t>udge failed to give adequate reasons on</w:t>
      </w:r>
      <w:r w:rsidRPr="00E70295">
        <w:rPr>
          <w:rFonts w:ascii="Book Antiqua" w:hAnsi="Book Antiqua" w:cs="Arial"/>
          <w:sz w:val="22"/>
        </w:rPr>
        <w:t xml:space="preserve"> material matters and that the J</w:t>
      </w:r>
      <w:r w:rsidR="00E06B57" w:rsidRPr="00E70295">
        <w:rPr>
          <w:rFonts w:ascii="Book Antiqua" w:hAnsi="Book Antiqua" w:cs="Arial"/>
          <w:sz w:val="22"/>
        </w:rPr>
        <w:t>udge’s consideration of the v</w:t>
      </w:r>
      <w:r w:rsidR="00232720" w:rsidRPr="00E70295">
        <w:rPr>
          <w:rFonts w:ascii="Book Antiqua" w:hAnsi="Book Antiqua" w:cs="Arial"/>
          <w:sz w:val="22"/>
        </w:rPr>
        <w:t xml:space="preserve">iability of internal relocation is inadequate.  </w:t>
      </w:r>
    </w:p>
    <w:p w:rsidR="00232720" w:rsidRPr="00E70295" w:rsidRDefault="00EA0EA7" w:rsidP="00E70295">
      <w:pPr>
        <w:spacing w:before="120"/>
        <w:ind w:left="1134" w:right="567"/>
        <w:jc w:val="both"/>
        <w:rPr>
          <w:rFonts w:ascii="Book Antiqua" w:hAnsi="Book Antiqua" w:cs="Arial"/>
          <w:sz w:val="22"/>
        </w:rPr>
      </w:pPr>
      <w:r w:rsidRPr="00E70295">
        <w:rPr>
          <w:rFonts w:ascii="Book Antiqua" w:hAnsi="Book Antiqua" w:cs="Arial"/>
          <w:sz w:val="22"/>
        </w:rPr>
        <w:t>Between [9] and [35] the J</w:t>
      </w:r>
      <w:r w:rsidR="00232720" w:rsidRPr="00E70295">
        <w:rPr>
          <w:rFonts w:ascii="Book Antiqua" w:hAnsi="Book Antiqua" w:cs="Arial"/>
          <w:sz w:val="22"/>
        </w:rPr>
        <w:t>udge sets out the relevant l</w:t>
      </w:r>
      <w:r w:rsidRPr="00E70295">
        <w:rPr>
          <w:rFonts w:ascii="Book Antiqua" w:hAnsi="Book Antiqua" w:cs="Arial"/>
          <w:sz w:val="22"/>
        </w:rPr>
        <w:t>aw.  Between [27] and [36] the Judge sets out the a</w:t>
      </w:r>
      <w:r w:rsidR="00232720" w:rsidRPr="00E70295">
        <w:rPr>
          <w:rFonts w:ascii="Book Antiqua" w:hAnsi="Book Antiqua" w:cs="Arial"/>
          <w:sz w:val="22"/>
        </w:rPr>
        <w:t>ppellant’s positi</w:t>
      </w:r>
      <w:r w:rsidRPr="00E70295">
        <w:rPr>
          <w:rFonts w:ascii="Book Antiqua" w:hAnsi="Book Antiqua" w:cs="Arial"/>
          <w:sz w:val="22"/>
        </w:rPr>
        <w:t>on.  Between [37] and [39] the Judge summarises the r</w:t>
      </w:r>
      <w:r w:rsidR="00232720" w:rsidRPr="00E70295">
        <w:rPr>
          <w:rFonts w:ascii="Book Antiqua" w:hAnsi="Book Antiqua" w:cs="Arial"/>
          <w:sz w:val="22"/>
        </w:rPr>
        <w:t xml:space="preserve">espondent’s position before summarising the evidence between [40] and [44].  </w:t>
      </w:r>
    </w:p>
    <w:p w:rsidR="00232720" w:rsidRPr="00E70295" w:rsidRDefault="00EA0EA7" w:rsidP="00E70295">
      <w:pPr>
        <w:spacing w:before="120"/>
        <w:ind w:left="1134" w:right="567"/>
        <w:jc w:val="both"/>
        <w:rPr>
          <w:rFonts w:ascii="Book Antiqua" w:hAnsi="Book Antiqua" w:cs="Arial"/>
          <w:sz w:val="22"/>
        </w:rPr>
      </w:pPr>
      <w:r w:rsidRPr="00E70295">
        <w:rPr>
          <w:rFonts w:ascii="Book Antiqua" w:hAnsi="Book Antiqua" w:cs="Arial"/>
          <w:sz w:val="22"/>
        </w:rPr>
        <w:t>Between [45] and [49] the J</w:t>
      </w:r>
      <w:r w:rsidR="00232720" w:rsidRPr="00E70295">
        <w:rPr>
          <w:rFonts w:ascii="Book Antiqua" w:hAnsi="Book Antiqua" w:cs="Arial"/>
          <w:sz w:val="22"/>
        </w:rPr>
        <w:t>udge</w:t>
      </w:r>
      <w:r w:rsidR="002843A0" w:rsidRPr="00E70295">
        <w:rPr>
          <w:rFonts w:ascii="Book Antiqua" w:hAnsi="Book Antiqua" w:cs="Arial"/>
          <w:sz w:val="22"/>
        </w:rPr>
        <w:t xml:space="preserve"> sets out conclusions.  It is arguable that the decision contains neither an analysis of the evidence nor reaso</w:t>
      </w:r>
      <w:r w:rsidRPr="00E70295">
        <w:rPr>
          <w:rFonts w:ascii="Book Antiqua" w:hAnsi="Book Antiqua" w:cs="Arial"/>
          <w:sz w:val="22"/>
        </w:rPr>
        <w:t>ns for the conclusions reached.”</w:t>
      </w:r>
      <w:r w:rsidR="002843A0" w:rsidRPr="00E70295">
        <w:rPr>
          <w:rFonts w:ascii="Book Antiqua" w:hAnsi="Book Antiqua" w:cs="Arial"/>
          <w:sz w:val="22"/>
        </w:rPr>
        <w:t xml:space="preserve">  </w:t>
      </w:r>
    </w:p>
    <w:p w:rsidR="00C6144E" w:rsidRPr="00D72CF9" w:rsidRDefault="002843A0" w:rsidP="00E943B7">
      <w:pPr>
        <w:numPr>
          <w:ilvl w:val="0"/>
          <w:numId w:val="3"/>
        </w:numPr>
        <w:spacing w:before="240"/>
        <w:jc w:val="both"/>
        <w:rPr>
          <w:rFonts w:ascii="Book Antiqua" w:hAnsi="Book Antiqua" w:cs="Arial"/>
        </w:rPr>
      </w:pPr>
      <w:r w:rsidRPr="00D72CF9">
        <w:rPr>
          <w:rFonts w:ascii="Book Antiqua" w:hAnsi="Book Antiqua" w:cs="Arial"/>
        </w:rPr>
        <w:t xml:space="preserve">Thus the matter comes before me to determine whether the decision of the First-tier Tribunal contains such error of law that it must be set aside and remade.   </w:t>
      </w:r>
    </w:p>
    <w:p w:rsidR="002843A0" w:rsidRPr="00D72CF9" w:rsidRDefault="002843A0" w:rsidP="002843A0">
      <w:pPr>
        <w:spacing w:before="240"/>
        <w:jc w:val="both"/>
        <w:rPr>
          <w:rFonts w:ascii="Book Antiqua" w:hAnsi="Book Antiqua" w:cs="Arial"/>
          <w:b/>
          <w:u w:val="single"/>
        </w:rPr>
      </w:pPr>
      <w:r w:rsidRPr="00D72CF9">
        <w:rPr>
          <w:rFonts w:ascii="Book Antiqua" w:hAnsi="Book Antiqua" w:cs="Arial"/>
          <w:b/>
          <w:u w:val="single"/>
        </w:rPr>
        <w:t xml:space="preserve">Error of Law Hearing  </w:t>
      </w:r>
    </w:p>
    <w:p w:rsidR="000E06F2" w:rsidRPr="000E06F2" w:rsidRDefault="002843A0" w:rsidP="00E943B7">
      <w:pPr>
        <w:numPr>
          <w:ilvl w:val="0"/>
          <w:numId w:val="3"/>
        </w:numPr>
        <w:spacing w:before="240"/>
        <w:jc w:val="both"/>
        <w:rPr>
          <w:rFonts w:ascii="Book Antiqua" w:hAnsi="Book Antiqua" w:cs="Arial"/>
        </w:rPr>
      </w:pPr>
      <w:r w:rsidRPr="00D72CF9">
        <w:rPr>
          <w:rFonts w:ascii="Book Antiqua" w:hAnsi="Book Antiqua" w:cs="Arial"/>
        </w:rPr>
        <w:t xml:space="preserve">Before me Miss Fijiwala appeared for the Secretary of State and Mr </w:t>
      </w:r>
      <w:r w:rsidR="003A52A9" w:rsidRPr="00D72CF9">
        <w:rPr>
          <w:rFonts w:ascii="Book Antiqua" w:hAnsi="Book Antiqua" w:cs="Arial"/>
        </w:rPr>
        <w:t xml:space="preserve">Waheed for the Appellant.  Miss Fijiwala relied upon the grounds seeking permission.  She submitted that as the grant of permission points out, despite the length of the decision, the judge has simply failed to demonstrate that he has engaged with the </w:t>
      </w:r>
      <w:r w:rsidR="000E06F2">
        <w:rPr>
          <w:rFonts w:ascii="Book Antiqua" w:hAnsi="Book Antiqua" w:cs="Arial"/>
        </w:rPr>
        <w:t xml:space="preserve">evidence as set out in the </w:t>
      </w:r>
      <w:r w:rsidR="003A52A9" w:rsidRPr="00D72CF9">
        <w:rPr>
          <w:rFonts w:ascii="Book Antiqua" w:hAnsi="Book Antiqua" w:cs="Arial"/>
        </w:rPr>
        <w:t xml:space="preserve">Respondent’s case.  She submitted </w:t>
      </w:r>
      <w:r w:rsidR="00EA0EA7">
        <w:rPr>
          <w:rFonts w:ascii="Book Antiqua" w:hAnsi="Book Antiqua" w:cs="Arial"/>
        </w:rPr>
        <w:t xml:space="preserve">that </w:t>
      </w:r>
      <w:r w:rsidR="003A52A9" w:rsidRPr="00D72CF9">
        <w:rPr>
          <w:rFonts w:ascii="Book Antiqua" w:hAnsi="Book Antiqua" w:cs="Arial"/>
        </w:rPr>
        <w:t>he has made a series of statements at [47] none of which</w:t>
      </w:r>
      <w:r w:rsidR="000E06F2">
        <w:rPr>
          <w:rFonts w:ascii="Book Antiqua" w:hAnsi="Book Antiqua" w:cs="Arial"/>
        </w:rPr>
        <w:t xml:space="preserve"> can be said to be properly reasoned.  F</w:t>
      </w:r>
      <w:r w:rsidR="003A52A9" w:rsidRPr="00D72CF9">
        <w:rPr>
          <w:rFonts w:ascii="Book Antiqua" w:hAnsi="Book Antiqua" w:cs="Arial"/>
        </w:rPr>
        <w:t>urther</w:t>
      </w:r>
      <w:r w:rsidR="000E06F2">
        <w:rPr>
          <w:rFonts w:ascii="Book Antiqua" w:hAnsi="Book Antiqua" w:cs="Arial"/>
        </w:rPr>
        <w:t xml:space="preserve"> </w:t>
      </w:r>
      <w:r w:rsidR="003A52A9" w:rsidRPr="00D72CF9">
        <w:rPr>
          <w:rFonts w:ascii="Book Antiqua" w:hAnsi="Book Antiqua" w:cs="Arial"/>
        </w:rPr>
        <w:t>the judge’s</w:t>
      </w:r>
      <w:r w:rsidR="008A450A" w:rsidRPr="00D72CF9">
        <w:rPr>
          <w:rFonts w:ascii="Book Antiqua" w:hAnsi="Book Antiqua" w:cs="Arial"/>
        </w:rPr>
        <w:t xml:space="preserve"> </w:t>
      </w:r>
      <w:r w:rsidR="003A52A9" w:rsidRPr="00D72CF9">
        <w:rPr>
          <w:rFonts w:ascii="Book Antiqua" w:hAnsi="Book Antiqua" w:cstheme="minorHAnsi"/>
        </w:rPr>
        <w:t>decision at [</w:t>
      </w:r>
      <w:r w:rsidR="000E06F2">
        <w:rPr>
          <w:rFonts w:ascii="Book Antiqua" w:hAnsi="Book Antiqua" w:cstheme="minorHAnsi"/>
        </w:rPr>
        <w:t xml:space="preserve">48] wherein he makes a </w:t>
      </w:r>
      <w:r w:rsidR="003A52A9" w:rsidRPr="00D72CF9">
        <w:rPr>
          <w:rFonts w:ascii="Book Antiqua" w:hAnsi="Book Antiqua" w:cstheme="minorHAnsi"/>
        </w:rPr>
        <w:t>finding tha</w:t>
      </w:r>
      <w:r w:rsidR="000E06F2">
        <w:rPr>
          <w:rFonts w:ascii="Book Antiqua" w:hAnsi="Book Antiqua" w:cstheme="minorHAnsi"/>
        </w:rPr>
        <w:t>t the Appellant is a refugee who is</w:t>
      </w:r>
      <w:r w:rsidR="003A52A9" w:rsidRPr="00D72CF9">
        <w:rPr>
          <w:rFonts w:ascii="Book Antiqua" w:hAnsi="Book Antiqua" w:cstheme="minorHAnsi"/>
        </w:rPr>
        <w:t xml:space="preserve"> entitled to asylum and to humanitarian protection, is unsustainable.  There is no </w:t>
      </w:r>
      <w:r w:rsidR="005F39FA">
        <w:rPr>
          <w:rFonts w:ascii="Book Antiqua" w:hAnsi="Book Antiqua" w:cstheme="minorHAnsi"/>
        </w:rPr>
        <w:t>finding, n</w:t>
      </w:r>
      <w:r w:rsidR="000E06F2">
        <w:rPr>
          <w:rFonts w:ascii="Book Antiqua" w:hAnsi="Book Antiqua" w:cstheme="minorHAnsi"/>
        </w:rPr>
        <w:t>or any analysis</w:t>
      </w:r>
      <w:r w:rsidR="005F39FA">
        <w:rPr>
          <w:rFonts w:ascii="Book Antiqua" w:hAnsi="Book Antiqua" w:cstheme="minorHAnsi"/>
        </w:rPr>
        <w:t>,</w:t>
      </w:r>
      <w:r w:rsidR="000E06F2">
        <w:rPr>
          <w:rFonts w:ascii="Book Antiqua" w:hAnsi="Book Antiqua" w:cstheme="minorHAnsi"/>
        </w:rPr>
        <w:t xml:space="preserve"> of</w:t>
      </w:r>
      <w:r w:rsidR="003A52A9" w:rsidRPr="00D72CF9">
        <w:rPr>
          <w:rFonts w:ascii="Book Antiqua" w:hAnsi="Book Antiqua" w:cstheme="minorHAnsi"/>
        </w:rPr>
        <w:t xml:space="preserve"> which part of the Refugee Convention </w:t>
      </w:r>
      <w:r w:rsidR="005F39FA">
        <w:rPr>
          <w:rFonts w:ascii="Book Antiqua" w:hAnsi="Book Antiqua" w:cstheme="minorHAnsi"/>
        </w:rPr>
        <w:t xml:space="preserve">is said to </w:t>
      </w:r>
      <w:r w:rsidR="003A52A9" w:rsidRPr="00D72CF9">
        <w:rPr>
          <w:rFonts w:ascii="Book Antiqua" w:hAnsi="Book Antiqua" w:cstheme="minorHAnsi"/>
        </w:rPr>
        <w:t>appl</w:t>
      </w:r>
      <w:r w:rsidR="005F39FA">
        <w:rPr>
          <w:rFonts w:ascii="Book Antiqua" w:hAnsi="Book Antiqua" w:cstheme="minorHAnsi"/>
        </w:rPr>
        <w:t>y</w:t>
      </w:r>
      <w:r w:rsidR="003A52A9" w:rsidRPr="00D72CF9">
        <w:rPr>
          <w:rFonts w:ascii="Book Antiqua" w:hAnsi="Book Antiqua" w:cstheme="minorHAnsi"/>
        </w:rPr>
        <w:t xml:space="preserve"> to the Appellant’s case.</w:t>
      </w:r>
      <w:r w:rsidR="000E06F2">
        <w:rPr>
          <w:rFonts w:ascii="Book Antiqua" w:hAnsi="Book Antiqua" w:cstheme="minorHAnsi"/>
        </w:rPr>
        <w:t xml:space="preserve"> This illustrates the judge</w:t>
      </w:r>
      <w:r w:rsidR="005F39FA">
        <w:rPr>
          <w:rFonts w:ascii="Book Antiqua" w:hAnsi="Book Antiqua" w:cstheme="minorHAnsi"/>
        </w:rPr>
        <w:t>’</w:t>
      </w:r>
      <w:r w:rsidR="000E06F2">
        <w:rPr>
          <w:rFonts w:ascii="Book Antiqua" w:hAnsi="Book Antiqua" w:cstheme="minorHAnsi"/>
        </w:rPr>
        <w:t xml:space="preserve">s failure to engage properly with the evidence before him. </w:t>
      </w:r>
      <w:r w:rsidR="003A52A9" w:rsidRPr="00D72CF9">
        <w:rPr>
          <w:rFonts w:ascii="Book Antiqua" w:hAnsi="Book Antiqua" w:cstheme="minorHAnsi"/>
        </w:rPr>
        <w:t xml:space="preserve"> </w:t>
      </w:r>
      <w:r w:rsidR="000E06F2">
        <w:rPr>
          <w:rFonts w:ascii="Book Antiqua" w:hAnsi="Book Antiqua" w:cstheme="minorHAnsi"/>
        </w:rPr>
        <w:t>It has always been the Respondent’s case that the Refugee convention is not even engaged in this appeal.</w:t>
      </w:r>
    </w:p>
    <w:p w:rsidR="002843A0" w:rsidRPr="00D72CF9" w:rsidRDefault="003A52A9" w:rsidP="00E943B7">
      <w:pPr>
        <w:numPr>
          <w:ilvl w:val="0"/>
          <w:numId w:val="3"/>
        </w:numPr>
        <w:spacing w:before="240"/>
        <w:jc w:val="both"/>
        <w:rPr>
          <w:rFonts w:ascii="Book Antiqua" w:hAnsi="Book Antiqua" w:cs="Arial"/>
        </w:rPr>
      </w:pPr>
      <w:r w:rsidRPr="00D72CF9">
        <w:rPr>
          <w:rFonts w:ascii="Book Antiqua" w:hAnsi="Book Antiqua" w:cstheme="minorHAnsi"/>
        </w:rPr>
        <w:lastRenderedPageBreak/>
        <w:t>Further the judge makes a sweeping statement that the Appellant</w:t>
      </w:r>
      <w:r w:rsidR="009814F6" w:rsidRPr="00D72CF9">
        <w:rPr>
          <w:rFonts w:ascii="Book Antiqua" w:hAnsi="Book Antiqua" w:cstheme="minorHAnsi"/>
        </w:rPr>
        <w:t xml:space="preserve">’s enforced </w:t>
      </w:r>
      <w:r w:rsidRPr="00D72CF9">
        <w:rPr>
          <w:rFonts w:ascii="Book Antiqua" w:hAnsi="Book Antiqua" w:cstheme="minorHAnsi"/>
        </w:rPr>
        <w:t>return to India would contravene</w:t>
      </w:r>
      <w:r w:rsidR="008953D5" w:rsidRPr="00D72CF9">
        <w:rPr>
          <w:rFonts w:ascii="Book Antiqua" w:hAnsi="Book Antiqua" w:cstheme="minorHAnsi"/>
        </w:rPr>
        <w:t xml:space="preserve"> her rights under Articles 2 and 3, ECHR and again there is no analysis showing how that conclusion has been reached.  </w:t>
      </w:r>
      <w:r w:rsidR="008C2C6B" w:rsidRPr="00D72CF9">
        <w:rPr>
          <w:rFonts w:ascii="Book Antiqua" w:hAnsi="Book Antiqua" w:cstheme="minorHAnsi"/>
        </w:rPr>
        <w:t xml:space="preserve">Indeed there is no evidential basis to show that internal relocation in India would result in the Appellant facing extreme violence or death.  </w:t>
      </w:r>
      <w:r w:rsidR="00EC4C64" w:rsidRPr="00D72CF9">
        <w:rPr>
          <w:rFonts w:ascii="Book Antiqua" w:hAnsi="Book Antiqua" w:cstheme="minorHAnsi"/>
        </w:rPr>
        <w:t>The decision is wholly unsustainable and should be set aside</w:t>
      </w:r>
      <w:r w:rsidR="003A1115" w:rsidRPr="00D72CF9">
        <w:rPr>
          <w:rFonts w:ascii="Book Antiqua" w:hAnsi="Book Antiqua" w:cstheme="minorHAnsi"/>
        </w:rPr>
        <w:t xml:space="preserve"> and remade.  </w:t>
      </w:r>
    </w:p>
    <w:p w:rsidR="003A1115" w:rsidRPr="00D72CF9" w:rsidRDefault="003A1115" w:rsidP="00E943B7">
      <w:pPr>
        <w:numPr>
          <w:ilvl w:val="0"/>
          <w:numId w:val="3"/>
        </w:numPr>
        <w:spacing w:before="240"/>
        <w:jc w:val="both"/>
        <w:rPr>
          <w:rFonts w:ascii="Book Antiqua" w:hAnsi="Book Antiqua" w:cs="Arial"/>
        </w:rPr>
      </w:pPr>
      <w:r w:rsidRPr="00D72CF9">
        <w:rPr>
          <w:rFonts w:ascii="Book Antiqua" w:hAnsi="Book Antiqua" w:cstheme="minorHAnsi"/>
        </w:rPr>
        <w:t xml:space="preserve">Mr </w:t>
      </w:r>
      <w:proofErr w:type="spellStart"/>
      <w:r w:rsidRPr="00D72CF9">
        <w:rPr>
          <w:rFonts w:ascii="Book Antiqua" w:hAnsi="Book Antiqua" w:cstheme="minorHAnsi"/>
        </w:rPr>
        <w:t>Waheed</w:t>
      </w:r>
      <w:proofErr w:type="spellEnd"/>
      <w:r w:rsidRPr="00D72CF9">
        <w:rPr>
          <w:rFonts w:ascii="Book Antiqua" w:hAnsi="Book Antiqua" w:cstheme="minorHAnsi"/>
        </w:rPr>
        <w:t xml:space="preserve"> </w:t>
      </w:r>
      <w:r w:rsidR="00D0397E">
        <w:rPr>
          <w:rFonts w:ascii="Book Antiqua" w:hAnsi="Book Antiqua" w:cstheme="minorHAnsi"/>
        </w:rPr>
        <w:t xml:space="preserve">in response </w:t>
      </w:r>
      <w:r w:rsidRPr="00D72CF9">
        <w:rPr>
          <w:rFonts w:ascii="Book Antiqua" w:hAnsi="Book Antiqua" w:cstheme="minorHAnsi"/>
        </w:rPr>
        <w:t>relied on a skeleton argument which he handed up.</w:t>
      </w:r>
      <w:r w:rsidR="00EA2779" w:rsidRPr="00D72CF9">
        <w:rPr>
          <w:rFonts w:ascii="Book Antiqua" w:hAnsi="Book Antiqua" w:cstheme="minorHAnsi"/>
        </w:rPr>
        <w:t xml:space="preserve">  </w:t>
      </w:r>
      <w:r w:rsidRPr="00D72CF9">
        <w:rPr>
          <w:rFonts w:ascii="Book Antiqua" w:hAnsi="Book Antiqua" w:cstheme="minorHAnsi"/>
        </w:rPr>
        <w:t>He referred to [47] and said that the judge had made a finding that the Appellant</w:t>
      </w:r>
      <w:r w:rsidR="00860CA7" w:rsidRPr="00D72CF9">
        <w:rPr>
          <w:rFonts w:ascii="Book Antiqua" w:hAnsi="Book Antiqua" w:cstheme="minorHAnsi"/>
        </w:rPr>
        <w:t xml:space="preserve"> is unworldly.  She has fragile mental health</w:t>
      </w:r>
      <w:r w:rsidR="00AC0FF8" w:rsidRPr="00D72CF9">
        <w:rPr>
          <w:rFonts w:ascii="Book Antiqua" w:hAnsi="Book Antiqua" w:cstheme="minorHAnsi"/>
        </w:rPr>
        <w:t xml:space="preserve"> as evidenced by the medical evidence produced.  The judge had reached a conclusion that it would be simply impossible for her to </w:t>
      </w:r>
      <w:r w:rsidR="00EC0900" w:rsidRPr="00D72CF9">
        <w:rPr>
          <w:rFonts w:ascii="Book Antiqua" w:hAnsi="Book Antiqua" w:cstheme="minorHAnsi"/>
        </w:rPr>
        <w:t>establish an independent life away from her home area without any support.</w:t>
      </w:r>
      <w:r w:rsidR="00D0397E">
        <w:rPr>
          <w:rFonts w:ascii="Book Antiqua" w:hAnsi="Book Antiqua" w:cstheme="minorHAnsi"/>
        </w:rPr>
        <w:t xml:space="preserve">  </w:t>
      </w:r>
      <w:r w:rsidR="00037D74">
        <w:rPr>
          <w:rFonts w:ascii="Book Antiqua" w:hAnsi="Book Antiqua" w:cstheme="minorHAnsi"/>
        </w:rPr>
        <w:t>Th</w:t>
      </w:r>
      <w:r w:rsidR="00D0397E">
        <w:rPr>
          <w:rFonts w:ascii="Book Antiqua" w:hAnsi="Book Antiqua" w:cstheme="minorHAnsi"/>
        </w:rPr>
        <w:t>ose</w:t>
      </w:r>
      <w:r w:rsidR="00037D74">
        <w:rPr>
          <w:rFonts w:ascii="Book Antiqua" w:hAnsi="Book Antiqua" w:cstheme="minorHAnsi"/>
        </w:rPr>
        <w:t xml:space="preserve"> finding</w:t>
      </w:r>
      <w:r w:rsidR="00D0397E">
        <w:rPr>
          <w:rFonts w:ascii="Book Antiqua" w:hAnsi="Book Antiqua" w:cstheme="minorHAnsi"/>
        </w:rPr>
        <w:t>s were</w:t>
      </w:r>
      <w:r w:rsidR="00037D74">
        <w:rPr>
          <w:rFonts w:ascii="Book Antiqua" w:hAnsi="Book Antiqua" w:cstheme="minorHAnsi"/>
        </w:rPr>
        <w:t xml:space="preserve"> open to the judge to make.</w:t>
      </w:r>
      <w:r w:rsidR="00EC0900" w:rsidRPr="00D72CF9">
        <w:rPr>
          <w:rFonts w:ascii="Book Antiqua" w:hAnsi="Book Antiqua" w:cstheme="minorHAnsi"/>
        </w:rPr>
        <w:t xml:space="preserve"> The decision should therefore stand.  At the end of submissions I reserved my decision which I </w:t>
      </w:r>
      <w:r w:rsidR="0070441E" w:rsidRPr="00D72CF9">
        <w:rPr>
          <w:rFonts w:ascii="Book Antiqua" w:hAnsi="Book Antiqua" w:cstheme="minorHAnsi"/>
        </w:rPr>
        <w:t xml:space="preserve">now give with reasons. </w:t>
      </w:r>
    </w:p>
    <w:p w:rsidR="0070441E" w:rsidRPr="00D72CF9" w:rsidRDefault="0070441E" w:rsidP="0070441E">
      <w:pPr>
        <w:spacing w:before="240"/>
        <w:jc w:val="both"/>
        <w:rPr>
          <w:rFonts w:ascii="Book Antiqua" w:hAnsi="Book Antiqua" w:cs="Arial"/>
          <w:b/>
          <w:u w:val="single"/>
        </w:rPr>
      </w:pPr>
      <w:r w:rsidRPr="00D72CF9">
        <w:rPr>
          <w:rFonts w:ascii="Book Antiqua" w:hAnsi="Book Antiqua" w:cs="Arial"/>
          <w:b/>
          <w:u w:val="single"/>
        </w:rPr>
        <w:t xml:space="preserve">Consideration  </w:t>
      </w:r>
    </w:p>
    <w:p w:rsidR="0070441E" w:rsidRPr="00037D74" w:rsidRDefault="00CD7FC9" w:rsidP="00037D74">
      <w:pPr>
        <w:numPr>
          <w:ilvl w:val="0"/>
          <w:numId w:val="3"/>
        </w:numPr>
        <w:spacing w:before="240"/>
        <w:jc w:val="both"/>
        <w:rPr>
          <w:rFonts w:ascii="Book Antiqua" w:hAnsi="Book Antiqua" w:cs="Arial"/>
        </w:rPr>
      </w:pPr>
      <w:r w:rsidRPr="00D72CF9">
        <w:rPr>
          <w:rFonts w:ascii="Book Antiqua" w:hAnsi="Book Antiqua" w:cs="Arial"/>
        </w:rPr>
        <w:t>The judge’s decision contain</w:t>
      </w:r>
      <w:r w:rsidR="00037D74">
        <w:rPr>
          <w:rFonts w:ascii="Book Antiqua" w:hAnsi="Book Antiqua" w:cs="Arial"/>
        </w:rPr>
        <w:t xml:space="preserve">s </w:t>
      </w:r>
      <w:r w:rsidRPr="00D72CF9">
        <w:rPr>
          <w:rFonts w:ascii="Book Antiqua" w:hAnsi="Book Antiqua" w:cstheme="minorHAnsi"/>
        </w:rPr>
        <w:t>49 paragraphs.  As the grant of permission indicate</w:t>
      </w:r>
      <w:r w:rsidR="00037D74">
        <w:rPr>
          <w:rFonts w:ascii="Book Antiqua" w:hAnsi="Book Antiqua" w:cstheme="minorHAnsi"/>
        </w:rPr>
        <w:t>s</w:t>
      </w:r>
      <w:r w:rsidR="00EA2779" w:rsidRPr="00D72CF9">
        <w:rPr>
          <w:rFonts w:ascii="Book Antiqua" w:hAnsi="Book Antiqua" w:cstheme="minorHAnsi"/>
        </w:rPr>
        <w:t xml:space="preserve"> </w:t>
      </w:r>
      <w:r w:rsidRPr="00D72CF9">
        <w:rPr>
          <w:rFonts w:ascii="Book Antiqua" w:hAnsi="Book Antiqua" w:cstheme="minorHAnsi"/>
        </w:rPr>
        <w:t>it is not until [45] to [49] that the judge sets out</w:t>
      </w:r>
      <w:r w:rsidR="00037D74">
        <w:rPr>
          <w:rFonts w:ascii="Book Antiqua" w:hAnsi="Book Antiqua" w:cstheme="minorHAnsi"/>
        </w:rPr>
        <w:t xml:space="preserve"> what amounts to </w:t>
      </w:r>
      <w:r w:rsidRPr="00037D74">
        <w:rPr>
          <w:rFonts w:ascii="Book Antiqua" w:hAnsi="Book Antiqua" w:cstheme="minorHAnsi"/>
        </w:rPr>
        <w:t xml:space="preserve">a series of conclusions.  </w:t>
      </w:r>
      <w:r w:rsidR="00D0397E">
        <w:rPr>
          <w:rFonts w:ascii="Book Antiqua" w:hAnsi="Book Antiqua" w:cstheme="minorHAnsi"/>
        </w:rPr>
        <w:t>In reaching those conclusions, n</w:t>
      </w:r>
      <w:r w:rsidRPr="00037D74">
        <w:rPr>
          <w:rFonts w:ascii="Book Antiqua" w:hAnsi="Book Antiqua" w:cstheme="minorHAnsi"/>
        </w:rPr>
        <w:t>owhere do I see</w:t>
      </w:r>
      <w:r w:rsidR="00037D74">
        <w:rPr>
          <w:rFonts w:ascii="Book Antiqua" w:hAnsi="Book Antiqua" w:cstheme="minorHAnsi"/>
        </w:rPr>
        <w:t xml:space="preserve"> </w:t>
      </w:r>
      <w:r w:rsidRPr="00037D74">
        <w:rPr>
          <w:rFonts w:ascii="Book Antiqua" w:hAnsi="Book Antiqua" w:cstheme="minorHAnsi"/>
        </w:rPr>
        <w:t>any</w:t>
      </w:r>
      <w:r w:rsidR="00037D74">
        <w:rPr>
          <w:rFonts w:ascii="Book Antiqua" w:hAnsi="Book Antiqua" w:cstheme="minorHAnsi"/>
        </w:rPr>
        <w:t xml:space="preserve"> clear reasoned</w:t>
      </w:r>
      <w:r w:rsidRPr="00037D74">
        <w:rPr>
          <w:rFonts w:ascii="Book Antiqua" w:hAnsi="Book Antiqua" w:cstheme="minorHAnsi"/>
        </w:rPr>
        <w:t xml:space="preserve"> findings of fact</w:t>
      </w:r>
      <w:r w:rsidR="00037D74">
        <w:rPr>
          <w:rFonts w:ascii="Book Antiqua" w:hAnsi="Book Antiqua" w:cstheme="minorHAnsi"/>
        </w:rPr>
        <w:t xml:space="preserve">. </w:t>
      </w:r>
      <w:r w:rsidR="00D0397E">
        <w:rPr>
          <w:rFonts w:ascii="Book Antiqua" w:hAnsi="Book Antiqua" w:cstheme="minorHAnsi"/>
        </w:rPr>
        <w:t xml:space="preserve"> </w:t>
      </w:r>
      <w:r w:rsidR="00037D74">
        <w:rPr>
          <w:rFonts w:ascii="Book Antiqua" w:hAnsi="Book Antiqua" w:cstheme="minorHAnsi"/>
        </w:rPr>
        <w:t xml:space="preserve">Nor do I see any analysis showing how those conclusions are reached. </w:t>
      </w:r>
      <w:r w:rsidRPr="00037D74">
        <w:rPr>
          <w:rFonts w:ascii="Book Antiqua" w:hAnsi="Book Antiqua" w:cstheme="minorHAnsi"/>
        </w:rPr>
        <w:t xml:space="preserve"> </w:t>
      </w:r>
    </w:p>
    <w:p w:rsidR="00CD7FC9" w:rsidRPr="00D72CF9" w:rsidRDefault="00CD7FC9" w:rsidP="00E943B7">
      <w:pPr>
        <w:numPr>
          <w:ilvl w:val="0"/>
          <w:numId w:val="3"/>
        </w:numPr>
        <w:spacing w:before="240"/>
        <w:jc w:val="both"/>
        <w:rPr>
          <w:rFonts w:ascii="Book Antiqua" w:hAnsi="Book Antiqua" w:cs="Arial"/>
        </w:rPr>
      </w:pPr>
      <w:r w:rsidRPr="00D72CF9">
        <w:rPr>
          <w:rFonts w:ascii="Book Antiqua" w:hAnsi="Book Antiqua" w:cstheme="minorHAnsi"/>
        </w:rPr>
        <w:t>I find, despite the amount of evidence that was placed before the judge and despite setting out the background to the application and the law over numerous paragraphs, the judge’s conclusions are contained in around ten sentences in [47].</w:t>
      </w:r>
      <w:r w:rsidR="001F661C" w:rsidRPr="00D72CF9">
        <w:rPr>
          <w:rFonts w:ascii="Book Antiqua" w:hAnsi="Book Antiqua" w:cstheme="minorHAnsi"/>
        </w:rPr>
        <w:t xml:space="preserve">  </w:t>
      </w:r>
      <w:r w:rsidRPr="00D72CF9">
        <w:rPr>
          <w:rFonts w:ascii="Book Antiqua" w:hAnsi="Book Antiqua" w:cstheme="minorHAnsi"/>
        </w:rPr>
        <w:t>Nowhere do I see that the judge has</w:t>
      </w:r>
      <w:r w:rsidR="00037D74">
        <w:rPr>
          <w:rFonts w:ascii="Book Antiqua" w:hAnsi="Book Antiqua" w:cstheme="minorHAnsi"/>
        </w:rPr>
        <w:t xml:space="preserve"> engaged properly with</w:t>
      </w:r>
      <w:r w:rsidRPr="00D72CF9">
        <w:rPr>
          <w:rFonts w:ascii="Book Antiqua" w:hAnsi="Book Antiqua" w:cstheme="minorHAnsi"/>
        </w:rPr>
        <w:t xml:space="preserve"> the Respondent’s case such as to demonstrate that he has looked at the evidence in the round as he is tasked to do.  </w:t>
      </w:r>
    </w:p>
    <w:p w:rsidR="00CD7FC9" w:rsidRPr="00D72CF9" w:rsidRDefault="00CD7FC9" w:rsidP="00E943B7">
      <w:pPr>
        <w:numPr>
          <w:ilvl w:val="0"/>
          <w:numId w:val="3"/>
        </w:numPr>
        <w:spacing w:before="240"/>
        <w:jc w:val="both"/>
        <w:rPr>
          <w:rFonts w:ascii="Book Antiqua" w:hAnsi="Book Antiqua" w:cs="Arial"/>
        </w:rPr>
      </w:pPr>
      <w:r w:rsidRPr="00D72CF9">
        <w:rPr>
          <w:rFonts w:ascii="Book Antiqua" w:hAnsi="Book Antiqua" w:cstheme="minorHAnsi"/>
        </w:rPr>
        <w:t>It has always been the Respondent</w:t>
      </w:r>
      <w:r w:rsidR="003D18A8" w:rsidRPr="00D72CF9">
        <w:rPr>
          <w:rFonts w:ascii="Book Antiqua" w:hAnsi="Book Antiqua" w:cstheme="minorHAnsi"/>
        </w:rPr>
        <w:t>’</w:t>
      </w:r>
      <w:r w:rsidRPr="00D72CF9">
        <w:rPr>
          <w:rFonts w:ascii="Book Antiqua" w:hAnsi="Book Antiqua" w:cstheme="minorHAnsi"/>
        </w:rPr>
        <w:t xml:space="preserve">s case that the Appellant does not come within the terms of the Refugee Convention.  </w:t>
      </w:r>
      <w:r w:rsidR="00037D74">
        <w:rPr>
          <w:rFonts w:ascii="Book Antiqua" w:hAnsi="Book Antiqua" w:cstheme="minorHAnsi"/>
        </w:rPr>
        <w:t>At [48] t</w:t>
      </w:r>
      <w:r w:rsidRPr="00D72CF9">
        <w:rPr>
          <w:rFonts w:ascii="Book Antiqua" w:hAnsi="Book Antiqua" w:cstheme="minorHAnsi"/>
        </w:rPr>
        <w:t xml:space="preserve">he judge allows the appeal under the Refugee Convention but gives no </w:t>
      </w:r>
      <w:r w:rsidR="000315CF">
        <w:rPr>
          <w:rFonts w:ascii="Book Antiqua" w:hAnsi="Book Antiqua" w:cstheme="minorHAnsi"/>
        </w:rPr>
        <w:t>indication</w:t>
      </w:r>
      <w:r w:rsidRPr="00D72CF9">
        <w:rPr>
          <w:rFonts w:ascii="Book Antiqua" w:hAnsi="Book Antiqua" w:cstheme="minorHAnsi"/>
        </w:rPr>
        <w:t xml:space="preserve"> as to which part</w:t>
      </w:r>
      <w:r w:rsidR="00037D74">
        <w:rPr>
          <w:rFonts w:ascii="Book Antiqua" w:hAnsi="Book Antiqua" w:cstheme="minorHAnsi"/>
        </w:rPr>
        <w:t xml:space="preserve"> of that</w:t>
      </w:r>
      <w:r w:rsidR="00C8654B" w:rsidRPr="00D72CF9">
        <w:rPr>
          <w:rFonts w:ascii="Book Antiqua" w:hAnsi="Book Antiqua" w:cstheme="minorHAnsi"/>
        </w:rPr>
        <w:t xml:space="preserve"> </w:t>
      </w:r>
      <w:r w:rsidR="00D46DDC" w:rsidRPr="00D72CF9">
        <w:rPr>
          <w:rFonts w:ascii="Book Antiqua" w:hAnsi="Book Antiqua" w:cstheme="minorHAnsi"/>
        </w:rPr>
        <w:t>Convention</w:t>
      </w:r>
      <w:r w:rsidR="00037D74">
        <w:rPr>
          <w:rFonts w:ascii="Book Antiqua" w:hAnsi="Book Antiqua" w:cstheme="minorHAnsi"/>
        </w:rPr>
        <w:t xml:space="preserve"> it is said she meets.</w:t>
      </w:r>
      <w:r w:rsidR="00D46DDC" w:rsidRPr="00D72CF9">
        <w:rPr>
          <w:rFonts w:ascii="Book Antiqua" w:hAnsi="Book Antiqua" w:cstheme="minorHAnsi"/>
        </w:rPr>
        <w:t xml:space="preserve"> </w:t>
      </w:r>
      <w:r w:rsidRPr="00D72CF9">
        <w:rPr>
          <w:rFonts w:ascii="Book Antiqua" w:hAnsi="Book Antiqua" w:cstheme="minorHAnsi"/>
        </w:rPr>
        <w:t xml:space="preserve"> </w:t>
      </w:r>
    </w:p>
    <w:p w:rsidR="00CD7FC9" w:rsidRPr="00D72CF9" w:rsidRDefault="00CD7FC9" w:rsidP="00E943B7">
      <w:pPr>
        <w:numPr>
          <w:ilvl w:val="0"/>
          <w:numId w:val="3"/>
        </w:numPr>
        <w:spacing w:before="240"/>
        <w:jc w:val="both"/>
        <w:rPr>
          <w:rFonts w:ascii="Book Antiqua" w:hAnsi="Book Antiqua" w:cs="Arial"/>
        </w:rPr>
      </w:pPr>
      <w:r w:rsidRPr="00D72CF9">
        <w:rPr>
          <w:rFonts w:ascii="Book Antiqua" w:hAnsi="Book Antiqua" w:cstheme="minorHAnsi"/>
        </w:rPr>
        <w:t>Likewise I see no evidential basis of fact-finding which would merit allowing the appeal under Articles 2 and 3, ECHR.</w:t>
      </w:r>
      <w:r w:rsidR="00037D74">
        <w:rPr>
          <w:rFonts w:ascii="Book Antiqua" w:hAnsi="Book Antiqua" w:cstheme="minorHAnsi"/>
        </w:rPr>
        <w:t xml:space="preserve"> </w:t>
      </w:r>
      <w:r w:rsidR="000315CF">
        <w:rPr>
          <w:rFonts w:ascii="Book Antiqua" w:hAnsi="Book Antiqua" w:cstheme="minorHAnsi"/>
        </w:rPr>
        <w:t xml:space="preserve"> Although I have taken heed of </w:t>
      </w:r>
      <w:r w:rsidR="00037D74">
        <w:rPr>
          <w:rFonts w:ascii="Book Antiqua" w:hAnsi="Book Antiqua" w:cstheme="minorHAnsi"/>
        </w:rPr>
        <w:t xml:space="preserve">Mr </w:t>
      </w:r>
      <w:proofErr w:type="spellStart"/>
      <w:r w:rsidR="00037D74">
        <w:rPr>
          <w:rFonts w:ascii="Book Antiqua" w:hAnsi="Book Antiqua" w:cstheme="minorHAnsi"/>
        </w:rPr>
        <w:t>Waheed’s</w:t>
      </w:r>
      <w:proofErr w:type="spellEnd"/>
      <w:r w:rsidR="00037D74">
        <w:rPr>
          <w:rFonts w:ascii="Book Antiqua" w:hAnsi="Book Antiqua" w:cstheme="minorHAnsi"/>
        </w:rPr>
        <w:t xml:space="preserve"> submissions</w:t>
      </w:r>
      <w:r w:rsidR="000315CF">
        <w:rPr>
          <w:rFonts w:ascii="Book Antiqua" w:hAnsi="Book Antiqua" w:cstheme="minorHAnsi"/>
        </w:rPr>
        <w:t>, they</w:t>
      </w:r>
      <w:r w:rsidR="00037D74">
        <w:rPr>
          <w:rFonts w:ascii="Book Antiqua" w:hAnsi="Book Antiqua" w:cstheme="minorHAnsi"/>
        </w:rPr>
        <w:t xml:space="preserve"> </w:t>
      </w:r>
      <w:r w:rsidR="000315CF">
        <w:rPr>
          <w:rFonts w:ascii="Book Antiqua" w:hAnsi="Book Antiqua" w:cstheme="minorHAnsi"/>
        </w:rPr>
        <w:t>failed</w:t>
      </w:r>
      <w:r w:rsidR="00037D74">
        <w:rPr>
          <w:rFonts w:ascii="Book Antiqua" w:hAnsi="Book Antiqua" w:cstheme="minorHAnsi"/>
        </w:rPr>
        <w:t xml:space="preserve"> to </w:t>
      </w:r>
      <w:r w:rsidR="000315CF">
        <w:rPr>
          <w:rFonts w:ascii="Book Antiqua" w:hAnsi="Book Antiqua" w:cstheme="minorHAnsi"/>
        </w:rPr>
        <w:t>satisfy</w:t>
      </w:r>
      <w:r w:rsidR="00037D74">
        <w:rPr>
          <w:rFonts w:ascii="Book Antiqua" w:hAnsi="Book Antiqua" w:cstheme="minorHAnsi"/>
        </w:rPr>
        <w:t xml:space="preserve"> these points.</w:t>
      </w:r>
    </w:p>
    <w:p w:rsidR="00CD7FC9" w:rsidRPr="00D72CF9" w:rsidRDefault="00CD7FC9" w:rsidP="00E943B7">
      <w:pPr>
        <w:numPr>
          <w:ilvl w:val="0"/>
          <w:numId w:val="3"/>
        </w:numPr>
        <w:spacing w:before="240"/>
        <w:jc w:val="both"/>
        <w:rPr>
          <w:rFonts w:ascii="Book Antiqua" w:hAnsi="Book Antiqua" w:cs="Arial"/>
        </w:rPr>
      </w:pPr>
      <w:r w:rsidRPr="00D72CF9">
        <w:rPr>
          <w:rFonts w:ascii="Book Antiqua" w:hAnsi="Book Antiqua" w:cstheme="minorHAnsi"/>
        </w:rPr>
        <w:t>I find therefore</w:t>
      </w:r>
      <w:r w:rsidR="00037D74">
        <w:rPr>
          <w:rFonts w:ascii="Book Antiqua" w:hAnsi="Book Antiqua" w:cstheme="minorHAnsi"/>
        </w:rPr>
        <w:t xml:space="preserve"> in short</w:t>
      </w:r>
      <w:r w:rsidRPr="00D72CF9">
        <w:rPr>
          <w:rFonts w:ascii="Book Antiqua" w:hAnsi="Book Antiqua" w:cstheme="minorHAnsi"/>
        </w:rPr>
        <w:t xml:space="preserve"> that the decision is inadequately reasoned and is therefore tain</w:t>
      </w:r>
      <w:r w:rsidR="00027F45" w:rsidRPr="00D72CF9">
        <w:rPr>
          <w:rFonts w:ascii="Book Antiqua" w:hAnsi="Book Antiqua" w:cstheme="minorHAnsi"/>
        </w:rPr>
        <w:t xml:space="preserve">ted by material errors of law.  A proper fact-finding exercise may result in a different outcome to this appeal and I </w:t>
      </w:r>
      <w:r w:rsidR="00037D74">
        <w:rPr>
          <w:rFonts w:ascii="Book Antiqua" w:hAnsi="Book Antiqua" w:cstheme="minorHAnsi"/>
        </w:rPr>
        <w:t xml:space="preserve">find </w:t>
      </w:r>
      <w:r w:rsidR="000315CF">
        <w:rPr>
          <w:rFonts w:ascii="Book Antiqua" w:hAnsi="Book Antiqua" w:cstheme="minorHAnsi"/>
        </w:rPr>
        <w:t>therefore</w:t>
      </w:r>
      <w:r w:rsidR="000315CF" w:rsidRPr="00D72CF9">
        <w:rPr>
          <w:rFonts w:ascii="Book Antiqua" w:hAnsi="Book Antiqua" w:cstheme="minorHAnsi"/>
        </w:rPr>
        <w:t xml:space="preserve"> </w:t>
      </w:r>
      <w:r w:rsidR="000315CF">
        <w:rPr>
          <w:rFonts w:ascii="Book Antiqua" w:hAnsi="Book Antiqua" w:cstheme="minorHAnsi"/>
        </w:rPr>
        <w:t xml:space="preserve">that </w:t>
      </w:r>
      <w:r w:rsidR="00037D74">
        <w:rPr>
          <w:rFonts w:ascii="Book Antiqua" w:hAnsi="Book Antiqua" w:cstheme="minorHAnsi"/>
        </w:rPr>
        <w:t>I</w:t>
      </w:r>
      <w:r w:rsidR="00027F45" w:rsidRPr="00D72CF9">
        <w:rPr>
          <w:rFonts w:ascii="Book Antiqua" w:hAnsi="Book Antiqua" w:cstheme="minorHAnsi"/>
        </w:rPr>
        <w:t xml:space="preserve"> must</w:t>
      </w:r>
      <w:r w:rsidR="00037D74">
        <w:rPr>
          <w:rFonts w:ascii="Book Antiqua" w:hAnsi="Book Antiqua" w:cstheme="minorHAnsi"/>
        </w:rPr>
        <w:t xml:space="preserve"> </w:t>
      </w:r>
      <w:r w:rsidR="00027F45" w:rsidRPr="00D72CF9">
        <w:rPr>
          <w:rFonts w:ascii="Book Antiqua" w:hAnsi="Book Antiqua" w:cstheme="minorHAnsi"/>
        </w:rPr>
        <w:t>set aside the decision promulgated on 23</w:t>
      </w:r>
      <w:r w:rsidR="00027F45" w:rsidRPr="00D72CF9">
        <w:rPr>
          <w:rFonts w:ascii="Book Antiqua" w:hAnsi="Book Antiqua" w:cstheme="minorHAnsi"/>
          <w:vertAlign w:val="superscript"/>
        </w:rPr>
        <w:t>rd</w:t>
      </w:r>
      <w:r w:rsidR="00027F45" w:rsidRPr="00D72CF9">
        <w:rPr>
          <w:rFonts w:ascii="Book Antiqua" w:hAnsi="Book Antiqua" w:cstheme="minorHAnsi"/>
        </w:rPr>
        <w:t xml:space="preserve"> May </w:t>
      </w:r>
      <w:r w:rsidR="00245BFD" w:rsidRPr="00D72CF9">
        <w:rPr>
          <w:rFonts w:ascii="Book Antiqua" w:hAnsi="Book Antiqua" w:cstheme="minorHAnsi"/>
        </w:rPr>
        <w:t xml:space="preserve">2018.  </w:t>
      </w:r>
      <w:r w:rsidR="00692A72" w:rsidRPr="00D72CF9">
        <w:rPr>
          <w:rFonts w:ascii="Book Antiqua" w:hAnsi="Book Antiqua" w:cstheme="minorHAnsi"/>
        </w:rPr>
        <w:t>The decision is set aside in its entirety.  There will need to be a fresh hearing and it is right</w:t>
      </w:r>
      <w:r w:rsidR="00037D74">
        <w:rPr>
          <w:rFonts w:ascii="Book Antiqua" w:hAnsi="Book Antiqua" w:cstheme="minorHAnsi"/>
        </w:rPr>
        <w:t xml:space="preserve"> on account of the </w:t>
      </w:r>
      <w:r w:rsidR="00983E61">
        <w:rPr>
          <w:rFonts w:ascii="Book Antiqua" w:hAnsi="Book Antiqua" w:cstheme="minorHAnsi"/>
        </w:rPr>
        <w:t>amount of judicial fact finding required that this</w:t>
      </w:r>
      <w:r w:rsidR="00692A72" w:rsidRPr="00D72CF9">
        <w:rPr>
          <w:rFonts w:ascii="Book Antiqua" w:hAnsi="Book Antiqua" w:cstheme="minorHAnsi"/>
        </w:rPr>
        <w:t xml:space="preserve"> hearing take place in the Fir</w:t>
      </w:r>
      <w:r w:rsidR="00983E61">
        <w:rPr>
          <w:rFonts w:ascii="Book Antiqua" w:hAnsi="Book Antiqua" w:cstheme="minorHAnsi"/>
        </w:rPr>
        <w:t>st-tier Tribunal.</w:t>
      </w:r>
      <w:r w:rsidR="003B73D3">
        <w:rPr>
          <w:rFonts w:ascii="Book Antiqua" w:hAnsi="Book Antiqua" w:cstheme="minorHAnsi"/>
        </w:rPr>
        <w:t xml:space="preserve">  </w:t>
      </w:r>
      <w:r w:rsidR="00AF4D14" w:rsidRPr="00D72CF9">
        <w:rPr>
          <w:rFonts w:ascii="Book Antiqua" w:hAnsi="Book Antiqua" w:cstheme="minorHAnsi"/>
        </w:rPr>
        <w:t>The appeal before the First-tier Tribunal should be heard by a judge other than Judge Gaskell.</w:t>
      </w:r>
    </w:p>
    <w:p w:rsidR="00E70295" w:rsidRDefault="00E70295" w:rsidP="00AF4D14">
      <w:pPr>
        <w:spacing w:before="240"/>
        <w:jc w:val="both"/>
        <w:rPr>
          <w:rFonts w:ascii="Book Antiqua" w:hAnsi="Book Antiqua" w:cs="Arial"/>
          <w:b/>
          <w:u w:val="single"/>
        </w:rPr>
      </w:pPr>
    </w:p>
    <w:p w:rsidR="00E70295" w:rsidRDefault="00E70295" w:rsidP="00AF4D14">
      <w:pPr>
        <w:spacing w:before="240"/>
        <w:jc w:val="both"/>
        <w:rPr>
          <w:rFonts w:ascii="Book Antiqua" w:hAnsi="Book Antiqua" w:cs="Arial"/>
          <w:b/>
          <w:u w:val="single"/>
        </w:rPr>
      </w:pPr>
    </w:p>
    <w:p w:rsidR="00073E80" w:rsidRPr="00D72CF9" w:rsidRDefault="00073E80" w:rsidP="00AF4D14">
      <w:pPr>
        <w:spacing w:before="240"/>
        <w:jc w:val="both"/>
        <w:rPr>
          <w:rFonts w:ascii="Book Antiqua" w:hAnsi="Book Antiqua" w:cs="Arial"/>
          <w:b/>
          <w:u w:val="single"/>
        </w:rPr>
      </w:pPr>
      <w:r w:rsidRPr="00D72CF9">
        <w:rPr>
          <w:rFonts w:ascii="Book Antiqua" w:hAnsi="Book Antiqua" w:cs="Arial"/>
          <w:b/>
          <w:u w:val="single"/>
        </w:rPr>
        <w:lastRenderedPageBreak/>
        <w:t xml:space="preserve">Notice of </w:t>
      </w:r>
      <w:r w:rsidR="00AF4D14" w:rsidRPr="00D72CF9">
        <w:rPr>
          <w:rFonts w:ascii="Book Antiqua" w:hAnsi="Book Antiqua" w:cs="Arial"/>
          <w:b/>
          <w:u w:val="single"/>
        </w:rPr>
        <w:t xml:space="preserve">Decision    </w:t>
      </w:r>
    </w:p>
    <w:p w:rsidR="00AF4D14" w:rsidRPr="00D72CF9" w:rsidRDefault="00883FFC" w:rsidP="00C25DDD">
      <w:pPr>
        <w:spacing w:before="240"/>
        <w:jc w:val="both"/>
        <w:rPr>
          <w:rFonts w:ascii="Book Antiqua" w:hAnsi="Book Antiqua" w:cs="Arial"/>
        </w:rPr>
      </w:pPr>
      <w:r w:rsidRPr="00D72CF9">
        <w:rPr>
          <w:rFonts w:ascii="Book Antiqua" w:hAnsi="Book Antiqua" w:cs="Arial"/>
        </w:rPr>
        <w:t>The</w:t>
      </w:r>
      <w:r w:rsidR="00983E61">
        <w:rPr>
          <w:rFonts w:ascii="Book Antiqua" w:hAnsi="Book Antiqua" w:cs="Arial"/>
        </w:rPr>
        <w:t xml:space="preserve"> Secretary of State</w:t>
      </w:r>
      <w:r w:rsidR="00020530">
        <w:rPr>
          <w:rFonts w:ascii="Book Antiqua" w:hAnsi="Book Antiqua" w:cs="Arial"/>
        </w:rPr>
        <w:t>’</w:t>
      </w:r>
      <w:r w:rsidR="00983E61">
        <w:rPr>
          <w:rFonts w:ascii="Book Antiqua" w:hAnsi="Book Antiqua" w:cs="Arial"/>
        </w:rPr>
        <w:t>s appeal is allowed to</w:t>
      </w:r>
      <w:r w:rsidR="00020530">
        <w:rPr>
          <w:rFonts w:ascii="Book Antiqua" w:hAnsi="Book Antiqua" w:cs="Arial"/>
        </w:rPr>
        <w:t xml:space="preserve"> </w:t>
      </w:r>
      <w:r w:rsidR="00983E61">
        <w:rPr>
          <w:rFonts w:ascii="Book Antiqua" w:hAnsi="Book Antiqua" w:cs="Arial"/>
        </w:rPr>
        <w:t>the extent that the</w:t>
      </w:r>
      <w:r w:rsidRPr="00D72CF9">
        <w:rPr>
          <w:rFonts w:ascii="Book Antiqua" w:hAnsi="Book Antiqua" w:cs="Arial"/>
        </w:rPr>
        <w:t xml:space="preserve"> decision of the First-tier Tribunal promulgated on 23</w:t>
      </w:r>
      <w:r w:rsidRPr="00D72CF9">
        <w:rPr>
          <w:rFonts w:ascii="Book Antiqua" w:hAnsi="Book Antiqua" w:cs="Arial"/>
          <w:vertAlign w:val="superscript"/>
        </w:rPr>
        <w:t>rd</w:t>
      </w:r>
      <w:r w:rsidRPr="00D72CF9">
        <w:rPr>
          <w:rFonts w:ascii="Book Antiqua" w:hAnsi="Book Antiqua" w:cs="Arial"/>
        </w:rPr>
        <w:t xml:space="preserve"> May 2018 is set aside for material </w:t>
      </w:r>
      <w:r w:rsidR="00C25DDD" w:rsidRPr="00D72CF9">
        <w:rPr>
          <w:rFonts w:ascii="Book Antiqua" w:hAnsi="Book Antiqua" w:cs="Arial"/>
        </w:rPr>
        <w:t xml:space="preserve">error.  The decision is remitted to the First-tier Tribunal (not Judge Gaskell) for that Tribunal to remake the decision.  </w:t>
      </w:r>
    </w:p>
    <w:p w:rsidR="00073E80" w:rsidRPr="00D72CF9" w:rsidRDefault="00073E80" w:rsidP="00073E80">
      <w:pPr>
        <w:jc w:val="both"/>
        <w:rPr>
          <w:rFonts w:ascii="Book Antiqua" w:hAnsi="Book Antiqua" w:cs="Arial"/>
        </w:rPr>
      </w:pPr>
    </w:p>
    <w:p w:rsidR="00073E80" w:rsidRPr="00D72CF9" w:rsidRDefault="00073E80" w:rsidP="00073E80">
      <w:pPr>
        <w:jc w:val="both"/>
        <w:rPr>
          <w:rFonts w:ascii="Book Antiqua" w:hAnsi="Book Antiqua" w:cs="Arial"/>
        </w:rPr>
      </w:pPr>
      <w:r w:rsidRPr="00D72CF9">
        <w:rPr>
          <w:rFonts w:ascii="Book Antiqua" w:hAnsi="Book Antiqua" w:cs="Arial"/>
          <w:b/>
          <w:u w:val="single"/>
        </w:rPr>
        <w:t>Direction Regarding Anonymity – Rule 14 of the Tribunal Procedure (Upper Tribunal) Rules 2008</w:t>
      </w:r>
    </w:p>
    <w:p w:rsidR="00073E80" w:rsidRPr="00D72CF9" w:rsidRDefault="00073E80" w:rsidP="00073E80">
      <w:pPr>
        <w:jc w:val="both"/>
        <w:rPr>
          <w:rFonts w:ascii="Book Antiqua" w:hAnsi="Book Antiqua" w:cs="Arial"/>
        </w:rPr>
      </w:pPr>
    </w:p>
    <w:p w:rsidR="00073E80" w:rsidRPr="00D72CF9" w:rsidRDefault="00073E80" w:rsidP="00073E80">
      <w:pPr>
        <w:jc w:val="both"/>
        <w:rPr>
          <w:rFonts w:ascii="Book Antiqua" w:hAnsi="Book Antiqua" w:cs="Arial"/>
        </w:rPr>
      </w:pPr>
      <w:r w:rsidRPr="00D72CF9">
        <w:rPr>
          <w:rFonts w:ascii="Book Antiqua" w:hAnsi="Book Antiqua" w:cs="Arial"/>
        </w:rPr>
        <w:t xml:space="preserve">Unless and </w:t>
      </w:r>
      <w:r w:rsidRPr="00D72CF9">
        <w:rPr>
          <w:rFonts w:ascii="Book Antiqua" w:hAnsi="Book Antiqua"/>
        </w:rPr>
        <w:t xml:space="preserve">until a Tribunal or court directs otherwise, the Appellant is granted anonymity.  No report of these proceedings shall directly or indirectly identify </w:t>
      </w:r>
      <w:r w:rsidR="00020530">
        <w:rPr>
          <w:rFonts w:ascii="Book Antiqua" w:hAnsi="Book Antiqua"/>
        </w:rPr>
        <w:t>her</w:t>
      </w:r>
      <w:r w:rsidRPr="00D72CF9">
        <w:rPr>
          <w:rFonts w:ascii="Book Antiqua" w:hAnsi="Book Antiqua"/>
        </w:rPr>
        <w:t xml:space="preserve"> or any member of </w:t>
      </w:r>
      <w:r w:rsidR="00020530">
        <w:rPr>
          <w:rFonts w:ascii="Book Antiqua" w:hAnsi="Book Antiqua"/>
        </w:rPr>
        <w:t>her</w:t>
      </w:r>
      <w:r w:rsidRPr="00D72CF9">
        <w:rPr>
          <w:rFonts w:ascii="Book Antiqua" w:hAnsi="Book Antiqua"/>
        </w:rPr>
        <w:t xml:space="preserve"> family.  This direction applies both to the Appellant and to the Respondent.  Failure to comply with this direction could lead to contempt of court proceedings.</w:t>
      </w:r>
    </w:p>
    <w:p w:rsidR="00E76309" w:rsidRPr="00D72CF9" w:rsidRDefault="00E76309" w:rsidP="000369F5">
      <w:pPr>
        <w:tabs>
          <w:tab w:val="left" w:pos="2520"/>
        </w:tabs>
        <w:jc w:val="both"/>
        <w:rPr>
          <w:rFonts w:ascii="Book Antiqua" w:hAnsi="Book Antiqua" w:cs="Arial"/>
        </w:rPr>
      </w:pPr>
    </w:p>
    <w:p w:rsidR="00073E80" w:rsidRPr="00D72CF9" w:rsidRDefault="00073E80" w:rsidP="000369F5">
      <w:pPr>
        <w:tabs>
          <w:tab w:val="left" w:pos="2520"/>
        </w:tabs>
        <w:jc w:val="both"/>
        <w:rPr>
          <w:rFonts w:ascii="Book Antiqua" w:hAnsi="Book Antiqua" w:cs="Arial"/>
        </w:rPr>
      </w:pPr>
    </w:p>
    <w:p w:rsidR="001F2716" w:rsidRPr="00D72CF9" w:rsidRDefault="006E3C90" w:rsidP="000369F5">
      <w:pPr>
        <w:tabs>
          <w:tab w:val="left" w:pos="2520"/>
        </w:tabs>
        <w:jc w:val="both"/>
        <w:rPr>
          <w:rFonts w:ascii="Book Antiqua" w:hAnsi="Book Antiqua" w:cs="Arial"/>
        </w:rPr>
      </w:pPr>
      <w:r w:rsidRPr="00D72CF9">
        <w:rPr>
          <w:rFonts w:ascii="Book Antiqua" w:hAnsi="Book Antiqua" w:cs="Arial"/>
        </w:rPr>
        <w:t>Signed</w:t>
      </w:r>
      <w:r w:rsidRPr="00D72CF9">
        <w:rPr>
          <w:rFonts w:ascii="Book Antiqua" w:hAnsi="Book Antiqua" w:cs="Arial"/>
        </w:rPr>
        <w:tab/>
      </w:r>
      <w:r w:rsidR="003B73D3">
        <w:rPr>
          <w:rFonts w:ascii="Book Antiqua" w:hAnsi="Book Antiqua" w:cs="Arial"/>
        </w:rPr>
        <w:t>C E Roberts</w:t>
      </w:r>
      <w:r w:rsidRPr="00D72CF9">
        <w:rPr>
          <w:rFonts w:ascii="Book Antiqua" w:hAnsi="Book Antiqua" w:cs="Arial"/>
        </w:rPr>
        <w:tab/>
      </w:r>
      <w:r w:rsidRPr="00D72CF9">
        <w:rPr>
          <w:rFonts w:ascii="Book Antiqua" w:hAnsi="Book Antiqua" w:cs="Arial"/>
        </w:rPr>
        <w:tab/>
      </w:r>
      <w:r w:rsidRPr="00D72CF9">
        <w:rPr>
          <w:rFonts w:ascii="Book Antiqua" w:hAnsi="Book Antiqua" w:cs="Arial"/>
        </w:rPr>
        <w:tab/>
      </w:r>
      <w:r w:rsidRPr="00D72CF9">
        <w:rPr>
          <w:rFonts w:ascii="Book Antiqua" w:hAnsi="Book Antiqua" w:cs="Arial"/>
        </w:rPr>
        <w:tab/>
      </w:r>
      <w:r w:rsidRPr="00D72CF9">
        <w:rPr>
          <w:rFonts w:ascii="Book Antiqua" w:hAnsi="Book Antiqua" w:cs="Arial"/>
        </w:rPr>
        <w:tab/>
      </w:r>
      <w:r w:rsidR="001F2716" w:rsidRPr="00D72CF9">
        <w:rPr>
          <w:rFonts w:ascii="Book Antiqua" w:hAnsi="Book Antiqua" w:cs="Arial"/>
        </w:rPr>
        <w:t>Date</w:t>
      </w:r>
      <w:r w:rsidR="003B73D3">
        <w:rPr>
          <w:rFonts w:ascii="Book Antiqua" w:hAnsi="Book Antiqua" w:cs="Arial"/>
        </w:rPr>
        <w:tab/>
      </w:r>
      <w:r w:rsidR="003B73D3">
        <w:rPr>
          <w:rFonts w:ascii="Book Antiqua" w:hAnsi="Book Antiqua" w:cs="Arial"/>
        </w:rPr>
        <w:tab/>
        <w:t>20 August 2018</w:t>
      </w:r>
    </w:p>
    <w:p w:rsidR="001F2716" w:rsidRPr="00D72CF9" w:rsidRDefault="001F2716" w:rsidP="000369F5">
      <w:pPr>
        <w:tabs>
          <w:tab w:val="left" w:pos="2520"/>
        </w:tabs>
        <w:jc w:val="both"/>
        <w:rPr>
          <w:rFonts w:ascii="Book Antiqua" w:hAnsi="Book Antiqua" w:cs="Arial"/>
        </w:rPr>
      </w:pPr>
    </w:p>
    <w:p w:rsidR="005B7789" w:rsidRPr="00D72CF9" w:rsidRDefault="00635C47" w:rsidP="000369F5">
      <w:pPr>
        <w:tabs>
          <w:tab w:val="left" w:pos="2520"/>
        </w:tabs>
        <w:jc w:val="both"/>
        <w:rPr>
          <w:rFonts w:ascii="Book Antiqua" w:hAnsi="Book Antiqua" w:cs="Arial"/>
        </w:rPr>
      </w:pPr>
      <w:r w:rsidRPr="00D72CF9">
        <w:rPr>
          <w:rFonts w:ascii="Book Antiqua" w:hAnsi="Book Antiqua" w:cs="Arial"/>
        </w:rPr>
        <w:t xml:space="preserve">Deputy </w:t>
      </w:r>
      <w:r w:rsidR="00C61C08" w:rsidRPr="00D72CF9">
        <w:rPr>
          <w:rFonts w:ascii="Book Antiqua" w:hAnsi="Book Antiqua" w:cs="Arial"/>
        </w:rPr>
        <w:t>Upper Tribunal</w:t>
      </w:r>
      <w:r w:rsidR="00AC5CF6" w:rsidRPr="00D72CF9">
        <w:rPr>
          <w:rFonts w:ascii="Book Antiqua" w:hAnsi="Book Antiqua" w:cs="Arial"/>
        </w:rPr>
        <w:t xml:space="preserve"> Judge</w:t>
      </w:r>
      <w:r w:rsidR="00825478" w:rsidRPr="00D72CF9">
        <w:rPr>
          <w:rFonts w:ascii="Book Antiqua" w:hAnsi="Book Antiqua" w:cs="Arial"/>
        </w:rPr>
        <w:t xml:space="preserve"> Roberts</w:t>
      </w:r>
      <w:r w:rsidR="006B6451" w:rsidRPr="00D72CF9">
        <w:rPr>
          <w:rFonts w:ascii="Book Antiqua" w:hAnsi="Book Antiqua" w:cs="Arial"/>
        </w:rPr>
        <w:t xml:space="preserve"> </w:t>
      </w:r>
    </w:p>
    <w:p w:rsidR="00073E80" w:rsidRPr="00D72CF9" w:rsidRDefault="00073E80" w:rsidP="000369F5">
      <w:pPr>
        <w:tabs>
          <w:tab w:val="left" w:pos="2520"/>
        </w:tabs>
        <w:jc w:val="both"/>
        <w:rPr>
          <w:rFonts w:ascii="Book Antiqua" w:hAnsi="Book Antiqua" w:cs="Arial"/>
        </w:rPr>
      </w:pPr>
    </w:p>
    <w:p w:rsidR="00073E80" w:rsidRPr="00D72CF9" w:rsidRDefault="00073E80" w:rsidP="000369F5">
      <w:pPr>
        <w:tabs>
          <w:tab w:val="left" w:pos="2520"/>
        </w:tabs>
        <w:jc w:val="both"/>
        <w:rPr>
          <w:rFonts w:ascii="Book Antiqua" w:hAnsi="Book Antiqua" w:cs="Arial"/>
        </w:rPr>
      </w:pPr>
    </w:p>
    <w:p w:rsidR="00073E80" w:rsidRPr="00D72CF9" w:rsidRDefault="00073E80" w:rsidP="000369F5">
      <w:pPr>
        <w:tabs>
          <w:tab w:val="left" w:pos="2520"/>
        </w:tabs>
        <w:jc w:val="both"/>
        <w:rPr>
          <w:rFonts w:ascii="Book Antiqua" w:hAnsi="Book Antiqua" w:cs="Arial"/>
        </w:rPr>
      </w:pPr>
    </w:p>
    <w:p w:rsidR="005B7789" w:rsidRPr="00C01D77" w:rsidRDefault="006B6451" w:rsidP="00413CF4">
      <w:pPr>
        <w:tabs>
          <w:tab w:val="left" w:pos="2520"/>
        </w:tabs>
        <w:jc w:val="both"/>
        <w:rPr>
          <w:rFonts w:ascii="Book Antiqua" w:hAnsi="Book Antiqua" w:cs="Arial"/>
        </w:rPr>
      </w:pPr>
      <w:r w:rsidRPr="00D72CF9">
        <w:rPr>
          <w:rFonts w:ascii="Book Antiqua" w:hAnsi="Book Antiqua" w:cs="Arial"/>
        </w:rPr>
        <w:t xml:space="preserve"> </w:t>
      </w:r>
    </w:p>
    <w:p w:rsidR="005B7789" w:rsidRPr="00C01D77" w:rsidRDefault="005B7789" w:rsidP="000369F5">
      <w:pPr>
        <w:tabs>
          <w:tab w:val="left" w:pos="2520"/>
        </w:tabs>
        <w:jc w:val="both"/>
        <w:rPr>
          <w:rFonts w:ascii="Book Antiqua" w:hAnsi="Book Antiqua" w:cs="Arial"/>
        </w:rPr>
      </w:pPr>
    </w:p>
    <w:sectPr w:rsidR="005B7789" w:rsidRPr="00C01D7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6E9" w:rsidRDefault="00E136E9">
      <w:r>
        <w:separator/>
      </w:r>
    </w:p>
  </w:endnote>
  <w:endnote w:type="continuationSeparator" w:id="0">
    <w:p w:rsidR="00E136E9" w:rsidRDefault="00E1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D14" w:rsidRPr="00C01D77" w:rsidRDefault="00A044EB" w:rsidP="00593795">
    <w:pPr>
      <w:pStyle w:val="Footer"/>
      <w:jc w:val="center"/>
      <w:rPr>
        <w:rFonts w:ascii="Book Antiqua" w:hAnsi="Book Antiqua" w:cs="Arial"/>
        <w:sz w:val="16"/>
        <w:szCs w:val="16"/>
      </w:rPr>
    </w:pPr>
    <w:r w:rsidRPr="00C01D77">
      <w:rPr>
        <w:rStyle w:val="PageNumber"/>
        <w:rFonts w:ascii="Book Antiqua" w:hAnsi="Book Antiqua" w:cs="Arial"/>
        <w:sz w:val="16"/>
        <w:szCs w:val="16"/>
      </w:rPr>
      <w:fldChar w:fldCharType="begin"/>
    </w:r>
    <w:r w:rsidR="00AF4D14" w:rsidRPr="00C01D77">
      <w:rPr>
        <w:rStyle w:val="PageNumber"/>
        <w:rFonts w:ascii="Book Antiqua" w:hAnsi="Book Antiqua" w:cs="Arial"/>
        <w:sz w:val="16"/>
        <w:szCs w:val="16"/>
      </w:rPr>
      <w:instrText xml:space="preserve"> PAGE </w:instrText>
    </w:r>
    <w:r w:rsidRPr="00C01D77">
      <w:rPr>
        <w:rStyle w:val="PageNumber"/>
        <w:rFonts w:ascii="Book Antiqua" w:hAnsi="Book Antiqua" w:cs="Arial"/>
        <w:sz w:val="16"/>
        <w:szCs w:val="16"/>
      </w:rPr>
      <w:fldChar w:fldCharType="separate"/>
    </w:r>
    <w:r w:rsidR="00D92A86">
      <w:rPr>
        <w:rStyle w:val="PageNumber"/>
        <w:rFonts w:ascii="Book Antiqua" w:hAnsi="Book Antiqua" w:cs="Arial"/>
        <w:noProof/>
        <w:sz w:val="16"/>
        <w:szCs w:val="16"/>
      </w:rPr>
      <w:t>5</w:t>
    </w:r>
    <w:r w:rsidRPr="00C01D77">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D14" w:rsidRPr="00C01D77" w:rsidRDefault="00AF4D14" w:rsidP="00E51376">
    <w:pPr>
      <w:jc w:val="center"/>
      <w:rPr>
        <w:rFonts w:ascii="Book Antiqua" w:hAnsi="Book Antiqua" w:cs="Arial"/>
        <w:b/>
      </w:rPr>
    </w:pPr>
    <w:r w:rsidRPr="00C01D77">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6E9" w:rsidRDefault="00E136E9">
      <w:r>
        <w:separator/>
      </w:r>
    </w:p>
  </w:footnote>
  <w:footnote w:type="continuationSeparator" w:id="0">
    <w:p w:rsidR="00E136E9" w:rsidRDefault="00E1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D14" w:rsidRPr="00C01D77" w:rsidRDefault="00AF4D14" w:rsidP="000369F5">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 xml:space="preserve">Appeal Number: </w:t>
    </w:r>
    <w:r w:rsidRPr="00EB0E22">
      <w:rPr>
        <w:rFonts w:ascii="Book Antiqua" w:hAnsi="Book Antiqua" w:cs="Arial"/>
        <w:sz w:val="16"/>
        <w:szCs w:val="16"/>
      </w:rPr>
      <w:t>PA/09638/2017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D14" w:rsidRPr="00C01D77" w:rsidRDefault="00AF4D14">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82D"/>
    <w:rsid w:val="00000621"/>
    <w:rsid w:val="000036C2"/>
    <w:rsid w:val="00014978"/>
    <w:rsid w:val="00020530"/>
    <w:rsid w:val="00021BDB"/>
    <w:rsid w:val="00027F45"/>
    <w:rsid w:val="000315CF"/>
    <w:rsid w:val="00033D3D"/>
    <w:rsid w:val="00036669"/>
    <w:rsid w:val="000369F5"/>
    <w:rsid w:val="00037D74"/>
    <w:rsid w:val="00042195"/>
    <w:rsid w:val="00045030"/>
    <w:rsid w:val="00055E3A"/>
    <w:rsid w:val="00071A7E"/>
    <w:rsid w:val="00073E80"/>
    <w:rsid w:val="000746C0"/>
    <w:rsid w:val="00074D1D"/>
    <w:rsid w:val="00092580"/>
    <w:rsid w:val="000B3B14"/>
    <w:rsid w:val="000B4B02"/>
    <w:rsid w:val="000C7BD4"/>
    <w:rsid w:val="000D5D94"/>
    <w:rsid w:val="000E06F2"/>
    <w:rsid w:val="000E5C86"/>
    <w:rsid w:val="001165A7"/>
    <w:rsid w:val="00122BC1"/>
    <w:rsid w:val="00126A6D"/>
    <w:rsid w:val="00131130"/>
    <w:rsid w:val="00151BB7"/>
    <w:rsid w:val="00167D3A"/>
    <w:rsid w:val="001B61A7"/>
    <w:rsid w:val="001C3169"/>
    <w:rsid w:val="001D7D80"/>
    <w:rsid w:val="001F2716"/>
    <w:rsid w:val="001F661C"/>
    <w:rsid w:val="0020133A"/>
    <w:rsid w:val="00201BD1"/>
    <w:rsid w:val="00207229"/>
    <w:rsid w:val="00207617"/>
    <w:rsid w:val="00215199"/>
    <w:rsid w:val="00230B2B"/>
    <w:rsid w:val="00232720"/>
    <w:rsid w:val="00245BFD"/>
    <w:rsid w:val="00261413"/>
    <w:rsid w:val="00283659"/>
    <w:rsid w:val="002843A0"/>
    <w:rsid w:val="0029282D"/>
    <w:rsid w:val="002B16DC"/>
    <w:rsid w:val="002B7E5C"/>
    <w:rsid w:val="002B7F54"/>
    <w:rsid w:val="002C4131"/>
    <w:rsid w:val="002C4E73"/>
    <w:rsid w:val="002D68BF"/>
    <w:rsid w:val="0031231E"/>
    <w:rsid w:val="003168FD"/>
    <w:rsid w:val="00336CBF"/>
    <w:rsid w:val="00340B00"/>
    <w:rsid w:val="00344686"/>
    <w:rsid w:val="00351F3B"/>
    <w:rsid w:val="003546C8"/>
    <w:rsid w:val="00357550"/>
    <w:rsid w:val="003648C0"/>
    <w:rsid w:val="0038115E"/>
    <w:rsid w:val="003A1115"/>
    <w:rsid w:val="003A52A9"/>
    <w:rsid w:val="003A7CF2"/>
    <w:rsid w:val="003B73D3"/>
    <w:rsid w:val="003C066B"/>
    <w:rsid w:val="003C5CE5"/>
    <w:rsid w:val="003D18A8"/>
    <w:rsid w:val="003E267B"/>
    <w:rsid w:val="003E7CD1"/>
    <w:rsid w:val="003F6B19"/>
    <w:rsid w:val="00402B9E"/>
    <w:rsid w:val="004067C4"/>
    <w:rsid w:val="00413CF4"/>
    <w:rsid w:val="00423932"/>
    <w:rsid w:val="004249CB"/>
    <w:rsid w:val="0044127D"/>
    <w:rsid w:val="004448DB"/>
    <w:rsid w:val="00446C9A"/>
    <w:rsid w:val="004664B6"/>
    <w:rsid w:val="0047262D"/>
    <w:rsid w:val="0047416A"/>
    <w:rsid w:val="00477193"/>
    <w:rsid w:val="004A1848"/>
    <w:rsid w:val="004C036B"/>
    <w:rsid w:val="004F48EA"/>
    <w:rsid w:val="00507FEC"/>
    <w:rsid w:val="00510F0E"/>
    <w:rsid w:val="005479E1"/>
    <w:rsid w:val="00551122"/>
    <w:rsid w:val="005570FD"/>
    <w:rsid w:val="005575EA"/>
    <w:rsid w:val="00573039"/>
    <w:rsid w:val="0057790C"/>
    <w:rsid w:val="005836B2"/>
    <w:rsid w:val="00593795"/>
    <w:rsid w:val="0059614C"/>
    <w:rsid w:val="005A75FF"/>
    <w:rsid w:val="005B7789"/>
    <w:rsid w:val="005D343F"/>
    <w:rsid w:val="005D6B48"/>
    <w:rsid w:val="005F39FA"/>
    <w:rsid w:val="00603D35"/>
    <w:rsid w:val="00635C47"/>
    <w:rsid w:val="0065791C"/>
    <w:rsid w:val="00690B8A"/>
    <w:rsid w:val="00692A72"/>
    <w:rsid w:val="0069667F"/>
    <w:rsid w:val="006B6451"/>
    <w:rsid w:val="006D1DFA"/>
    <w:rsid w:val="006D506B"/>
    <w:rsid w:val="006D5EEF"/>
    <w:rsid w:val="006E3C90"/>
    <w:rsid w:val="0070441E"/>
    <w:rsid w:val="00704B61"/>
    <w:rsid w:val="00706FE8"/>
    <w:rsid w:val="00723E06"/>
    <w:rsid w:val="0072401A"/>
    <w:rsid w:val="007419A9"/>
    <w:rsid w:val="007421B9"/>
    <w:rsid w:val="00742A8D"/>
    <w:rsid w:val="0074504A"/>
    <w:rsid w:val="007552A9"/>
    <w:rsid w:val="00761858"/>
    <w:rsid w:val="00767D59"/>
    <w:rsid w:val="00775867"/>
    <w:rsid w:val="00776E97"/>
    <w:rsid w:val="00780FD7"/>
    <w:rsid w:val="0078468D"/>
    <w:rsid w:val="007912AD"/>
    <w:rsid w:val="007A6AED"/>
    <w:rsid w:val="007B0824"/>
    <w:rsid w:val="007B6BD8"/>
    <w:rsid w:val="007C1F18"/>
    <w:rsid w:val="007D1C7D"/>
    <w:rsid w:val="007F4483"/>
    <w:rsid w:val="008040C7"/>
    <w:rsid w:val="00825478"/>
    <w:rsid w:val="008303B8"/>
    <w:rsid w:val="00833DCE"/>
    <w:rsid w:val="008431D3"/>
    <w:rsid w:val="00860CA7"/>
    <w:rsid w:val="00871D34"/>
    <w:rsid w:val="0088312F"/>
    <w:rsid w:val="00883FFC"/>
    <w:rsid w:val="008953D5"/>
    <w:rsid w:val="008A450A"/>
    <w:rsid w:val="008B270C"/>
    <w:rsid w:val="008C2C6B"/>
    <w:rsid w:val="008C3D3D"/>
    <w:rsid w:val="008C3F45"/>
    <w:rsid w:val="008D4131"/>
    <w:rsid w:val="008F1932"/>
    <w:rsid w:val="008F294D"/>
    <w:rsid w:val="009062B6"/>
    <w:rsid w:val="00921062"/>
    <w:rsid w:val="00966ECF"/>
    <w:rsid w:val="009727A3"/>
    <w:rsid w:val="00973661"/>
    <w:rsid w:val="009814F6"/>
    <w:rsid w:val="00981D3A"/>
    <w:rsid w:val="00983E61"/>
    <w:rsid w:val="00987774"/>
    <w:rsid w:val="009A11E8"/>
    <w:rsid w:val="009C425C"/>
    <w:rsid w:val="009E0B05"/>
    <w:rsid w:val="009E57CE"/>
    <w:rsid w:val="009F5220"/>
    <w:rsid w:val="009F7C4D"/>
    <w:rsid w:val="00A044EB"/>
    <w:rsid w:val="00A12991"/>
    <w:rsid w:val="00A132E6"/>
    <w:rsid w:val="00A15234"/>
    <w:rsid w:val="00A201AB"/>
    <w:rsid w:val="00A31C8B"/>
    <w:rsid w:val="00A40D60"/>
    <w:rsid w:val="00A53CEB"/>
    <w:rsid w:val="00A60630"/>
    <w:rsid w:val="00A6255C"/>
    <w:rsid w:val="00A62E4B"/>
    <w:rsid w:val="00A845DC"/>
    <w:rsid w:val="00A92972"/>
    <w:rsid w:val="00A97AEE"/>
    <w:rsid w:val="00AA459B"/>
    <w:rsid w:val="00AC0FF8"/>
    <w:rsid w:val="00AC22D8"/>
    <w:rsid w:val="00AC5CF6"/>
    <w:rsid w:val="00AD7A85"/>
    <w:rsid w:val="00AE50A6"/>
    <w:rsid w:val="00AE7547"/>
    <w:rsid w:val="00AF4D14"/>
    <w:rsid w:val="00AF60EE"/>
    <w:rsid w:val="00B02D2F"/>
    <w:rsid w:val="00B144FA"/>
    <w:rsid w:val="00B30648"/>
    <w:rsid w:val="00B3524D"/>
    <w:rsid w:val="00B370C1"/>
    <w:rsid w:val="00B40F69"/>
    <w:rsid w:val="00B46616"/>
    <w:rsid w:val="00B61205"/>
    <w:rsid w:val="00B617C4"/>
    <w:rsid w:val="00B626FA"/>
    <w:rsid w:val="00B7040A"/>
    <w:rsid w:val="00B86C3D"/>
    <w:rsid w:val="00BC0187"/>
    <w:rsid w:val="00BD4196"/>
    <w:rsid w:val="00BE009D"/>
    <w:rsid w:val="00BE6907"/>
    <w:rsid w:val="00BF22CA"/>
    <w:rsid w:val="00C01D77"/>
    <w:rsid w:val="00C22723"/>
    <w:rsid w:val="00C25DDD"/>
    <w:rsid w:val="00C26032"/>
    <w:rsid w:val="00C265B0"/>
    <w:rsid w:val="00C345E1"/>
    <w:rsid w:val="00C55E5B"/>
    <w:rsid w:val="00C6144E"/>
    <w:rsid w:val="00C61C08"/>
    <w:rsid w:val="00C668BB"/>
    <w:rsid w:val="00C67590"/>
    <w:rsid w:val="00C8654B"/>
    <w:rsid w:val="00CA2977"/>
    <w:rsid w:val="00CB6E35"/>
    <w:rsid w:val="00CB7CDE"/>
    <w:rsid w:val="00CD7FC9"/>
    <w:rsid w:val="00CE1A46"/>
    <w:rsid w:val="00CE61F6"/>
    <w:rsid w:val="00CF253F"/>
    <w:rsid w:val="00CF5245"/>
    <w:rsid w:val="00CF56B4"/>
    <w:rsid w:val="00D0397E"/>
    <w:rsid w:val="00D20F09"/>
    <w:rsid w:val="00D22636"/>
    <w:rsid w:val="00D40B70"/>
    <w:rsid w:val="00D40FD9"/>
    <w:rsid w:val="00D46DDC"/>
    <w:rsid w:val="00D53769"/>
    <w:rsid w:val="00D55570"/>
    <w:rsid w:val="00D72CF9"/>
    <w:rsid w:val="00D74AFC"/>
    <w:rsid w:val="00D85C13"/>
    <w:rsid w:val="00D91BE3"/>
    <w:rsid w:val="00D92A86"/>
    <w:rsid w:val="00D94AFC"/>
    <w:rsid w:val="00DA07EF"/>
    <w:rsid w:val="00DB70AE"/>
    <w:rsid w:val="00DB7231"/>
    <w:rsid w:val="00DD5071"/>
    <w:rsid w:val="00DD5C39"/>
    <w:rsid w:val="00DE26AF"/>
    <w:rsid w:val="00DE7DB7"/>
    <w:rsid w:val="00DF0231"/>
    <w:rsid w:val="00E00A0A"/>
    <w:rsid w:val="00E06B57"/>
    <w:rsid w:val="00E07F57"/>
    <w:rsid w:val="00E136E9"/>
    <w:rsid w:val="00E333C1"/>
    <w:rsid w:val="00E418E1"/>
    <w:rsid w:val="00E50BCE"/>
    <w:rsid w:val="00E51376"/>
    <w:rsid w:val="00E61292"/>
    <w:rsid w:val="00E70295"/>
    <w:rsid w:val="00E76309"/>
    <w:rsid w:val="00E77C4D"/>
    <w:rsid w:val="00E81D01"/>
    <w:rsid w:val="00E93DD3"/>
    <w:rsid w:val="00E943B7"/>
    <w:rsid w:val="00E94CAE"/>
    <w:rsid w:val="00EA0EA7"/>
    <w:rsid w:val="00EA2779"/>
    <w:rsid w:val="00EA7F84"/>
    <w:rsid w:val="00EB0E22"/>
    <w:rsid w:val="00EB5643"/>
    <w:rsid w:val="00EC0900"/>
    <w:rsid w:val="00EC4C64"/>
    <w:rsid w:val="00EE3332"/>
    <w:rsid w:val="00EE45D8"/>
    <w:rsid w:val="00F004CD"/>
    <w:rsid w:val="00F22EDA"/>
    <w:rsid w:val="00F2447F"/>
    <w:rsid w:val="00F33E0E"/>
    <w:rsid w:val="00F41153"/>
    <w:rsid w:val="00F44EF3"/>
    <w:rsid w:val="00F72361"/>
    <w:rsid w:val="00F92C21"/>
    <w:rsid w:val="00FB7E80"/>
    <w:rsid w:val="00FC28B0"/>
    <w:rsid w:val="00FE3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22AC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A297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1722</Words>
  <Characters>8684</Characters>
  <Application>Microsoft Office Word</Application>
  <DocSecurity>0</DocSecurity>
  <Lines>72</Lines>
  <Paragraphs>20</Paragraphs>
  <ScaleCrop>false</ScaleCrop>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2018-09-13T15:34:00Z</dcterms:created>
  <dcterms:modified xsi:type="dcterms:W3CDTF">2018-09-13T15:34:00Z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