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A599A"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9510A0">
        <w:rPr>
          <w:rFonts w:ascii="Book Antiqua" w:hAnsi="Book Antiqua" w:cs="Arial"/>
          <w:b/>
          <w:caps/>
        </w:rPr>
        <w:t>PA</w:t>
      </w:r>
      <w:r w:rsidR="001B67F3" w:rsidRPr="007A3ED6">
        <w:rPr>
          <w:rFonts w:ascii="Book Antiqua" w:hAnsi="Book Antiqua" w:cs="Arial"/>
          <w:b/>
          <w:caps/>
        </w:rPr>
        <w:t>/</w:t>
      </w:r>
      <w:r w:rsidR="000574DF">
        <w:rPr>
          <w:rFonts w:ascii="Book Antiqua" w:hAnsi="Book Antiqua" w:cs="Arial"/>
          <w:b/>
          <w:caps/>
        </w:rPr>
        <w:t>09688</w:t>
      </w:r>
      <w:r w:rsidR="00FB050B" w:rsidRPr="007A3ED6">
        <w:rPr>
          <w:rFonts w:ascii="Book Antiqua" w:hAnsi="Book Antiqua" w:cs="Arial"/>
          <w:b/>
          <w:caps/>
        </w:rPr>
        <w:t>/201</w:t>
      </w:r>
      <w:r w:rsidR="000574DF">
        <w:rPr>
          <w:rFonts w:ascii="Book Antiqua" w:hAnsi="Book Antiqua" w:cs="Arial"/>
          <w:b/>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4"/>
        <w:gridCol w:w="3894"/>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C767E8">
              <w:rPr>
                <w:rFonts w:ascii="Book Antiqua" w:hAnsi="Book Antiqua" w:cs="Arial"/>
                <w:b/>
              </w:rPr>
              <w:t>Manchester</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C767E8">
              <w:rPr>
                <w:rFonts w:ascii="Book Antiqua" w:hAnsi="Book Antiqua" w:cs="Arial"/>
                <w:b/>
              </w:rPr>
              <w:t>27</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rsidR="00D22636" w:rsidRPr="00337EBB" w:rsidRDefault="00C72BE8" w:rsidP="00337EBB">
            <w:pPr>
              <w:jc w:val="both"/>
              <w:rPr>
                <w:rFonts w:ascii="Book Antiqua" w:hAnsi="Book Antiqua" w:cs="Arial"/>
                <w:b/>
              </w:rPr>
            </w:pPr>
            <w:r>
              <w:rPr>
                <w:rFonts w:ascii="Book Antiqua" w:hAnsi="Book Antiqua" w:cs="Arial"/>
                <w:b/>
              </w:rPr>
              <w:t>On September 11,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0574DF" w:rsidRDefault="001B7489" w:rsidP="000574DF">
      <w:pPr>
        <w:jc w:val="center"/>
        <w:rPr>
          <w:rFonts w:ascii="Book Antiqua" w:hAnsi="Book Antiqua" w:cs="Arial"/>
          <w:b/>
          <w:caps/>
        </w:rPr>
      </w:pPr>
      <w:r>
        <w:rPr>
          <w:rFonts w:ascii="Book Antiqua" w:hAnsi="Book Antiqua" w:cs="Arial"/>
          <w:b/>
          <w:caps/>
        </w:rPr>
        <w:t>[</w:t>
      </w:r>
      <w:r w:rsidR="000574DF">
        <w:rPr>
          <w:rFonts w:ascii="Book Antiqua" w:hAnsi="Book Antiqua" w:cs="Arial"/>
          <w:b/>
          <w:caps/>
        </w:rPr>
        <w:t>H</w:t>
      </w:r>
      <w:r>
        <w:rPr>
          <w:rFonts w:ascii="Book Antiqua" w:hAnsi="Book Antiqua" w:cs="Arial"/>
          <w:b/>
          <w:caps/>
        </w:rPr>
        <w:t xml:space="preserve"> </w:t>
      </w:r>
      <w:r w:rsidR="000574DF">
        <w:rPr>
          <w:rFonts w:ascii="Book Antiqua" w:hAnsi="Book Antiqua" w:cs="Arial"/>
          <w:b/>
          <w:caps/>
        </w:rPr>
        <w:t>O</w:t>
      </w:r>
      <w:r>
        <w:rPr>
          <w:rFonts w:ascii="Book Antiqua" w:hAnsi="Book Antiqua" w:cs="Arial"/>
          <w:b/>
          <w:caps/>
        </w:rPr>
        <w:t>]</w:t>
      </w:r>
    </w:p>
    <w:p w:rsidR="000574DF" w:rsidRPr="001B7489" w:rsidRDefault="000574DF" w:rsidP="000574DF">
      <w:pPr>
        <w:jc w:val="center"/>
        <w:rPr>
          <w:rFonts w:ascii="Book Antiqua" w:hAnsi="Book Antiqua" w:cs="Arial"/>
          <w:b/>
          <w:caps/>
          <w:strike/>
          <w:sz w:val="22"/>
        </w:rPr>
      </w:pPr>
      <w:r w:rsidRPr="001B7489">
        <w:rPr>
          <w:rFonts w:ascii="Book Antiqua" w:hAnsi="Book Antiqua" w:cs="Arial"/>
          <w:b/>
          <w:caps/>
          <w:strike/>
          <w:sz w:val="22"/>
        </w:rPr>
        <w:t>(NO 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0574DF" w:rsidRDefault="000574DF" w:rsidP="00704B61">
      <w:pPr>
        <w:jc w:val="center"/>
        <w:rPr>
          <w:rFonts w:ascii="Book Antiqua" w:hAnsi="Book Antiqua" w:cs="Arial"/>
          <w:b/>
        </w:rPr>
      </w:pPr>
      <w:r>
        <w:rPr>
          <w:rFonts w:ascii="Book Antiqua" w:hAnsi="Book Antiqua" w:cs="Arial"/>
          <w:b/>
          <w:caps/>
        </w:rPr>
        <w:t>the SECRETARY OF STATE FOR THE HOME DEPARTMENT</w:t>
      </w:r>
    </w:p>
    <w:p w:rsidR="00E9793C" w:rsidRDefault="00E9793C" w:rsidP="00704B61">
      <w:pPr>
        <w:jc w:val="center"/>
        <w:rPr>
          <w:rFonts w:ascii="Book Antiqua" w:hAnsi="Book Antiqua" w:cs="Arial"/>
          <w:b/>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8065F">
        <w:rPr>
          <w:rFonts w:ascii="Book Antiqua" w:hAnsi="Book Antiqua" w:cs="Arial"/>
        </w:rPr>
        <w:t>Ms Mensah, Counsel, instructed by AJO Solicitors</w:t>
      </w:r>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C7491">
        <w:rPr>
          <w:rFonts w:ascii="Book Antiqua" w:hAnsi="Book Antiqua" w:cs="Arial"/>
        </w:rPr>
        <w:t>Mr Tan</w:t>
      </w:r>
      <w:r w:rsidR="00313B4E">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1766DA" w:rsidP="00B35843">
      <w:pPr>
        <w:numPr>
          <w:ilvl w:val="0"/>
          <w:numId w:val="3"/>
        </w:numPr>
        <w:spacing w:before="240"/>
        <w:jc w:val="both"/>
        <w:rPr>
          <w:rFonts w:ascii="Book Antiqua" w:hAnsi="Book Antiqua" w:cs="Arial"/>
        </w:rPr>
      </w:pPr>
      <w:r>
        <w:rPr>
          <w:rFonts w:ascii="Book Antiqua" w:hAnsi="Book Antiqua" w:cs="Arial"/>
        </w:rPr>
        <w:t>No anonymity direction is made.</w:t>
      </w:r>
    </w:p>
    <w:p w:rsidR="00B35843" w:rsidRDefault="00C767E8" w:rsidP="00892884">
      <w:pPr>
        <w:numPr>
          <w:ilvl w:val="0"/>
          <w:numId w:val="3"/>
        </w:numPr>
        <w:spacing w:before="240"/>
        <w:jc w:val="both"/>
        <w:rPr>
          <w:rFonts w:ascii="Book Antiqua" w:hAnsi="Book Antiqua" w:cs="Arial"/>
        </w:rPr>
      </w:pPr>
      <w:bookmarkStart w:id="1" w:name="_Hlk518373650"/>
      <w:r>
        <w:rPr>
          <w:rFonts w:ascii="Book Antiqua" w:hAnsi="Book Antiqua" w:cs="Arial"/>
        </w:rPr>
        <w:t xml:space="preserve">The appellant is a national of </w:t>
      </w:r>
      <w:r w:rsidR="00313B4E">
        <w:rPr>
          <w:rFonts w:ascii="Book Antiqua" w:hAnsi="Book Antiqua" w:cs="Arial"/>
        </w:rPr>
        <w:t>Egypt</w:t>
      </w:r>
      <w:r>
        <w:rPr>
          <w:rFonts w:ascii="Book Antiqua" w:hAnsi="Book Antiqua" w:cs="Arial"/>
        </w:rPr>
        <w:t xml:space="preserve"> and on </w:t>
      </w:r>
      <w:r w:rsidR="00313B4E">
        <w:rPr>
          <w:rFonts w:ascii="Book Antiqua" w:hAnsi="Book Antiqua" w:cs="Arial"/>
        </w:rPr>
        <w:t>September 30, 2016 the appellant entered the United Kingdom as a Tier 4 (General) Student. On May 24, 2017 the appellant claimed asylum. The respondent refused his claim for protection</w:t>
      </w:r>
      <w:r w:rsidR="00AA5007">
        <w:rPr>
          <w:rFonts w:ascii="Book Antiqua" w:hAnsi="Book Antiqua" w:cs="Arial"/>
        </w:rPr>
        <w:t xml:space="preserve"> under paragraphs 336 and 339F of HC 395 and September 13, 2017.</w:t>
      </w:r>
    </w:p>
    <w:p w:rsidR="00494161" w:rsidRDefault="00641A27" w:rsidP="00911478">
      <w:pPr>
        <w:numPr>
          <w:ilvl w:val="0"/>
          <w:numId w:val="3"/>
        </w:numPr>
        <w:spacing w:before="240"/>
        <w:jc w:val="both"/>
        <w:rPr>
          <w:rFonts w:ascii="Book Antiqua" w:hAnsi="Book Antiqua" w:cs="Arial"/>
        </w:rPr>
      </w:pPr>
      <w:r>
        <w:rPr>
          <w:rFonts w:ascii="Book Antiqua" w:hAnsi="Book Antiqua" w:cs="Arial"/>
        </w:rPr>
        <w:lastRenderedPageBreak/>
        <w:t xml:space="preserve">The appellant lodged grounds of appeal </w:t>
      </w:r>
      <w:r w:rsidR="00E07601">
        <w:rPr>
          <w:rFonts w:ascii="Book Antiqua" w:hAnsi="Book Antiqua" w:cs="Arial"/>
        </w:rPr>
        <w:t>on</w:t>
      </w:r>
      <w:r w:rsidR="00AA5007">
        <w:rPr>
          <w:rFonts w:ascii="Book Antiqua" w:hAnsi="Book Antiqua" w:cs="Arial"/>
        </w:rPr>
        <w:t xml:space="preserve"> September 29, 2017 </w:t>
      </w:r>
      <w:r w:rsidR="00E07601">
        <w:rPr>
          <w:rFonts w:ascii="Book Antiqua" w:hAnsi="Book Antiqua" w:cs="Arial"/>
        </w:rPr>
        <w:t>under Section 82(1) of the Nationality, Immigration and Asylum Act 2002</w:t>
      </w:r>
      <w:r w:rsidR="002A15E9">
        <w:rPr>
          <w:rFonts w:ascii="Book Antiqua" w:hAnsi="Book Antiqua" w:cs="Arial"/>
        </w:rPr>
        <w:t>.</w:t>
      </w:r>
      <w:r w:rsidR="00E07601">
        <w:rPr>
          <w:rFonts w:ascii="Book Antiqua" w:hAnsi="Book Antiqua" w:cs="Arial"/>
        </w:rPr>
        <w:t xml:space="preserve">  </w:t>
      </w:r>
    </w:p>
    <w:p w:rsidR="00641A27" w:rsidRDefault="0060684A" w:rsidP="00911478">
      <w:pPr>
        <w:numPr>
          <w:ilvl w:val="0"/>
          <w:numId w:val="3"/>
        </w:numPr>
        <w:spacing w:before="240"/>
        <w:jc w:val="both"/>
        <w:rPr>
          <w:rFonts w:ascii="Book Antiqua" w:hAnsi="Book Antiqua" w:cs="Arial"/>
        </w:rPr>
      </w:pPr>
      <w:r>
        <w:rPr>
          <w:rFonts w:ascii="Book Antiqua" w:hAnsi="Book Antiqua" w:cs="Arial"/>
        </w:rPr>
        <w:t>His</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Pr>
          <w:rFonts w:ascii="Book Antiqua" w:hAnsi="Book Antiqua" w:cs="Arial"/>
        </w:rPr>
        <w:t xml:space="preserve">Birrell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on</w:t>
      </w:r>
      <w:r w:rsidR="00AA5007">
        <w:rPr>
          <w:rFonts w:ascii="Book Antiqua" w:hAnsi="Book Antiqua" w:cs="Arial"/>
        </w:rPr>
        <w:t xml:space="preserve"> March 14, 2018 </w:t>
      </w:r>
      <w:r w:rsidR="00E07601">
        <w:rPr>
          <w:rFonts w:ascii="Book Antiqua" w:hAnsi="Book Antiqua" w:cs="Arial"/>
        </w:rPr>
        <w:t xml:space="preserve">and </w:t>
      </w:r>
      <w:r>
        <w:rPr>
          <w:rFonts w:ascii="Book Antiqua" w:hAnsi="Book Antiqua" w:cs="Arial"/>
        </w:rPr>
        <w:t>s</w:t>
      </w:r>
      <w:r w:rsidR="002A15E9">
        <w:rPr>
          <w:rFonts w:ascii="Book Antiqua" w:hAnsi="Book Antiqua" w:cs="Arial"/>
        </w:rPr>
        <w:t>he</w:t>
      </w:r>
      <w:r w:rsidR="00AA5007">
        <w:rPr>
          <w:rFonts w:ascii="Book Antiqua" w:hAnsi="Book Antiqua" w:cs="Arial"/>
        </w:rPr>
        <w:t xml:space="preserve"> dismissed </w:t>
      </w:r>
      <w:r w:rsidR="00657E4E">
        <w:rPr>
          <w:rFonts w:ascii="Book Antiqua" w:hAnsi="Book Antiqua" w:cs="Arial"/>
        </w:rPr>
        <w:t>the appellant’s appeal</w:t>
      </w:r>
      <w:r w:rsidR="002A15E9">
        <w:rPr>
          <w:rFonts w:ascii="Book Antiqua" w:hAnsi="Book Antiqua" w:cs="Arial"/>
        </w:rPr>
        <w:t xml:space="preserve"> on</w:t>
      </w:r>
      <w:r w:rsidR="00AA5007">
        <w:rPr>
          <w:rFonts w:ascii="Book Antiqua" w:hAnsi="Book Antiqua" w:cs="Arial"/>
        </w:rPr>
        <w:t xml:space="preserve"> protection and human rights grounds </w:t>
      </w:r>
      <w:r w:rsidR="0084729B">
        <w:rPr>
          <w:rFonts w:ascii="Book Antiqua" w:hAnsi="Book Antiqua" w:cs="Arial"/>
        </w:rPr>
        <w:t>on</w:t>
      </w:r>
      <w:r w:rsidR="00AA5007">
        <w:rPr>
          <w:rFonts w:ascii="Book Antiqua" w:hAnsi="Book Antiqua" w:cs="Arial"/>
        </w:rPr>
        <w:t xml:space="preserve"> March 20, 2018</w:t>
      </w:r>
      <w:r w:rsidR="00BC05F7">
        <w:rPr>
          <w:rFonts w:ascii="Book Antiqua" w:hAnsi="Book Antiqua" w:cs="Arial"/>
        </w:rPr>
        <w:t xml:space="preserve">. </w:t>
      </w:r>
    </w:p>
    <w:p w:rsidR="006667C1" w:rsidRDefault="00E07601" w:rsidP="004F1FD2">
      <w:pPr>
        <w:numPr>
          <w:ilvl w:val="0"/>
          <w:numId w:val="3"/>
        </w:numPr>
        <w:spacing w:before="240"/>
        <w:jc w:val="both"/>
        <w:rPr>
          <w:rFonts w:ascii="Book Antiqua" w:hAnsi="Book Antiqua" w:cs="Arial"/>
        </w:rPr>
      </w:pPr>
      <w:r w:rsidRPr="0084729B">
        <w:rPr>
          <w:rFonts w:ascii="Book Antiqua" w:hAnsi="Book Antiqua" w:cs="Arial"/>
        </w:rPr>
        <w:t xml:space="preserve">The </w:t>
      </w:r>
      <w:r w:rsidR="00AA5007">
        <w:rPr>
          <w:rFonts w:ascii="Book Antiqua" w:hAnsi="Book Antiqua" w:cs="Arial"/>
        </w:rPr>
        <w:t xml:space="preserve">appellant </w:t>
      </w:r>
      <w:r w:rsidRPr="0084729B">
        <w:rPr>
          <w:rFonts w:ascii="Book Antiqua" w:hAnsi="Book Antiqua" w:cs="Arial"/>
        </w:rPr>
        <w:t xml:space="preserve">appealed this decision on </w:t>
      </w:r>
      <w:r w:rsidR="00AA5007">
        <w:rPr>
          <w:rFonts w:ascii="Book Antiqua" w:hAnsi="Book Antiqua" w:cs="Arial"/>
        </w:rPr>
        <w:t>April 4</w:t>
      </w:r>
      <w:r w:rsidR="0060684A">
        <w:rPr>
          <w:rFonts w:ascii="Book Antiqua" w:hAnsi="Book Antiqua" w:cs="Arial"/>
        </w:rPr>
        <w:t>, 2018</w:t>
      </w:r>
      <w:r w:rsidR="0084729B" w:rsidRPr="0084729B">
        <w:rPr>
          <w:rFonts w:ascii="Book Antiqua" w:hAnsi="Book Antiqua" w:cs="Arial"/>
        </w:rPr>
        <w:t xml:space="preserve"> on the grounds that the Judge </w:t>
      </w:r>
      <w:r w:rsidR="002A15E9">
        <w:rPr>
          <w:rFonts w:ascii="Book Antiqua" w:hAnsi="Book Antiqua" w:cs="Arial"/>
        </w:rPr>
        <w:t>had erred</w:t>
      </w:r>
      <w:r w:rsidR="006667C1">
        <w:rPr>
          <w:rFonts w:ascii="Book Antiqua" w:hAnsi="Book Antiqua" w:cs="Arial"/>
        </w:rPr>
        <w:t xml:space="preserve"> by </w:t>
      </w:r>
      <w:r w:rsidR="00AA5007">
        <w:rPr>
          <w:rFonts w:ascii="Book Antiqua" w:hAnsi="Book Antiqua" w:cs="Arial"/>
        </w:rPr>
        <w:t>failing to apply anxious scrutiny to the country material provided in respect of a Mr Sanad. Whilst he was initially released after a few days detention he was subsequently rearrested and sentenced to 3 years imprisonment. If the appellant had been put on notice the Judge was going to play such weight on the initial treatment of Mr Sanad then the appellant would have sought to file further evidence about his treatment in detention. The grounds submitted that his detention breached article 3 ECHR.</w:t>
      </w:r>
    </w:p>
    <w:p w:rsidR="00AA5007" w:rsidRDefault="002A15E9" w:rsidP="00911478">
      <w:pPr>
        <w:numPr>
          <w:ilvl w:val="0"/>
          <w:numId w:val="3"/>
        </w:numPr>
        <w:spacing w:before="240"/>
        <w:jc w:val="both"/>
        <w:rPr>
          <w:rFonts w:ascii="Book Antiqua" w:hAnsi="Book Antiqua" w:cs="Arial"/>
        </w:rPr>
      </w:pPr>
      <w:bookmarkStart w:id="2" w:name="_Hlk520272685"/>
      <w:r>
        <w:rPr>
          <w:rFonts w:ascii="Book Antiqua" w:hAnsi="Book Antiqua" w:cs="Arial"/>
        </w:rPr>
        <w:t xml:space="preserve">Permission to appeal was granted by Judge of the First-tier Tribunal </w:t>
      </w:r>
      <w:r w:rsidR="00AA5007">
        <w:rPr>
          <w:rFonts w:ascii="Book Antiqua" w:hAnsi="Book Antiqua" w:cs="Arial"/>
        </w:rPr>
        <w:t>Scott Baker</w:t>
      </w:r>
      <w:r w:rsidR="0060684A">
        <w:rPr>
          <w:rFonts w:ascii="Book Antiqua" w:hAnsi="Book Antiqua" w:cs="Arial"/>
        </w:rPr>
        <w:t xml:space="preserve"> </w:t>
      </w:r>
      <w:r>
        <w:rPr>
          <w:rFonts w:ascii="Book Antiqua" w:hAnsi="Book Antiqua" w:cs="Arial"/>
        </w:rPr>
        <w:t xml:space="preserve">on </w:t>
      </w:r>
      <w:r w:rsidR="00AA5007">
        <w:rPr>
          <w:rFonts w:ascii="Book Antiqua" w:hAnsi="Book Antiqua" w:cs="Arial"/>
        </w:rPr>
        <w:t>April 19</w:t>
      </w:r>
      <w:r>
        <w:rPr>
          <w:rFonts w:ascii="Book Antiqua" w:hAnsi="Book Antiqua" w:cs="Arial"/>
        </w:rPr>
        <w:t>, 2018 who</w:t>
      </w:r>
      <w:bookmarkEnd w:id="2"/>
      <w:r w:rsidR="0060684A">
        <w:rPr>
          <w:rFonts w:ascii="Book Antiqua" w:hAnsi="Book Antiqua" w:cs="Arial"/>
        </w:rPr>
        <w:t xml:space="preserve"> </w:t>
      </w:r>
      <w:r w:rsidR="00AA5007">
        <w:rPr>
          <w:rFonts w:ascii="Book Antiqua" w:hAnsi="Book Antiqua" w:cs="Arial"/>
        </w:rPr>
        <w:t xml:space="preserve">accepted there was an arguable error of law on the basis: </w:t>
      </w:r>
    </w:p>
    <w:p w:rsidR="00AA5007" w:rsidRDefault="00AA5007" w:rsidP="00F840CB">
      <w:pPr>
        <w:numPr>
          <w:ilvl w:val="1"/>
          <w:numId w:val="3"/>
        </w:numPr>
        <w:spacing w:before="120"/>
        <w:jc w:val="both"/>
        <w:rPr>
          <w:rFonts w:ascii="Book Antiqua" w:hAnsi="Book Antiqua" w:cs="Arial"/>
        </w:rPr>
      </w:pPr>
      <w:r>
        <w:rPr>
          <w:rFonts w:ascii="Book Antiqua" w:hAnsi="Book Antiqua" w:cs="Arial"/>
        </w:rPr>
        <w:t>Her reasoning on the conflict in background material was inadequate.</w:t>
      </w:r>
    </w:p>
    <w:p w:rsidR="008D0F1C" w:rsidRDefault="00AA5007" w:rsidP="00F840CB">
      <w:pPr>
        <w:numPr>
          <w:ilvl w:val="1"/>
          <w:numId w:val="3"/>
        </w:numPr>
        <w:spacing w:before="120"/>
        <w:jc w:val="both"/>
        <w:rPr>
          <w:rFonts w:ascii="Book Antiqua" w:hAnsi="Book Antiqua" w:cs="Arial"/>
        </w:rPr>
      </w:pPr>
      <w:r>
        <w:rPr>
          <w:rFonts w:ascii="Book Antiqua" w:hAnsi="Book Antiqua" w:cs="Arial"/>
        </w:rPr>
        <w:t>The Judge did not consider the conditions in detention.</w:t>
      </w:r>
    </w:p>
    <w:p w:rsidR="00AA5007" w:rsidRDefault="00AA5007" w:rsidP="00F840CB">
      <w:pPr>
        <w:numPr>
          <w:ilvl w:val="1"/>
          <w:numId w:val="3"/>
        </w:numPr>
        <w:spacing w:before="120"/>
        <w:jc w:val="both"/>
        <w:rPr>
          <w:rFonts w:ascii="Book Antiqua" w:hAnsi="Book Antiqua" w:cs="Arial"/>
        </w:rPr>
      </w:pPr>
      <w:r>
        <w:rPr>
          <w:rFonts w:ascii="Book Antiqua" w:hAnsi="Book Antiqua" w:cs="Arial"/>
        </w:rPr>
        <w:t>The Judge failed to consider what would happen to the appellant when he returned in light of the fact he would be required to complete military service.</w:t>
      </w:r>
    </w:p>
    <w:p w:rsidR="00AA5007" w:rsidRDefault="00AA5007" w:rsidP="00F840CB">
      <w:pPr>
        <w:numPr>
          <w:ilvl w:val="1"/>
          <w:numId w:val="3"/>
        </w:numPr>
        <w:spacing w:before="120"/>
        <w:jc w:val="both"/>
        <w:rPr>
          <w:rFonts w:ascii="Book Antiqua" w:hAnsi="Book Antiqua" w:cs="Arial"/>
        </w:rPr>
      </w:pPr>
      <w:r>
        <w:rPr>
          <w:rFonts w:ascii="Book Antiqua" w:hAnsi="Book Antiqua" w:cs="Arial"/>
        </w:rPr>
        <w:t>There had been no consideration of the appellant’s claim through the prism of political opinion be that actual or imputed.</w:t>
      </w:r>
    </w:p>
    <w:p w:rsidR="00052960" w:rsidRPr="00052960" w:rsidRDefault="00052960" w:rsidP="00052960">
      <w:pPr>
        <w:spacing w:before="240"/>
        <w:ind w:left="567"/>
        <w:jc w:val="both"/>
        <w:rPr>
          <w:rFonts w:ascii="Book Antiqua" w:hAnsi="Book Antiqua" w:cs="Arial"/>
          <w:b/>
          <w:u w:val="single"/>
        </w:rPr>
      </w:pPr>
      <w:r>
        <w:rPr>
          <w:rFonts w:ascii="Book Antiqua" w:hAnsi="Book Antiqua" w:cs="Arial"/>
          <w:b/>
          <w:u w:val="single"/>
        </w:rPr>
        <w:t>PRELIMINARY ISSUES</w:t>
      </w:r>
    </w:p>
    <w:p w:rsidR="003F18E0" w:rsidRDefault="0028065F" w:rsidP="00911478">
      <w:pPr>
        <w:numPr>
          <w:ilvl w:val="0"/>
          <w:numId w:val="3"/>
        </w:numPr>
        <w:spacing w:before="240"/>
        <w:jc w:val="both"/>
        <w:rPr>
          <w:rFonts w:ascii="Book Antiqua" w:hAnsi="Book Antiqua" w:cs="Arial"/>
        </w:rPr>
      </w:pPr>
      <w:r>
        <w:rPr>
          <w:rFonts w:ascii="Book Antiqua" w:hAnsi="Book Antiqua" w:cs="Arial"/>
        </w:rPr>
        <w:t xml:space="preserve">At the hearing I was provided with a skeleton argument by Ms Mensah </w:t>
      </w:r>
      <w:r w:rsidR="00BC7491">
        <w:rPr>
          <w:rFonts w:ascii="Book Antiqua" w:hAnsi="Book Antiqua" w:cs="Arial"/>
        </w:rPr>
        <w:t>and</w:t>
      </w:r>
      <w:r>
        <w:rPr>
          <w:rFonts w:ascii="Book Antiqua" w:hAnsi="Book Antiqua" w:cs="Arial"/>
        </w:rPr>
        <w:t xml:space="preserve"> I agreed to take into account </w:t>
      </w:r>
      <w:r w:rsidR="00BC7491">
        <w:rPr>
          <w:rFonts w:ascii="Book Antiqua" w:hAnsi="Book Antiqua" w:cs="Arial"/>
        </w:rPr>
        <w:t xml:space="preserve">her </w:t>
      </w:r>
      <w:r>
        <w:rPr>
          <w:rFonts w:ascii="Book Antiqua" w:hAnsi="Book Antiqua" w:cs="Arial"/>
        </w:rPr>
        <w:t xml:space="preserve">“Stage </w:t>
      </w:r>
      <w:r w:rsidR="00BC7491">
        <w:rPr>
          <w:rFonts w:ascii="Book Antiqua" w:hAnsi="Book Antiqua" w:cs="Arial"/>
        </w:rPr>
        <w:t>1</w:t>
      </w:r>
      <w:r>
        <w:rPr>
          <w:rFonts w:ascii="Book Antiqua" w:hAnsi="Book Antiqua" w:cs="Arial"/>
        </w:rPr>
        <w:t xml:space="preserve">” submissions for the purposes of the error in law. </w:t>
      </w:r>
    </w:p>
    <w:p w:rsidR="0028065F" w:rsidRDefault="00BC7491" w:rsidP="00911478">
      <w:pPr>
        <w:numPr>
          <w:ilvl w:val="0"/>
          <w:numId w:val="3"/>
        </w:numPr>
        <w:spacing w:before="240"/>
        <w:jc w:val="both"/>
        <w:rPr>
          <w:rFonts w:ascii="Book Antiqua" w:hAnsi="Book Antiqua" w:cs="Arial"/>
        </w:rPr>
      </w:pPr>
      <w:r>
        <w:rPr>
          <w:rFonts w:ascii="Book Antiqua" w:hAnsi="Book Antiqua" w:cs="Arial"/>
        </w:rPr>
        <w:t xml:space="preserve">Mr Tan confirmed there had been no Rule 24 response </w:t>
      </w:r>
      <w:r w:rsidR="00871A4D">
        <w:rPr>
          <w:rFonts w:ascii="Book Antiqua" w:hAnsi="Book Antiqua" w:cs="Arial"/>
        </w:rPr>
        <w:t>filed</w:t>
      </w:r>
      <w:r>
        <w:rPr>
          <w:rFonts w:ascii="Book Antiqua" w:hAnsi="Book Antiqua" w:cs="Arial"/>
        </w:rPr>
        <w:t xml:space="preserve"> in this appeal.</w:t>
      </w:r>
    </w:p>
    <w:p w:rsidR="00BC7491" w:rsidRPr="00BC7491" w:rsidRDefault="00BC7491" w:rsidP="00BC7491">
      <w:pPr>
        <w:spacing w:before="240"/>
        <w:ind w:left="567"/>
        <w:jc w:val="both"/>
        <w:rPr>
          <w:rFonts w:ascii="Book Antiqua" w:hAnsi="Book Antiqua" w:cs="Arial"/>
          <w:b/>
          <w:u w:val="single"/>
        </w:rPr>
      </w:pPr>
      <w:r>
        <w:rPr>
          <w:rFonts w:ascii="Book Antiqua" w:hAnsi="Book Antiqua" w:cs="Arial"/>
          <w:b/>
          <w:u w:val="single"/>
        </w:rPr>
        <w:t>SUBMISSIONS</w:t>
      </w:r>
    </w:p>
    <w:p w:rsidR="00BC7491" w:rsidRDefault="00BC7491" w:rsidP="00911478">
      <w:pPr>
        <w:numPr>
          <w:ilvl w:val="0"/>
          <w:numId w:val="3"/>
        </w:numPr>
        <w:spacing w:before="240"/>
        <w:jc w:val="both"/>
        <w:rPr>
          <w:rFonts w:ascii="Book Antiqua" w:hAnsi="Book Antiqua" w:cs="Arial"/>
        </w:rPr>
      </w:pPr>
      <w:r>
        <w:rPr>
          <w:rFonts w:ascii="Book Antiqua" w:hAnsi="Book Antiqua" w:cs="Arial"/>
        </w:rPr>
        <w:t xml:space="preserve">Ms Mensah adopted the content of her skeleton argument and invited the Tribunal to firstly find an error in law and secondly to allow the appeal on protection and human rights grounds. She stated that the appellant was morally opposed to military service because the military killed political opponents and protected high ranking individuals and people conscripted to it were sacrificed during assassination attempts and terrorist attacks. He would be viewed as an opponent of the government and having avoided that she </w:t>
      </w:r>
      <w:r w:rsidR="00871A4D">
        <w:rPr>
          <w:rFonts w:ascii="Book Antiqua" w:hAnsi="Book Antiqua" w:cs="Arial"/>
        </w:rPr>
        <w:t>submitted</w:t>
      </w:r>
      <w:r>
        <w:rPr>
          <w:rFonts w:ascii="Book Antiqua" w:hAnsi="Book Antiqua" w:cs="Arial"/>
        </w:rPr>
        <w:t xml:space="preserve"> he would be detained, tortured, convicted and ordered to serve a custodial sentence. The Judge had found both the appellant and his sister to be honest witnesses and she accepted that one of the appellant’s reasons for opposing military service was because it contradicted his beliefs as a pacifist. The Judge accepted he would not be exempt from military service on the basis he was a conscious objector per se. Ms Mensah submitted that the appellant’s views amounted to criticisms of the </w:t>
      </w:r>
      <w:r>
        <w:rPr>
          <w:rFonts w:ascii="Book Antiqua" w:hAnsi="Book Antiqua" w:cs="Arial"/>
        </w:rPr>
        <w:lastRenderedPageBreak/>
        <w:t>government and the military who were one of the same and she submitted that they were responsible</w:t>
      </w:r>
      <w:r w:rsidR="00C46588">
        <w:rPr>
          <w:rFonts w:ascii="Book Antiqua" w:hAnsi="Book Antiqua" w:cs="Arial"/>
        </w:rPr>
        <w:t xml:space="preserve"> for human rights abuses.</w:t>
      </w:r>
    </w:p>
    <w:p w:rsidR="00C46588" w:rsidRDefault="00C46588" w:rsidP="00911478">
      <w:pPr>
        <w:numPr>
          <w:ilvl w:val="0"/>
          <w:numId w:val="3"/>
        </w:numPr>
        <w:spacing w:before="240"/>
        <w:jc w:val="both"/>
        <w:rPr>
          <w:rFonts w:ascii="Book Antiqua" w:hAnsi="Book Antiqua" w:cs="Arial"/>
        </w:rPr>
      </w:pPr>
      <w:r>
        <w:rPr>
          <w:rFonts w:ascii="Book Antiqua" w:hAnsi="Book Antiqua" w:cs="Arial"/>
        </w:rPr>
        <w:t>Whilst the Judge considered what happened to people who have evaded military service she submitted that the Judges assessment of what was likely to happen to the appellant was inadequate in that her examination of the background material did not take into account all of the documents that had been submitted in the appellant’s bundle. In particular</w:t>
      </w:r>
      <w:r w:rsidR="00934E56">
        <w:rPr>
          <w:rFonts w:ascii="Book Antiqua" w:hAnsi="Book Antiqua" w:cs="Arial"/>
        </w:rPr>
        <w:t>,</w:t>
      </w:r>
      <w:r>
        <w:rPr>
          <w:rFonts w:ascii="Book Antiqua" w:hAnsi="Book Antiqua" w:cs="Arial"/>
        </w:rPr>
        <w:t xml:space="preserve"> there was commencing </w:t>
      </w:r>
      <w:r w:rsidR="00934E56">
        <w:rPr>
          <w:rFonts w:ascii="Book Antiqua" w:hAnsi="Book Antiqua" w:cs="Arial"/>
        </w:rPr>
        <w:t xml:space="preserve">at </w:t>
      </w:r>
      <w:r>
        <w:rPr>
          <w:rFonts w:ascii="Book Antiqua" w:hAnsi="Book Antiqua" w:cs="Arial"/>
        </w:rPr>
        <w:t>page 135 of the appellant’s bundle a Human Rights Watch Report 2017 in which there was evidence that the appellant would be treated as a political agitator.</w:t>
      </w:r>
      <w:r w:rsidR="00934E56">
        <w:rPr>
          <w:rFonts w:ascii="Book Antiqua" w:hAnsi="Book Antiqua" w:cs="Arial"/>
        </w:rPr>
        <w:t xml:space="preserve"> She submitted there was considerable material within the appellant’s bundle that demonstrated conscientious objectors were dealt with harshly and in considering the risk faced by the appellant she submitted the Judge had not had regard to sufficient material but had limited herself to the latest CPIN report.</w:t>
      </w:r>
    </w:p>
    <w:p w:rsidR="00934E56" w:rsidRDefault="00934E56" w:rsidP="00911478">
      <w:pPr>
        <w:numPr>
          <w:ilvl w:val="0"/>
          <w:numId w:val="3"/>
        </w:numPr>
        <w:spacing w:before="240"/>
        <w:jc w:val="both"/>
        <w:rPr>
          <w:rFonts w:ascii="Book Antiqua" w:hAnsi="Book Antiqua" w:cs="Arial"/>
        </w:rPr>
      </w:pPr>
      <w:r>
        <w:rPr>
          <w:rFonts w:ascii="Book Antiqua" w:hAnsi="Book Antiqua" w:cs="Arial"/>
        </w:rPr>
        <w:t>Ms Mensah emphasised that the military courts would not provide the appellant with a fair trial and he would be the subject of ill-treatment.</w:t>
      </w:r>
    </w:p>
    <w:p w:rsidR="00C46588" w:rsidRDefault="00934E56" w:rsidP="00911478">
      <w:pPr>
        <w:numPr>
          <w:ilvl w:val="0"/>
          <w:numId w:val="3"/>
        </w:numPr>
        <w:spacing w:before="240"/>
        <w:jc w:val="both"/>
        <w:rPr>
          <w:rFonts w:ascii="Book Antiqua" w:hAnsi="Book Antiqua" w:cs="Arial"/>
        </w:rPr>
      </w:pPr>
      <w:r>
        <w:rPr>
          <w:rFonts w:ascii="Book Antiqua" w:hAnsi="Book Antiqua" w:cs="Arial"/>
        </w:rPr>
        <w:t>Mr Tan invited the Tribunal to uphold the Judge</w:t>
      </w:r>
      <w:r w:rsidR="00FC1AD7">
        <w:rPr>
          <w:rFonts w:ascii="Book Antiqua" w:hAnsi="Book Antiqua" w:cs="Arial"/>
        </w:rPr>
        <w:t>’</w:t>
      </w:r>
      <w:r>
        <w:rPr>
          <w:rFonts w:ascii="Book Antiqua" w:hAnsi="Book Antiqua" w:cs="Arial"/>
        </w:rPr>
        <w:t>s decision and submitted that the Judge had had regard to the evidence and had distinguished the appellant from Mr Sanad on the basis that their profiles were totally different. He submitted that whilst it was being suggested Mr Sanad had been imprisoned for two years there was nothing before the Judge to confirm this. The fact a report suggested he may have been imprisoned did not mean that he actually was imprisoned because quite often those sentence</w:t>
      </w:r>
      <w:r w:rsidR="00BB0550">
        <w:rPr>
          <w:rFonts w:ascii="Book Antiqua" w:hAnsi="Book Antiqua" w:cs="Arial"/>
        </w:rPr>
        <w:t>d</w:t>
      </w:r>
      <w:r>
        <w:rPr>
          <w:rFonts w:ascii="Book Antiqua" w:hAnsi="Book Antiqua" w:cs="Arial"/>
        </w:rPr>
        <w:t xml:space="preserve"> were released almost immediately. With regard to his activities on Facebook the Judge noted</w:t>
      </w:r>
      <w:r w:rsidR="00FC1AD7">
        <w:rPr>
          <w:rFonts w:ascii="Book Antiqua" w:hAnsi="Book Antiqua" w:cs="Arial"/>
        </w:rPr>
        <w:t xml:space="preserve"> that whilst there were a number of postings they were in the main private and untranslated and they were simply an attempt to bolster his claim.</w:t>
      </w:r>
    </w:p>
    <w:p w:rsidR="00EE3D9F" w:rsidRPr="00EE3D9F" w:rsidRDefault="00EE3D9F" w:rsidP="00EE3D9F">
      <w:pPr>
        <w:spacing w:before="240"/>
        <w:ind w:left="567"/>
        <w:jc w:val="both"/>
        <w:rPr>
          <w:rFonts w:ascii="Book Antiqua" w:hAnsi="Book Antiqua" w:cs="Arial"/>
          <w:b/>
          <w:u w:val="single"/>
        </w:rPr>
      </w:pPr>
      <w:r>
        <w:rPr>
          <w:rFonts w:ascii="Book Antiqua" w:hAnsi="Book Antiqua" w:cs="Arial"/>
          <w:b/>
          <w:u w:val="single"/>
        </w:rPr>
        <w:t>FINDINGS</w:t>
      </w:r>
    </w:p>
    <w:p w:rsidR="008E1890" w:rsidRDefault="00FC1AD7" w:rsidP="00052960">
      <w:pPr>
        <w:numPr>
          <w:ilvl w:val="0"/>
          <w:numId w:val="3"/>
        </w:numPr>
        <w:spacing w:before="240"/>
        <w:jc w:val="both"/>
        <w:rPr>
          <w:rFonts w:ascii="Book Antiqua" w:hAnsi="Book Antiqua" w:cs="Arial"/>
        </w:rPr>
      </w:pPr>
      <w:bookmarkStart w:id="3" w:name="_Hlk519237881"/>
      <w:bookmarkEnd w:id="1"/>
      <w:r>
        <w:rPr>
          <w:rFonts w:ascii="Book Antiqua" w:hAnsi="Book Antiqua" w:cs="Arial"/>
        </w:rPr>
        <w:t>Permission to appeal had been given in this matter because the Judge accepted it was arguable there were failings in the assessment of the background material. I took detailed submissions from Ms Mensah who referred me</w:t>
      </w:r>
      <w:r w:rsidR="00BD5801">
        <w:rPr>
          <w:rFonts w:ascii="Book Antiqua" w:hAnsi="Book Antiqua" w:cs="Arial"/>
        </w:rPr>
        <w:t xml:space="preserve">, </w:t>
      </w:r>
      <w:r>
        <w:rPr>
          <w:rFonts w:ascii="Book Antiqua" w:hAnsi="Book Antiqua" w:cs="Arial"/>
        </w:rPr>
        <w:t>at length</w:t>
      </w:r>
      <w:r w:rsidR="00BD5801">
        <w:rPr>
          <w:rFonts w:ascii="Book Antiqua" w:hAnsi="Book Antiqua" w:cs="Arial"/>
        </w:rPr>
        <w:t xml:space="preserve">, </w:t>
      </w:r>
      <w:r>
        <w:rPr>
          <w:rFonts w:ascii="Book Antiqua" w:hAnsi="Book Antiqua" w:cs="Arial"/>
        </w:rPr>
        <w:t>to various articles in the appellant’s bundle and the thrust of her submission</w:t>
      </w:r>
      <w:r w:rsidR="00BD5801">
        <w:rPr>
          <w:rFonts w:ascii="Book Antiqua" w:hAnsi="Book Antiqua" w:cs="Arial"/>
        </w:rPr>
        <w:t>s were</w:t>
      </w:r>
      <w:r>
        <w:rPr>
          <w:rFonts w:ascii="Book Antiqua" w:hAnsi="Book Antiqua" w:cs="Arial"/>
        </w:rPr>
        <w:t xml:space="preserve"> that </w:t>
      </w:r>
      <w:r w:rsidR="00C511B2">
        <w:rPr>
          <w:rFonts w:ascii="Book Antiqua" w:hAnsi="Book Antiqua" w:cs="Arial"/>
        </w:rPr>
        <w:t xml:space="preserve">in deciding what awaited the appellant and whether </w:t>
      </w:r>
      <w:r>
        <w:rPr>
          <w:rFonts w:ascii="Book Antiqua" w:hAnsi="Book Antiqua" w:cs="Arial"/>
        </w:rPr>
        <w:t xml:space="preserve">the appellant would have a fair trial as a conscientious objector </w:t>
      </w:r>
      <w:r w:rsidR="00C511B2">
        <w:rPr>
          <w:rFonts w:ascii="Book Antiqua" w:hAnsi="Book Antiqua" w:cs="Arial"/>
        </w:rPr>
        <w:t xml:space="preserve">or </w:t>
      </w:r>
      <w:r>
        <w:rPr>
          <w:rFonts w:ascii="Book Antiqua" w:hAnsi="Book Antiqua" w:cs="Arial"/>
        </w:rPr>
        <w:t>be subject to ill-treatment</w:t>
      </w:r>
      <w:r w:rsidR="00C511B2">
        <w:rPr>
          <w:rFonts w:ascii="Book Antiqua" w:hAnsi="Book Antiqua" w:cs="Arial"/>
        </w:rPr>
        <w:t xml:space="preserve"> she did not consider all the material that was before her. </w:t>
      </w:r>
    </w:p>
    <w:p w:rsidR="00FC1AD7" w:rsidRDefault="00BB0550" w:rsidP="00052960">
      <w:pPr>
        <w:numPr>
          <w:ilvl w:val="0"/>
          <w:numId w:val="3"/>
        </w:numPr>
        <w:spacing w:before="240"/>
        <w:jc w:val="both"/>
        <w:rPr>
          <w:rFonts w:ascii="Book Antiqua" w:hAnsi="Book Antiqua" w:cs="Arial"/>
        </w:rPr>
      </w:pPr>
      <w:r>
        <w:rPr>
          <w:rFonts w:ascii="Book Antiqua" w:hAnsi="Book Antiqua" w:cs="Arial"/>
        </w:rPr>
        <w:t>T</w:t>
      </w:r>
      <w:r w:rsidR="009650CB">
        <w:rPr>
          <w:rFonts w:ascii="Book Antiqua" w:hAnsi="Book Antiqua" w:cs="Arial"/>
        </w:rPr>
        <w:t xml:space="preserve">he </w:t>
      </w:r>
      <w:r>
        <w:rPr>
          <w:rFonts w:ascii="Book Antiqua" w:hAnsi="Book Antiqua" w:cs="Arial"/>
        </w:rPr>
        <w:t xml:space="preserve">Judge’s </w:t>
      </w:r>
      <w:r w:rsidR="009650CB">
        <w:rPr>
          <w:rFonts w:ascii="Book Antiqua" w:hAnsi="Book Antiqua" w:cs="Arial"/>
        </w:rPr>
        <w:t>record of proceedings records that Ms Mensah referred the Judge to the following documents:</w:t>
      </w:r>
    </w:p>
    <w:p w:rsidR="009650CB" w:rsidRDefault="009650CB" w:rsidP="00F840CB">
      <w:pPr>
        <w:numPr>
          <w:ilvl w:val="2"/>
          <w:numId w:val="3"/>
        </w:numPr>
        <w:spacing w:before="120"/>
        <w:jc w:val="both"/>
        <w:rPr>
          <w:rFonts w:ascii="Book Antiqua" w:hAnsi="Book Antiqua" w:cs="Arial"/>
        </w:rPr>
      </w:pPr>
      <w:r>
        <w:rPr>
          <w:rFonts w:ascii="Book Antiqua" w:hAnsi="Book Antiqua" w:cs="Arial"/>
        </w:rPr>
        <w:t>Page 201 of the appellant’s bundle which was an article from the Guardian newspaper dated October 21, 2017.</w:t>
      </w:r>
    </w:p>
    <w:p w:rsidR="009650CB" w:rsidRDefault="009650CB" w:rsidP="00F840CB">
      <w:pPr>
        <w:numPr>
          <w:ilvl w:val="2"/>
          <w:numId w:val="3"/>
        </w:numPr>
        <w:spacing w:before="120"/>
        <w:jc w:val="both"/>
        <w:rPr>
          <w:rFonts w:ascii="Book Antiqua" w:hAnsi="Book Antiqua" w:cs="Arial"/>
        </w:rPr>
      </w:pPr>
      <w:r>
        <w:rPr>
          <w:rFonts w:ascii="Book Antiqua" w:hAnsi="Book Antiqua" w:cs="Arial"/>
        </w:rPr>
        <w:t>Page 204 of the appellant’s bundle which was a Guardian article dated February 9, 2018.</w:t>
      </w:r>
    </w:p>
    <w:p w:rsidR="009650CB" w:rsidRDefault="009650CB" w:rsidP="00F840CB">
      <w:pPr>
        <w:numPr>
          <w:ilvl w:val="2"/>
          <w:numId w:val="3"/>
        </w:numPr>
        <w:spacing w:before="120"/>
        <w:jc w:val="both"/>
        <w:rPr>
          <w:rFonts w:ascii="Book Antiqua" w:hAnsi="Book Antiqua" w:cs="Arial"/>
        </w:rPr>
      </w:pPr>
      <w:r>
        <w:rPr>
          <w:rFonts w:ascii="Book Antiqua" w:hAnsi="Book Antiqua" w:cs="Arial"/>
        </w:rPr>
        <w:t xml:space="preserve">Page 182 of the appellant’s bundle which was an article entitled, “Freedom for </w:t>
      </w:r>
      <w:proofErr w:type="spellStart"/>
      <w:r>
        <w:rPr>
          <w:rFonts w:ascii="Book Antiqua" w:hAnsi="Book Antiqua" w:cs="Arial"/>
        </w:rPr>
        <w:t>Maikel</w:t>
      </w:r>
      <w:proofErr w:type="spellEnd"/>
      <w:r>
        <w:rPr>
          <w:rFonts w:ascii="Book Antiqua" w:hAnsi="Book Antiqua" w:cs="Arial"/>
        </w:rPr>
        <w:t xml:space="preserve"> Nabil Sanad” dated April 11, 2011.</w:t>
      </w:r>
    </w:p>
    <w:p w:rsidR="00BB0550" w:rsidRPr="00BB0550" w:rsidRDefault="00BB0550" w:rsidP="00F840CB">
      <w:pPr>
        <w:numPr>
          <w:ilvl w:val="2"/>
          <w:numId w:val="3"/>
        </w:numPr>
        <w:spacing w:before="120"/>
        <w:jc w:val="both"/>
        <w:rPr>
          <w:rFonts w:ascii="Book Antiqua" w:hAnsi="Book Antiqua" w:cs="Arial"/>
        </w:rPr>
      </w:pPr>
      <w:r>
        <w:rPr>
          <w:rFonts w:ascii="Book Antiqua" w:hAnsi="Book Antiqua" w:cs="Arial"/>
        </w:rPr>
        <w:lastRenderedPageBreak/>
        <w:t xml:space="preserve">Page 161 of the appellant’s bundle which referenced CPIN </w:t>
      </w:r>
      <w:r w:rsidR="009650CB">
        <w:rPr>
          <w:rFonts w:ascii="Book Antiqua" w:hAnsi="Book Antiqua" w:cs="Arial"/>
        </w:rPr>
        <w:t xml:space="preserve">Report dated </w:t>
      </w:r>
      <w:r>
        <w:rPr>
          <w:rFonts w:ascii="Book Antiqua" w:hAnsi="Book Antiqua" w:cs="Arial"/>
        </w:rPr>
        <w:t xml:space="preserve">March </w:t>
      </w:r>
      <w:r w:rsidR="009650CB">
        <w:rPr>
          <w:rFonts w:ascii="Book Antiqua" w:hAnsi="Book Antiqua" w:cs="Arial"/>
        </w:rPr>
        <w:t>2017</w:t>
      </w:r>
      <w:r>
        <w:rPr>
          <w:rFonts w:ascii="Book Antiqua" w:hAnsi="Book Antiqua" w:cs="Arial"/>
        </w:rPr>
        <w:t>.</w:t>
      </w:r>
    </w:p>
    <w:p w:rsidR="00BB0550" w:rsidRDefault="00C511B2" w:rsidP="00052960">
      <w:pPr>
        <w:numPr>
          <w:ilvl w:val="0"/>
          <w:numId w:val="3"/>
        </w:numPr>
        <w:spacing w:before="240"/>
        <w:jc w:val="both"/>
        <w:rPr>
          <w:rFonts w:ascii="Book Antiqua" w:hAnsi="Book Antiqua" w:cs="Arial"/>
        </w:rPr>
      </w:pPr>
      <w:r>
        <w:rPr>
          <w:rFonts w:ascii="Book Antiqua" w:hAnsi="Book Antiqua" w:cs="Arial"/>
        </w:rPr>
        <w:t>I</w:t>
      </w:r>
      <w:r w:rsidR="00C710C4">
        <w:rPr>
          <w:rFonts w:ascii="Book Antiqua" w:hAnsi="Book Antiqua" w:cs="Arial"/>
        </w:rPr>
        <w:t xml:space="preserve">n her oral submissions </w:t>
      </w:r>
      <w:r w:rsidR="00BB0550">
        <w:rPr>
          <w:rFonts w:ascii="Book Antiqua" w:hAnsi="Book Antiqua" w:cs="Arial"/>
        </w:rPr>
        <w:t>today</w:t>
      </w:r>
      <w:r>
        <w:rPr>
          <w:rFonts w:ascii="Book Antiqua" w:hAnsi="Book Antiqua" w:cs="Arial"/>
        </w:rPr>
        <w:t>,</w:t>
      </w:r>
      <w:r w:rsidR="00BB0550">
        <w:rPr>
          <w:rFonts w:ascii="Book Antiqua" w:hAnsi="Book Antiqua" w:cs="Arial"/>
        </w:rPr>
        <w:t xml:space="preserve"> </w:t>
      </w:r>
      <w:r w:rsidR="00FC1AD7">
        <w:rPr>
          <w:rFonts w:ascii="Book Antiqua" w:hAnsi="Book Antiqua" w:cs="Arial"/>
        </w:rPr>
        <w:t>Ms Mensah</w:t>
      </w:r>
      <w:r w:rsidR="00BB0550">
        <w:rPr>
          <w:rFonts w:ascii="Book Antiqua" w:hAnsi="Book Antiqua" w:cs="Arial"/>
        </w:rPr>
        <w:t xml:space="preserve"> </w:t>
      </w:r>
      <w:r>
        <w:rPr>
          <w:rFonts w:ascii="Book Antiqua" w:hAnsi="Book Antiqua" w:cs="Arial"/>
        </w:rPr>
        <w:t xml:space="preserve">also </w:t>
      </w:r>
      <w:r w:rsidR="00BB0550">
        <w:rPr>
          <w:rFonts w:ascii="Book Antiqua" w:hAnsi="Book Antiqua" w:cs="Arial"/>
        </w:rPr>
        <w:t xml:space="preserve">drew </w:t>
      </w:r>
      <w:r>
        <w:rPr>
          <w:rFonts w:ascii="Book Antiqua" w:hAnsi="Book Antiqua" w:cs="Arial"/>
        </w:rPr>
        <w:t xml:space="preserve">the Tribunal’s attention </w:t>
      </w:r>
      <w:r w:rsidR="00BB0550">
        <w:rPr>
          <w:rFonts w:ascii="Book Antiqua" w:hAnsi="Book Antiqua" w:cs="Arial"/>
        </w:rPr>
        <w:t xml:space="preserve">to the </w:t>
      </w:r>
      <w:r w:rsidR="00FC1AD7">
        <w:rPr>
          <w:rFonts w:ascii="Book Antiqua" w:hAnsi="Book Antiqua" w:cs="Arial"/>
        </w:rPr>
        <w:t>Human Rights Watch Report which could be found between pages 135 and 145 of the appellant’s bundle</w:t>
      </w:r>
      <w:r w:rsidR="000A57BC">
        <w:rPr>
          <w:rFonts w:ascii="Book Antiqua" w:hAnsi="Book Antiqua" w:cs="Arial"/>
        </w:rPr>
        <w:t>.</w:t>
      </w:r>
    </w:p>
    <w:p w:rsidR="00FC1AD7" w:rsidRDefault="000A57BC" w:rsidP="00052960">
      <w:pPr>
        <w:numPr>
          <w:ilvl w:val="0"/>
          <w:numId w:val="3"/>
        </w:numPr>
        <w:spacing w:before="240"/>
        <w:jc w:val="both"/>
        <w:rPr>
          <w:rFonts w:ascii="Book Antiqua" w:hAnsi="Book Antiqua" w:cs="Arial"/>
        </w:rPr>
      </w:pPr>
      <w:r>
        <w:rPr>
          <w:rFonts w:ascii="Book Antiqua" w:hAnsi="Book Antiqua" w:cs="Arial"/>
        </w:rPr>
        <w:t xml:space="preserve">The Judge approached the appeal from the starting point that the appellant was likely to be required to undertake military service although she noted at paragraph 9.3.9 of the CPIN report </w:t>
      </w:r>
      <w:r w:rsidR="00C511B2">
        <w:rPr>
          <w:rFonts w:ascii="Book Antiqua" w:hAnsi="Book Antiqua" w:cs="Arial"/>
        </w:rPr>
        <w:t xml:space="preserve">(see page 161 onwards of the appellant’s bundle) </w:t>
      </w:r>
      <w:r>
        <w:rPr>
          <w:rFonts w:ascii="Book Antiqua" w:hAnsi="Book Antiqua" w:cs="Arial"/>
        </w:rPr>
        <w:t xml:space="preserve">that some members of a conscientious objector group had been granted exemptions although she noted that these were few in number. The Judge noted that the punishment for avoiding military service was unclear </w:t>
      </w:r>
      <w:r w:rsidR="00C511B2">
        <w:rPr>
          <w:rFonts w:ascii="Book Antiqua" w:hAnsi="Book Antiqua" w:cs="Arial"/>
        </w:rPr>
        <w:t>although</w:t>
      </w:r>
      <w:r>
        <w:rPr>
          <w:rFonts w:ascii="Book Antiqua" w:hAnsi="Book Antiqua" w:cs="Arial"/>
        </w:rPr>
        <w:t xml:space="preserve"> in general a fine was the most likely punishment. She did not accept that a requirement to undertake military service amounted to persecution or engaged article 3 ECHR.</w:t>
      </w:r>
    </w:p>
    <w:p w:rsidR="00C511B2" w:rsidRDefault="00C511B2" w:rsidP="00052960">
      <w:pPr>
        <w:numPr>
          <w:ilvl w:val="0"/>
          <w:numId w:val="3"/>
        </w:numPr>
        <w:spacing w:before="240"/>
        <w:jc w:val="both"/>
        <w:rPr>
          <w:rFonts w:ascii="Book Antiqua" w:hAnsi="Book Antiqua" w:cs="Arial"/>
        </w:rPr>
      </w:pPr>
      <w:r>
        <w:rPr>
          <w:rFonts w:ascii="Book Antiqua" w:hAnsi="Book Antiqua" w:cs="Arial"/>
        </w:rPr>
        <w:t xml:space="preserve">Ms Mensah </w:t>
      </w:r>
      <w:r w:rsidR="000A57BC">
        <w:rPr>
          <w:rFonts w:ascii="Book Antiqua" w:hAnsi="Book Antiqua" w:cs="Arial"/>
        </w:rPr>
        <w:t xml:space="preserve">drew my attention to the Human Rights Watch Report and </w:t>
      </w:r>
      <w:r>
        <w:rPr>
          <w:rFonts w:ascii="Book Antiqua" w:hAnsi="Book Antiqua" w:cs="Arial"/>
        </w:rPr>
        <w:t>referred to the fact</w:t>
      </w:r>
      <w:r w:rsidR="000A57BC">
        <w:rPr>
          <w:rFonts w:ascii="Book Antiqua" w:hAnsi="Book Antiqua" w:cs="Arial"/>
        </w:rPr>
        <w:t xml:space="preserve"> that the criminal court had taken action against five people who had founded or led prominent human rights groups and she </w:t>
      </w:r>
      <w:r>
        <w:rPr>
          <w:rFonts w:ascii="Book Antiqua" w:hAnsi="Book Antiqua" w:cs="Arial"/>
        </w:rPr>
        <w:t xml:space="preserve">stated </w:t>
      </w:r>
      <w:r w:rsidR="000A57BC">
        <w:rPr>
          <w:rFonts w:ascii="Book Antiqua" w:hAnsi="Book Antiqua" w:cs="Arial"/>
        </w:rPr>
        <w:t xml:space="preserve">that people had been banned from travelling outside Egypt. Article 78 of the Penal Code had been amended to allow for sentences of up to 25 years if a Judge determined that an NGO worker received foreign funding for pursuing acts harmful to national interests. </w:t>
      </w:r>
    </w:p>
    <w:p w:rsidR="00C511B2" w:rsidRDefault="00B05192" w:rsidP="00052960">
      <w:pPr>
        <w:numPr>
          <w:ilvl w:val="0"/>
          <w:numId w:val="3"/>
        </w:numPr>
        <w:spacing w:before="240"/>
        <w:jc w:val="both"/>
        <w:rPr>
          <w:rFonts w:ascii="Book Antiqua" w:hAnsi="Book Antiqua" w:cs="Arial"/>
        </w:rPr>
      </w:pPr>
      <w:r>
        <w:rPr>
          <w:rFonts w:ascii="Book Antiqua" w:hAnsi="Book Antiqua" w:cs="Arial"/>
        </w:rPr>
        <w:t xml:space="preserve">I struggle to find how that sanction affected the appeal before the Judge because the Judge did not accept the appellant had any particular profile and in particular concluded at paragraph 67 that there was nothing about his activities in Egypt that would draw him to the attention of the authorities. </w:t>
      </w:r>
    </w:p>
    <w:p w:rsidR="000A57BC" w:rsidRDefault="00B05192" w:rsidP="00052960">
      <w:pPr>
        <w:numPr>
          <w:ilvl w:val="0"/>
          <w:numId w:val="3"/>
        </w:numPr>
        <w:spacing w:before="240"/>
        <w:jc w:val="both"/>
        <w:rPr>
          <w:rFonts w:ascii="Book Antiqua" w:hAnsi="Book Antiqua" w:cs="Arial"/>
        </w:rPr>
      </w:pPr>
      <w:r>
        <w:rPr>
          <w:rFonts w:ascii="Book Antiqua" w:hAnsi="Book Antiqua" w:cs="Arial"/>
        </w:rPr>
        <w:t>The article on page 136 of the bundle was highlighted by Ms Mensah but again I fail</w:t>
      </w:r>
      <w:r w:rsidR="00C511B2">
        <w:rPr>
          <w:rFonts w:ascii="Book Antiqua" w:hAnsi="Book Antiqua" w:cs="Arial"/>
        </w:rPr>
        <w:t>ed</w:t>
      </w:r>
      <w:r>
        <w:rPr>
          <w:rFonts w:ascii="Book Antiqua" w:hAnsi="Book Antiqua" w:cs="Arial"/>
        </w:rPr>
        <w:t xml:space="preserve"> to see why this article would have assisted the Judge in determining the issues that she had to deal with.</w:t>
      </w:r>
    </w:p>
    <w:p w:rsidR="00B05192" w:rsidRDefault="00B05192" w:rsidP="00052960">
      <w:pPr>
        <w:numPr>
          <w:ilvl w:val="0"/>
          <w:numId w:val="3"/>
        </w:numPr>
        <w:spacing w:before="240"/>
        <w:jc w:val="both"/>
        <w:rPr>
          <w:rFonts w:ascii="Book Antiqua" w:hAnsi="Book Antiqua" w:cs="Arial"/>
        </w:rPr>
      </w:pPr>
      <w:r>
        <w:rPr>
          <w:rFonts w:ascii="Book Antiqua" w:hAnsi="Book Antiqua" w:cs="Arial"/>
        </w:rPr>
        <w:t xml:space="preserve">The Judge considered the CPIN (March 2017) and in particular paragraph 9.3 of that document. It seemed common ground that there was some confusion/conflict in </w:t>
      </w:r>
      <w:r w:rsidR="00C511B2">
        <w:rPr>
          <w:rFonts w:ascii="Book Antiqua" w:hAnsi="Book Antiqua" w:cs="Arial"/>
        </w:rPr>
        <w:t xml:space="preserve">how the authorities treated people who were conscientious objectors </w:t>
      </w:r>
      <w:r>
        <w:rPr>
          <w:rFonts w:ascii="Book Antiqua" w:hAnsi="Book Antiqua" w:cs="Arial"/>
        </w:rPr>
        <w:t xml:space="preserve">and in particular how many people evaded service and how many ended up in prison for it. The penalty for not completing military service appeared to be a fine of EGP1,000 and/or a prison sentence of at least one year. </w:t>
      </w:r>
    </w:p>
    <w:p w:rsidR="00B05192" w:rsidRDefault="00C511B2" w:rsidP="00052960">
      <w:pPr>
        <w:numPr>
          <w:ilvl w:val="0"/>
          <w:numId w:val="3"/>
        </w:numPr>
        <w:spacing w:before="240"/>
        <w:jc w:val="both"/>
        <w:rPr>
          <w:rFonts w:ascii="Book Antiqua" w:hAnsi="Book Antiqua" w:cs="Arial"/>
        </w:rPr>
      </w:pPr>
      <w:r>
        <w:rPr>
          <w:rFonts w:ascii="Book Antiqua" w:hAnsi="Book Antiqua" w:cs="Arial"/>
        </w:rPr>
        <w:t>The Judge, at paragraph 59 of her decision, accepted the appellant would refuse to do military service and noted the potential penalty available to the court. Ms Mensah accepted, both before the Judge and myself, that the picture was not clear and the Judge considered material that was before her before finding he would not be at risk as a conscientious objector if he was returned.</w:t>
      </w:r>
    </w:p>
    <w:p w:rsidR="00C511B2" w:rsidRDefault="00C511B2" w:rsidP="00052960">
      <w:pPr>
        <w:numPr>
          <w:ilvl w:val="0"/>
          <w:numId w:val="3"/>
        </w:numPr>
        <w:spacing w:before="240"/>
        <w:jc w:val="both"/>
        <w:rPr>
          <w:rFonts w:ascii="Book Antiqua" w:hAnsi="Book Antiqua" w:cs="Arial"/>
        </w:rPr>
      </w:pPr>
      <w:r>
        <w:rPr>
          <w:rFonts w:ascii="Book Antiqua" w:hAnsi="Book Antiqua" w:cs="Arial"/>
        </w:rPr>
        <w:t xml:space="preserve">The Judge considered his account and distinguished his situation from Mr Sanad </w:t>
      </w:r>
      <w:r w:rsidR="000B1CAB">
        <w:rPr>
          <w:rFonts w:ascii="Book Antiqua" w:hAnsi="Book Antiqua" w:cs="Arial"/>
        </w:rPr>
        <w:t xml:space="preserve">who she noted had a very clear public profile and was a well-known blogger. She referred to the fact that an article, contained within the appellant’s bundle, indicated that this </w:t>
      </w:r>
      <w:r w:rsidR="000B1CAB">
        <w:rPr>
          <w:rFonts w:ascii="Book Antiqua" w:hAnsi="Book Antiqua" w:cs="Arial"/>
        </w:rPr>
        <w:lastRenderedPageBreak/>
        <w:t>person was released after two days imprisonment but Ms Mensah submits that this failed to take into account the article contained on page 182 of the appellant’s bundle that suggested that he had been sentenced to 3 years imprisonment and this was after he had been released on medical grounds. According to the grounds of appeal that sentence was initially reduced by the Egyptian Supreme Court on December 14, 2011 (eight months after his sentence) that he was eventually pardoned by the military ruling council on January 23, 2012.</w:t>
      </w:r>
    </w:p>
    <w:p w:rsidR="000B1CAB" w:rsidRDefault="000B1CAB" w:rsidP="00052960">
      <w:pPr>
        <w:numPr>
          <w:ilvl w:val="0"/>
          <w:numId w:val="3"/>
        </w:numPr>
        <w:spacing w:before="240"/>
        <w:jc w:val="both"/>
        <w:rPr>
          <w:rFonts w:ascii="Book Antiqua" w:hAnsi="Book Antiqua" w:cs="Arial"/>
        </w:rPr>
      </w:pPr>
      <w:r>
        <w:rPr>
          <w:rFonts w:ascii="Book Antiqua" w:hAnsi="Book Antiqua" w:cs="Arial"/>
        </w:rPr>
        <w:t>Whilst the Judge made no reference to this document it is perhaps important to note that a well-known conscientious objector was pardoned. Ms Mensah’s submission was that the military court would not give the appellant a fair hearing but even in the case of Mr Sanad he was released and whilst he may have spent a period in custody it cannot be overlooked that he was pardoned. I am asked to accept by Ms Mensah that the appellant would be at risk of a sentence as a conscientious objector and that due to conditions in prison his human rights would also be breached. The material submitted to the Judge did not support that contention. The Judge considered various documents and ultimately concluded there was nothing which would draw him to the attention of the authorities. At paragraph 67 of her decision the Judge summarised her position.</w:t>
      </w:r>
    </w:p>
    <w:p w:rsidR="000B1CAB" w:rsidRDefault="000B1CAB" w:rsidP="00052960">
      <w:pPr>
        <w:numPr>
          <w:ilvl w:val="0"/>
          <w:numId w:val="3"/>
        </w:numPr>
        <w:spacing w:before="240"/>
        <w:jc w:val="both"/>
        <w:rPr>
          <w:rFonts w:ascii="Book Antiqua" w:hAnsi="Book Antiqua" w:cs="Arial"/>
        </w:rPr>
      </w:pPr>
      <w:r>
        <w:rPr>
          <w:rFonts w:ascii="Book Antiqua" w:hAnsi="Book Antiqua" w:cs="Arial"/>
        </w:rPr>
        <w:t>Ms Mensah indirectly referred to new material that was now available which may strengthen her argument but in deciding whether there has been an error in law I have to consider whether based on the material presented to the Judge</w:t>
      </w:r>
      <w:r w:rsidR="0053625D">
        <w:rPr>
          <w:rFonts w:ascii="Book Antiqua" w:hAnsi="Book Antiqua" w:cs="Arial"/>
        </w:rPr>
        <w:t xml:space="preserve"> she reached a finding that was not open to her.</w:t>
      </w:r>
    </w:p>
    <w:p w:rsidR="0053625D" w:rsidRDefault="0053625D" w:rsidP="00052960">
      <w:pPr>
        <w:numPr>
          <w:ilvl w:val="0"/>
          <w:numId w:val="3"/>
        </w:numPr>
        <w:spacing w:before="240"/>
        <w:jc w:val="both"/>
        <w:rPr>
          <w:rFonts w:ascii="Book Antiqua" w:hAnsi="Book Antiqua" w:cs="Arial"/>
        </w:rPr>
      </w:pPr>
      <w:r>
        <w:rPr>
          <w:rFonts w:ascii="Book Antiqua" w:hAnsi="Book Antiqua" w:cs="Arial"/>
        </w:rPr>
        <w:t>Much of what Ms Mensah asked me to take into account in her submissions primarily related to someone with a high profile which the Judge concluded this appellant did not have. The background material does not support a general contention that conscientious objectors will be imprisoned and therefore face persecution or serious harm through the conditions they face. One of the articles referred to by Ms Mensah (pages 174-175) is from April 2016 and there was a lack of articles, within the bundle, which dealt with the position as at today.</w:t>
      </w:r>
    </w:p>
    <w:p w:rsidR="0053625D" w:rsidRDefault="0053625D" w:rsidP="00052960">
      <w:pPr>
        <w:numPr>
          <w:ilvl w:val="0"/>
          <w:numId w:val="3"/>
        </w:numPr>
        <w:spacing w:before="240"/>
        <w:jc w:val="both"/>
        <w:rPr>
          <w:rFonts w:ascii="Book Antiqua" w:hAnsi="Book Antiqua" w:cs="Arial"/>
        </w:rPr>
      </w:pPr>
      <w:r>
        <w:rPr>
          <w:rFonts w:ascii="Book Antiqua" w:hAnsi="Book Antiqua" w:cs="Arial"/>
        </w:rPr>
        <w:t>I therefore find that based on the evidence that was submitted to the Judge she did not make an error.</w:t>
      </w:r>
    </w:p>
    <w:bookmarkEnd w:id="3"/>
    <w:p w:rsidR="009C37C7" w:rsidRPr="009C37C7" w:rsidRDefault="009C37C7" w:rsidP="0053625D">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53625D">
        <w:rPr>
          <w:rFonts w:ascii="Book Antiqua" w:hAnsi="Book Antiqua" w:cs="Arial"/>
        </w:rPr>
        <w:t>no</w:t>
      </w:r>
      <w:r w:rsidR="00132731">
        <w:rPr>
          <w:rFonts w:ascii="Book Antiqua" w:hAnsi="Book Antiqua" w:cs="Arial"/>
        </w:rPr>
        <w:t xml:space="preserve"> </w:t>
      </w:r>
      <w:r>
        <w:rPr>
          <w:rFonts w:ascii="Book Antiqua" w:hAnsi="Book Antiqua" w:cs="Arial"/>
        </w:rPr>
        <w:t>error in law and</w:t>
      </w:r>
      <w:r w:rsidR="005D3338">
        <w:rPr>
          <w:rFonts w:ascii="Book Antiqua" w:hAnsi="Book Antiqua" w:cs="Arial"/>
        </w:rPr>
        <w:t xml:space="preserve"> I</w:t>
      </w:r>
      <w:r w:rsidR="00132731">
        <w:rPr>
          <w:rFonts w:ascii="Book Antiqua" w:hAnsi="Book Antiqua" w:cs="Arial"/>
        </w:rPr>
        <w:t xml:space="preserve"> </w:t>
      </w:r>
      <w:r w:rsidR="0053625D">
        <w:rPr>
          <w:rFonts w:ascii="Book Antiqua" w:hAnsi="Book Antiqua" w:cs="Arial"/>
        </w:rPr>
        <w:t>uphold the decision</w:t>
      </w:r>
      <w:r w:rsidR="00132731">
        <w:rPr>
          <w:rFonts w:ascii="Book Antiqua" w:hAnsi="Book Antiqua" w:cs="Arial"/>
        </w:rPr>
        <w:t>.</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60684A">
        <w:rPr>
          <w:rFonts w:ascii="Book Antiqua" w:hAnsi="Book Antiqua" w:cs="Arial"/>
        </w:rPr>
        <w:t>27</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6A599A"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5D3338" w:rsidRDefault="005D3338" w:rsidP="000369F5">
      <w:pPr>
        <w:tabs>
          <w:tab w:val="left" w:pos="2520"/>
        </w:tabs>
        <w:jc w:val="both"/>
        <w:rPr>
          <w:rFonts w:ascii="Book Antiqua" w:hAnsi="Book Antiqua" w:cs="Arial"/>
        </w:rPr>
      </w:pPr>
    </w:p>
    <w:p w:rsidR="00F840CB" w:rsidRDefault="00F840CB" w:rsidP="000369F5">
      <w:pPr>
        <w:tabs>
          <w:tab w:val="left" w:pos="2520"/>
        </w:tabs>
        <w:jc w:val="both"/>
        <w:rPr>
          <w:rFonts w:ascii="Book Antiqua" w:hAnsi="Book Antiqua" w:cs="Arial"/>
        </w:rPr>
      </w:pPr>
    </w:p>
    <w:p w:rsidR="00F840CB" w:rsidRDefault="00F840CB" w:rsidP="000369F5">
      <w:pPr>
        <w:tabs>
          <w:tab w:val="left" w:pos="2520"/>
        </w:tabs>
        <w:jc w:val="both"/>
        <w:rPr>
          <w:rFonts w:ascii="Book Antiqua" w:hAnsi="Book Antiqua" w:cs="Arial"/>
        </w:rPr>
      </w:pPr>
    </w:p>
    <w:p w:rsidR="00F840CB" w:rsidRDefault="00F840CB"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132731">
        <w:rPr>
          <w:rFonts w:ascii="Book Antiqua" w:hAnsi="Book Antiqua" w:cs="Arial"/>
        </w:rPr>
        <w:t xml:space="preserve"> none</w:t>
      </w:r>
      <w:r w:rsidR="0060684A">
        <w:rPr>
          <w:rFonts w:ascii="Book Antiqua" w:hAnsi="Book Antiqua" w:cs="Arial"/>
        </w:rPr>
        <w:t xml:space="preserve"> was made in the First-tier Tribunal.</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60684A">
        <w:rPr>
          <w:rFonts w:ascii="Book Antiqua" w:hAnsi="Book Antiqua" w:cs="Arial"/>
        </w:rPr>
        <w:t>27</w:t>
      </w:r>
      <w:r>
        <w:rPr>
          <w:rFonts w:ascii="Book Antiqua" w:hAnsi="Book Antiqua" w:cs="Arial"/>
        </w:rPr>
        <w:t>/</w:t>
      </w:r>
      <w:r w:rsidR="00C65368">
        <w:rPr>
          <w:rFonts w:ascii="Book Antiqua" w:hAnsi="Book Antiqua" w:cs="Arial"/>
        </w:rPr>
        <w:t>07</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6A599A"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D0C" w:rsidRDefault="00A61D0C">
      <w:r>
        <w:separator/>
      </w:r>
    </w:p>
  </w:endnote>
  <w:endnote w:type="continuationSeparator" w:id="0">
    <w:p w:rsidR="00A61D0C" w:rsidRDefault="00A6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22707">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D0C" w:rsidRDefault="00A61D0C">
      <w:r>
        <w:separator/>
      </w:r>
    </w:p>
  </w:footnote>
  <w:footnote w:type="continuationSeparator" w:id="0">
    <w:p w:rsidR="00A61D0C" w:rsidRDefault="00A61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0574DF">
      <w:rPr>
        <w:rFonts w:ascii="Book Antiqua" w:hAnsi="Book Antiqua" w:cs="Arial"/>
        <w:sz w:val="16"/>
        <w:szCs w:val="16"/>
      </w:rPr>
      <w:t>PA</w:t>
    </w:r>
    <w:r w:rsidRPr="00D97AF0">
      <w:rPr>
        <w:rFonts w:ascii="Book Antiqua" w:hAnsi="Book Antiqua" w:cs="Arial"/>
        <w:sz w:val="16"/>
        <w:szCs w:val="16"/>
      </w:rPr>
      <w:t>/</w:t>
    </w:r>
    <w:r w:rsidR="000574DF">
      <w:rPr>
        <w:rFonts w:ascii="Book Antiqua" w:hAnsi="Book Antiqua" w:cs="Arial"/>
        <w:sz w:val="16"/>
        <w:szCs w:val="16"/>
      </w:rPr>
      <w:t>09688</w:t>
    </w:r>
    <w:r>
      <w:rPr>
        <w:rFonts w:ascii="Book Antiqua" w:hAnsi="Book Antiqua" w:cs="Arial"/>
        <w:sz w:val="16"/>
        <w:szCs w:val="16"/>
      </w:rPr>
      <w:t>/201</w:t>
    </w:r>
    <w:r w:rsidR="000574DF">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2F6A5A0-72C0-4D4B-BD59-01508C698ECE}"/>
    <w:docVar w:name="dgnword-eventsink" w:val="2163092565584"/>
  </w:docVars>
  <w:rsids>
    <w:rsidRoot w:val="00A25C94"/>
    <w:rsid w:val="00000412"/>
    <w:rsid w:val="00000621"/>
    <w:rsid w:val="000008B1"/>
    <w:rsid w:val="00002241"/>
    <w:rsid w:val="000036C2"/>
    <w:rsid w:val="0000577C"/>
    <w:rsid w:val="00006A0D"/>
    <w:rsid w:val="00015C45"/>
    <w:rsid w:val="00033D3D"/>
    <w:rsid w:val="000369F5"/>
    <w:rsid w:val="00052960"/>
    <w:rsid w:val="000574DF"/>
    <w:rsid w:val="00060A81"/>
    <w:rsid w:val="00071A7E"/>
    <w:rsid w:val="000746C0"/>
    <w:rsid w:val="00074D1D"/>
    <w:rsid w:val="00080FDA"/>
    <w:rsid w:val="00087037"/>
    <w:rsid w:val="00087B4B"/>
    <w:rsid w:val="00092580"/>
    <w:rsid w:val="00095513"/>
    <w:rsid w:val="000A32A2"/>
    <w:rsid w:val="000A57BC"/>
    <w:rsid w:val="000B1CAB"/>
    <w:rsid w:val="000D5D94"/>
    <w:rsid w:val="000E483B"/>
    <w:rsid w:val="000E79C1"/>
    <w:rsid w:val="000F1FBC"/>
    <w:rsid w:val="000F2C33"/>
    <w:rsid w:val="001165A7"/>
    <w:rsid w:val="00132731"/>
    <w:rsid w:val="00132F1C"/>
    <w:rsid w:val="00151BB7"/>
    <w:rsid w:val="00167D3A"/>
    <w:rsid w:val="001766DA"/>
    <w:rsid w:val="001A1E2C"/>
    <w:rsid w:val="001A2421"/>
    <w:rsid w:val="001B67F3"/>
    <w:rsid w:val="001B7489"/>
    <w:rsid w:val="001C1452"/>
    <w:rsid w:val="001C43CF"/>
    <w:rsid w:val="001E12F7"/>
    <w:rsid w:val="001F2716"/>
    <w:rsid w:val="001F48D4"/>
    <w:rsid w:val="001F4C3C"/>
    <w:rsid w:val="0020133A"/>
    <w:rsid w:val="00203454"/>
    <w:rsid w:val="00207617"/>
    <w:rsid w:val="00222707"/>
    <w:rsid w:val="00274857"/>
    <w:rsid w:val="0028065F"/>
    <w:rsid w:val="00283659"/>
    <w:rsid w:val="00284E94"/>
    <w:rsid w:val="002865D5"/>
    <w:rsid w:val="00290EAB"/>
    <w:rsid w:val="0029144D"/>
    <w:rsid w:val="00291D5E"/>
    <w:rsid w:val="002A15E9"/>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3B4E"/>
    <w:rsid w:val="0031445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C609D"/>
    <w:rsid w:val="003D21BE"/>
    <w:rsid w:val="003D3D7D"/>
    <w:rsid w:val="003E267B"/>
    <w:rsid w:val="003E36BE"/>
    <w:rsid w:val="003E4B44"/>
    <w:rsid w:val="003E7CD1"/>
    <w:rsid w:val="003F18E0"/>
    <w:rsid w:val="00402B9E"/>
    <w:rsid w:val="00423932"/>
    <w:rsid w:val="004249CB"/>
    <w:rsid w:val="0044127D"/>
    <w:rsid w:val="00442A49"/>
    <w:rsid w:val="004448DB"/>
    <w:rsid w:val="00446C9A"/>
    <w:rsid w:val="00456521"/>
    <w:rsid w:val="00464E5B"/>
    <w:rsid w:val="00465231"/>
    <w:rsid w:val="00477193"/>
    <w:rsid w:val="004835E2"/>
    <w:rsid w:val="004852B5"/>
    <w:rsid w:val="00494161"/>
    <w:rsid w:val="004A1848"/>
    <w:rsid w:val="004B4552"/>
    <w:rsid w:val="004B7003"/>
    <w:rsid w:val="004D0B09"/>
    <w:rsid w:val="004E4682"/>
    <w:rsid w:val="004F1FD2"/>
    <w:rsid w:val="00502F93"/>
    <w:rsid w:val="00507FEC"/>
    <w:rsid w:val="00510F0E"/>
    <w:rsid w:val="00516E48"/>
    <w:rsid w:val="00534696"/>
    <w:rsid w:val="0053625D"/>
    <w:rsid w:val="00541D19"/>
    <w:rsid w:val="00545AE3"/>
    <w:rsid w:val="005479E1"/>
    <w:rsid w:val="005570FD"/>
    <w:rsid w:val="005575EA"/>
    <w:rsid w:val="00564626"/>
    <w:rsid w:val="00564C2A"/>
    <w:rsid w:val="0057790C"/>
    <w:rsid w:val="00593795"/>
    <w:rsid w:val="005A45CC"/>
    <w:rsid w:val="005A75FF"/>
    <w:rsid w:val="005A7A22"/>
    <w:rsid w:val="005B4942"/>
    <w:rsid w:val="005B7789"/>
    <w:rsid w:val="005C04A8"/>
    <w:rsid w:val="005C3A83"/>
    <w:rsid w:val="005D3338"/>
    <w:rsid w:val="005E6A6E"/>
    <w:rsid w:val="005F03F6"/>
    <w:rsid w:val="006059EF"/>
    <w:rsid w:val="0060684A"/>
    <w:rsid w:val="006121C8"/>
    <w:rsid w:val="00617DDD"/>
    <w:rsid w:val="00622725"/>
    <w:rsid w:val="00640E14"/>
    <w:rsid w:val="00641A27"/>
    <w:rsid w:val="00642840"/>
    <w:rsid w:val="0064774D"/>
    <w:rsid w:val="0065791C"/>
    <w:rsid w:val="00657E4E"/>
    <w:rsid w:val="006667C1"/>
    <w:rsid w:val="00677176"/>
    <w:rsid w:val="00690B8A"/>
    <w:rsid w:val="006A599A"/>
    <w:rsid w:val="006A5EDB"/>
    <w:rsid w:val="006B29C2"/>
    <w:rsid w:val="006C5C33"/>
    <w:rsid w:val="006D1DFA"/>
    <w:rsid w:val="006D506B"/>
    <w:rsid w:val="006D5949"/>
    <w:rsid w:val="006D79F6"/>
    <w:rsid w:val="006E3C90"/>
    <w:rsid w:val="006F08DA"/>
    <w:rsid w:val="006F382C"/>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9526F"/>
    <w:rsid w:val="007A1F28"/>
    <w:rsid w:val="007A3249"/>
    <w:rsid w:val="007A3ED6"/>
    <w:rsid w:val="007B0824"/>
    <w:rsid w:val="007B0892"/>
    <w:rsid w:val="007C2556"/>
    <w:rsid w:val="007D466F"/>
    <w:rsid w:val="007E544D"/>
    <w:rsid w:val="007F2507"/>
    <w:rsid w:val="008303B8"/>
    <w:rsid w:val="00833DCE"/>
    <w:rsid w:val="00836A93"/>
    <w:rsid w:val="00841581"/>
    <w:rsid w:val="00842418"/>
    <w:rsid w:val="00845317"/>
    <w:rsid w:val="0084729B"/>
    <w:rsid w:val="00864126"/>
    <w:rsid w:val="0087166E"/>
    <w:rsid w:val="00871A4D"/>
    <w:rsid w:val="00871D34"/>
    <w:rsid w:val="00876A5B"/>
    <w:rsid w:val="00882779"/>
    <w:rsid w:val="00887B2E"/>
    <w:rsid w:val="00892884"/>
    <w:rsid w:val="008B270C"/>
    <w:rsid w:val="008C3D3D"/>
    <w:rsid w:val="008D0F1C"/>
    <w:rsid w:val="008D4131"/>
    <w:rsid w:val="008E1890"/>
    <w:rsid w:val="008F1932"/>
    <w:rsid w:val="008F294D"/>
    <w:rsid w:val="008F3BF9"/>
    <w:rsid w:val="00911478"/>
    <w:rsid w:val="00916A58"/>
    <w:rsid w:val="00921062"/>
    <w:rsid w:val="00925DCC"/>
    <w:rsid w:val="0093083E"/>
    <w:rsid w:val="00934E56"/>
    <w:rsid w:val="00941D3B"/>
    <w:rsid w:val="00943442"/>
    <w:rsid w:val="009451FF"/>
    <w:rsid w:val="009510A0"/>
    <w:rsid w:val="009553DD"/>
    <w:rsid w:val="00955B0E"/>
    <w:rsid w:val="009650CB"/>
    <w:rsid w:val="00966B05"/>
    <w:rsid w:val="00966ECF"/>
    <w:rsid w:val="009727A3"/>
    <w:rsid w:val="00977458"/>
    <w:rsid w:val="00987774"/>
    <w:rsid w:val="009936D5"/>
    <w:rsid w:val="009A11E8"/>
    <w:rsid w:val="009A43A1"/>
    <w:rsid w:val="009B7464"/>
    <w:rsid w:val="009C37C7"/>
    <w:rsid w:val="009D1549"/>
    <w:rsid w:val="009E1661"/>
    <w:rsid w:val="009E4E62"/>
    <w:rsid w:val="009F5220"/>
    <w:rsid w:val="009F7C4D"/>
    <w:rsid w:val="00A01A21"/>
    <w:rsid w:val="00A15234"/>
    <w:rsid w:val="00A201AB"/>
    <w:rsid w:val="00A25C94"/>
    <w:rsid w:val="00A31C8B"/>
    <w:rsid w:val="00A54733"/>
    <w:rsid w:val="00A61D0C"/>
    <w:rsid w:val="00A75B2C"/>
    <w:rsid w:val="00A845DC"/>
    <w:rsid w:val="00A97AEE"/>
    <w:rsid w:val="00AA5007"/>
    <w:rsid w:val="00AC5CF6"/>
    <w:rsid w:val="00AC7862"/>
    <w:rsid w:val="00AD533F"/>
    <w:rsid w:val="00AE3CA0"/>
    <w:rsid w:val="00AE4EA7"/>
    <w:rsid w:val="00B05192"/>
    <w:rsid w:val="00B144FA"/>
    <w:rsid w:val="00B14D3A"/>
    <w:rsid w:val="00B16B53"/>
    <w:rsid w:val="00B16F58"/>
    <w:rsid w:val="00B2111F"/>
    <w:rsid w:val="00B251C9"/>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0550"/>
    <w:rsid w:val="00BB2AA8"/>
    <w:rsid w:val="00BB5B56"/>
    <w:rsid w:val="00BC05F7"/>
    <w:rsid w:val="00BC45A7"/>
    <w:rsid w:val="00BC6D9E"/>
    <w:rsid w:val="00BC7491"/>
    <w:rsid w:val="00BD4196"/>
    <w:rsid w:val="00BD5801"/>
    <w:rsid w:val="00BE2210"/>
    <w:rsid w:val="00BE4FE1"/>
    <w:rsid w:val="00BE57DB"/>
    <w:rsid w:val="00BF22CA"/>
    <w:rsid w:val="00BF3FF7"/>
    <w:rsid w:val="00C156C3"/>
    <w:rsid w:val="00C20D7B"/>
    <w:rsid w:val="00C26032"/>
    <w:rsid w:val="00C265B0"/>
    <w:rsid w:val="00C321B5"/>
    <w:rsid w:val="00C345E1"/>
    <w:rsid w:val="00C42C62"/>
    <w:rsid w:val="00C435A4"/>
    <w:rsid w:val="00C46588"/>
    <w:rsid w:val="00C511B2"/>
    <w:rsid w:val="00C5263A"/>
    <w:rsid w:val="00C65368"/>
    <w:rsid w:val="00C710C4"/>
    <w:rsid w:val="00C724BC"/>
    <w:rsid w:val="00C72BE8"/>
    <w:rsid w:val="00C74D85"/>
    <w:rsid w:val="00C767E8"/>
    <w:rsid w:val="00C8281B"/>
    <w:rsid w:val="00C9551E"/>
    <w:rsid w:val="00C97547"/>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A410B"/>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73E3"/>
    <w:rsid w:val="00EE3D9F"/>
    <w:rsid w:val="00EE45D8"/>
    <w:rsid w:val="00EF110B"/>
    <w:rsid w:val="00EF63DD"/>
    <w:rsid w:val="00F004CD"/>
    <w:rsid w:val="00F036AF"/>
    <w:rsid w:val="00F12507"/>
    <w:rsid w:val="00F17EF5"/>
    <w:rsid w:val="00F22EDA"/>
    <w:rsid w:val="00F26555"/>
    <w:rsid w:val="00F3224D"/>
    <w:rsid w:val="00F33E0E"/>
    <w:rsid w:val="00F3723B"/>
    <w:rsid w:val="00F40942"/>
    <w:rsid w:val="00F42F8D"/>
    <w:rsid w:val="00F472AE"/>
    <w:rsid w:val="00F5664C"/>
    <w:rsid w:val="00F64613"/>
    <w:rsid w:val="00F72B81"/>
    <w:rsid w:val="00F77A3E"/>
    <w:rsid w:val="00F82F31"/>
    <w:rsid w:val="00F840CB"/>
    <w:rsid w:val="00F90160"/>
    <w:rsid w:val="00F9182B"/>
    <w:rsid w:val="00FB050B"/>
    <w:rsid w:val="00FB7E80"/>
    <w:rsid w:val="00FC1AD7"/>
    <w:rsid w:val="00FC2590"/>
    <w:rsid w:val="00FC377D"/>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70947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FBB54-CBA1-4C12-88CA-D87B8A7B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2036</Words>
  <Characters>9987</Characters>
  <Application>Microsoft Office Word</Application>
  <DocSecurity>0</DocSecurity>
  <Lines>83</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2018-09-28T12:16:00Z</dcterms:created>
  <dcterms:modified xsi:type="dcterms:W3CDTF">2018-09-28T12:16:00Z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