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2318C7" w:rsidRDefault="002318C7" w:rsidP="00933B65">
      <w:pPr>
        <w:tabs>
          <w:tab w:val="right" w:pos="9720"/>
        </w:tabs>
        <w:ind w:right="-82"/>
        <w:rPr>
          <w:rFonts w:ascii="Book Antiqua" w:hAnsi="Book Antiqua" w:cs="Arial"/>
          <w:b/>
          <w:color w:val="000000"/>
        </w:rPr>
      </w:pPr>
    </w:p>
    <w:p w:rsidR="002318C7" w:rsidRDefault="002318C7" w:rsidP="00933B65">
      <w:pPr>
        <w:tabs>
          <w:tab w:val="right" w:pos="9720"/>
        </w:tabs>
        <w:ind w:right="-82"/>
        <w:rPr>
          <w:rFonts w:ascii="Book Antiqua" w:hAnsi="Book Antiqua" w:cs="Arial"/>
          <w:b/>
          <w:color w:val="000000"/>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8A64A7">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222070">
        <w:rPr>
          <w:rFonts w:ascii="Book Antiqua" w:hAnsi="Book Antiqua" w:cs="Arial"/>
          <w:caps/>
          <w:color w:val="000000"/>
        </w:rPr>
        <w:t>PA/09715/2016</w:t>
      </w:r>
    </w:p>
    <w:p w:rsidR="002318C7" w:rsidRPr="00F97703" w:rsidRDefault="002318C7" w:rsidP="008A64A7">
      <w:pPr>
        <w:tabs>
          <w:tab w:val="right" w:pos="9720"/>
        </w:tabs>
        <w:ind w:right="-82"/>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2318C7" w:rsidRPr="00F97703" w:rsidRDefault="002318C7"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098"/>
        <w:gridCol w:w="770"/>
        <w:gridCol w:w="3760"/>
      </w:tblGrid>
      <w:tr w:rsidR="00933B65" w:rsidRPr="002154EF" w:rsidTr="0014128D">
        <w:tc>
          <w:tcPr>
            <w:tcW w:w="5098"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530" w:type="dxa"/>
            <w:gridSpan w:val="2"/>
            <w:shd w:val="clear" w:color="auto" w:fill="auto"/>
          </w:tcPr>
          <w:p w:rsidR="00933B65" w:rsidRPr="002154EF" w:rsidRDefault="0014128D" w:rsidP="002154EF">
            <w:pPr>
              <w:jc w:val="both"/>
              <w:rPr>
                <w:rFonts w:ascii="Book Antiqua" w:hAnsi="Book Antiqua" w:cs="Arial"/>
                <w:b/>
                <w:color w:val="000000"/>
              </w:rPr>
            </w:pPr>
            <w:r>
              <w:rPr>
                <w:rFonts w:ascii="Book Antiqua" w:hAnsi="Book Antiqua" w:cs="Arial"/>
                <w:b/>
                <w:color w:val="000000"/>
              </w:rPr>
              <w:t xml:space="preserve">Decision and Reasons Promulgated </w:t>
            </w:r>
          </w:p>
        </w:tc>
      </w:tr>
      <w:tr w:rsidR="00933B65" w:rsidRPr="002154EF" w:rsidTr="0014128D">
        <w:tc>
          <w:tcPr>
            <w:tcW w:w="5098" w:type="dxa"/>
            <w:shd w:val="clear" w:color="auto" w:fill="auto"/>
          </w:tcPr>
          <w:p w:rsidR="00933B65" w:rsidRPr="002154EF" w:rsidRDefault="0014128D"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n</w:t>
            </w:r>
            <w:r w:rsidR="00222070">
              <w:rPr>
                <w:rFonts w:ascii="Book Antiqua" w:hAnsi="Book Antiqua" w:cs="Arial"/>
                <w:b/>
              </w:rPr>
              <w:t xml:space="preserve"> 13 September 2018</w:t>
            </w:r>
            <w:r w:rsidR="00933B65" w:rsidRPr="002154EF">
              <w:rPr>
                <w:rFonts w:ascii="Book Antiqua" w:hAnsi="Book Antiqua" w:cs="Arial"/>
                <w:b/>
              </w:rPr>
              <w:t xml:space="preserve"> </w:t>
            </w:r>
          </w:p>
        </w:tc>
        <w:tc>
          <w:tcPr>
            <w:tcW w:w="4530" w:type="dxa"/>
            <w:gridSpan w:val="2"/>
            <w:shd w:val="clear" w:color="auto" w:fill="auto"/>
          </w:tcPr>
          <w:p w:rsidR="00933B65" w:rsidRPr="002154EF" w:rsidRDefault="0014128D" w:rsidP="002154EF">
            <w:pPr>
              <w:jc w:val="both"/>
              <w:rPr>
                <w:rFonts w:ascii="Book Antiqua" w:hAnsi="Book Antiqua" w:cs="Arial"/>
                <w:b/>
              </w:rPr>
            </w:pPr>
            <w:r>
              <w:rPr>
                <w:rFonts w:ascii="Book Antiqua" w:hAnsi="Book Antiqua" w:cs="Arial"/>
                <w:b/>
              </w:rPr>
              <w:t xml:space="preserve">On 18 September 2018 </w:t>
            </w:r>
          </w:p>
        </w:tc>
      </w:tr>
      <w:tr w:rsidR="0014128D" w:rsidRPr="002154EF" w:rsidTr="0014128D">
        <w:trPr>
          <w:gridAfter w:val="1"/>
          <w:wAfter w:w="3760" w:type="dxa"/>
        </w:trPr>
        <w:tc>
          <w:tcPr>
            <w:tcW w:w="5868" w:type="dxa"/>
            <w:gridSpan w:val="2"/>
            <w:shd w:val="clear" w:color="auto" w:fill="auto"/>
          </w:tcPr>
          <w:p w:rsidR="0014128D" w:rsidRPr="002154EF" w:rsidRDefault="0014128D" w:rsidP="002154EF">
            <w:pPr>
              <w:jc w:val="both"/>
              <w:rPr>
                <w:rFonts w:ascii="Book Antiqua" w:hAnsi="Book Antiqua" w:cs="Arial"/>
                <w:b/>
              </w:rPr>
            </w:pPr>
          </w:p>
        </w:tc>
      </w:tr>
    </w:tbl>
    <w:p w:rsidR="002318C7" w:rsidRDefault="002318C7"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222070" w:rsidP="00933B65">
      <w:pPr>
        <w:jc w:val="center"/>
        <w:rPr>
          <w:rFonts w:ascii="Book Antiqua" w:hAnsi="Book Antiqua" w:cs="Arial"/>
          <w:b/>
        </w:rPr>
      </w:pPr>
      <w:r>
        <w:rPr>
          <w:rFonts w:ascii="Book Antiqua" w:hAnsi="Book Antiqua" w:cs="Arial"/>
          <w:b/>
        </w:rPr>
        <w:t xml:space="preserve">MOHSEN </w:t>
      </w:r>
      <w:r w:rsidR="00BB05C6">
        <w:rPr>
          <w:rFonts w:ascii="Book Antiqua" w:hAnsi="Book Antiqua" w:cs="Arial"/>
          <w:b/>
        </w:rPr>
        <w:t>[</w:t>
      </w:r>
      <w:r>
        <w:rPr>
          <w:rFonts w:ascii="Book Antiqua" w:hAnsi="Book Antiqua" w:cs="Arial"/>
          <w:b/>
        </w:rPr>
        <w:t>J</w:t>
      </w:r>
      <w:r w:rsidR="00BB05C6">
        <w:rPr>
          <w:rFonts w:ascii="Book Antiqua" w:hAnsi="Book Antiqua" w:cs="Arial"/>
          <w:b/>
        </w:rPr>
        <w:t>]</w:t>
      </w:r>
    </w:p>
    <w:p w:rsidR="0014128D" w:rsidRPr="00F97703" w:rsidRDefault="0014128D" w:rsidP="00933B65">
      <w:pPr>
        <w:jc w:val="center"/>
        <w:rPr>
          <w:rFonts w:ascii="Book Antiqua" w:hAnsi="Book Antiqua" w:cs="Arial"/>
          <w:b/>
        </w:rPr>
      </w:pPr>
      <w:r>
        <w:rPr>
          <w:rFonts w:ascii="Book Antiqua" w:hAnsi="Book Antiqua" w:cs="Arial"/>
          <w:b/>
        </w:rPr>
        <w:t xml:space="preserve">(anonymity direction not made)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0"/>
    </w:p>
    <w:p w:rsidR="00933B65" w:rsidRPr="00F97703" w:rsidRDefault="00933B65" w:rsidP="00933B65">
      <w:pPr>
        <w:jc w:val="center"/>
        <w:rPr>
          <w:rFonts w:ascii="Book Antiqua" w:hAnsi="Book Antiqua" w:cs="Arial"/>
          <w:b/>
        </w:rPr>
      </w:pPr>
    </w:p>
    <w:p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F56A3">
        <w:rPr>
          <w:rFonts w:ascii="Book Antiqua" w:hAnsi="Book Antiqua" w:cs="Arial"/>
        </w:rPr>
        <w:t xml:space="preserve">Mr G P McGowan, of </w:t>
      </w:r>
      <w:r w:rsidR="00222070">
        <w:rPr>
          <w:rFonts w:ascii="Book Antiqua" w:hAnsi="Book Antiqua" w:cs="Arial"/>
        </w:rPr>
        <w:t xml:space="preserve">Quinn, Martin &amp; </w:t>
      </w:r>
      <w:proofErr w:type="spellStart"/>
      <w:r w:rsidR="00222070">
        <w:rPr>
          <w:rFonts w:ascii="Book Antiqua" w:hAnsi="Book Antiqua" w:cs="Arial"/>
        </w:rPr>
        <w:t>Langan</w:t>
      </w:r>
      <w:proofErr w:type="spellEnd"/>
      <w:r w:rsidR="00222070">
        <w:rPr>
          <w:rFonts w:ascii="Book Antiqua" w:hAnsi="Book Antiqua" w:cs="Arial"/>
        </w:rPr>
        <w:t xml:space="preserve">, </w:t>
      </w:r>
      <w:r w:rsidR="003D7D3D">
        <w:rPr>
          <w:rFonts w:ascii="Book Antiqua" w:hAnsi="Book Antiqua" w:cs="Arial"/>
        </w:rPr>
        <w:t>Solicitors</w:t>
      </w:r>
    </w:p>
    <w:p w:rsidR="00933B65"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222070">
        <w:rPr>
          <w:rFonts w:ascii="Book Antiqua" w:hAnsi="Book Antiqua" w:cs="Arial"/>
        </w:rPr>
        <w:t xml:space="preserve">Mr A Govan, </w:t>
      </w:r>
      <w:r w:rsidR="003D7D3D">
        <w:rPr>
          <w:rFonts w:ascii="Book Antiqua" w:hAnsi="Book Antiqua" w:cs="Arial"/>
        </w:rPr>
        <w:t>Senior</w:t>
      </w:r>
      <w:r>
        <w:rPr>
          <w:rFonts w:ascii="Book Antiqua" w:hAnsi="Book Antiqua" w:cs="Arial"/>
        </w:rPr>
        <w:t xml:space="preserve"> Home Office Presenting Officer</w:t>
      </w:r>
    </w:p>
    <w:p w:rsidR="00DE378C" w:rsidRPr="00F97703" w:rsidRDefault="00DE378C" w:rsidP="008A64A7">
      <w:pPr>
        <w:tabs>
          <w:tab w:val="left" w:pos="2520"/>
        </w:tabs>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321C6F" w:rsidRDefault="00933B65" w:rsidP="00734D2D">
      <w:pPr>
        <w:tabs>
          <w:tab w:val="left" w:pos="2520"/>
        </w:tabs>
        <w:jc w:val="center"/>
        <w:rPr>
          <w:rFonts w:ascii="Book Antiqua" w:hAnsi="Book Antiqua" w:cs="Arial"/>
          <w:b/>
          <w:u w:val="single"/>
        </w:rPr>
      </w:pPr>
      <w:r w:rsidRPr="00F97703">
        <w:rPr>
          <w:rFonts w:ascii="Book Antiqua" w:hAnsi="Book Antiqua" w:cs="Arial"/>
          <w:b/>
          <w:u w:val="single"/>
        </w:rPr>
        <w:t>DETERMINATION AND REASONS</w:t>
      </w:r>
    </w:p>
    <w:p w:rsidR="00DE378C" w:rsidRPr="002B54F9" w:rsidRDefault="00DE378C" w:rsidP="00734D2D">
      <w:pPr>
        <w:tabs>
          <w:tab w:val="left" w:pos="2520"/>
        </w:tabs>
        <w:jc w:val="center"/>
        <w:rPr>
          <w:rFonts w:ascii="Book Antiqua" w:hAnsi="Book Antiqua" w:cs="Arial"/>
          <w:sz w:val="20"/>
          <w:szCs w:val="20"/>
        </w:rPr>
      </w:pPr>
    </w:p>
    <w:p w:rsidR="00D31D54" w:rsidRDefault="00007BAC" w:rsidP="00007BAC">
      <w:pPr>
        <w:numPr>
          <w:ilvl w:val="0"/>
          <w:numId w:val="2"/>
        </w:numPr>
        <w:spacing w:before="240"/>
        <w:jc w:val="both"/>
        <w:rPr>
          <w:rFonts w:ascii="Book Antiqua" w:hAnsi="Book Antiqua" w:cs="Arial"/>
        </w:rPr>
      </w:pPr>
      <w:r>
        <w:rPr>
          <w:rFonts w:ascii="Book Antiqua" w:hAnsi="Book Antiqua" w:cs="Arial"/>
        </w:rPr>
        <w:t>Th</w:t>
      </w:r>
      <w:r w:rsidR="00D31D54">
        <w:rPr>
          <w:rFonts w:ascii="Book Antiqua" w:hAnsi="Book Antiqua" w:cs="Arial"/>
        </w:rPr>
        <w:t>is decision is to be read with:</w:t>
      </w:r>
    </w:p>
    <w:p w:rsidR="00007BAC" w:rsidRPr="00D31D54" w:rsidRDefault="00D31D54" w:rsidP="00224440">
      <w:pPr>
        <w:numPr>
          <w:ilvl w:val="1"/>
          <w:numId w:val="2"/>
        </w:numPr>
        <w:spacing w:before="240"/>
        <w:jc w:val="both"/>
        <w:rPr>
          <w:rFonts w:ascii="Book Antiqua" w:hAnsi="Book Antiqua" w:cs="Arial"/>
        </w:rPr>
      </w:pPr>
      <w:r w:rsidRPr="00D31D54">
        <w:rPr>
          <w:rFonts w:ascii="Book Antiqua" w:hAnsi="Book Antiqua" w:cs="Arial"/>
        </w:rPr>
        <w:t>The</w:t>
      </w:r>
      <w:r w:rsidR="00007BAC" w:rsidRPr="00D31D54">
        <w:rPr>
          <w:rFonts w:ascii="Book Antiqua" w:hAnsi="Book Antiqua" w:cs="Arial"/>
        </w:rPr>
        <w:t xml:space="preserve"> respondent</w:t>
      </w:r>
      <w:r>
        <w:rPr>
          <w:rFonts w:ascii="Book Antiqua" w:hAnsi="Book Antiqua" w:cs="Arial"/>
        </w:rPr>
        <w:t xml:space="preserve">’s decision dated </w:t>
      </w:r>
      <w:r w:rsidR="005A3A08">
        <w:rPr>
          <w:rFonts w:ascii="Book Antiqua" w:hAnsi="Book Antiqua" w:cs="Arial"/>
        </w:rPr>
        <w:t>30 August 2016,</w:t>
      </w:r>
      <w:r w:rsidR="00007BAC" w:rsidRPr="00D31D54">
        <w:rPr>
          <w:rFonts w:ascii="Book Antiqua" w:hAnsi="Book Antiqua" w:cs="Arial"/>
        </w:rPr>
        <w:t xml:space="preserve"> refus</w:t>
      </w:r>
      <w:r w:rsidR="000777B7">
        <w:rPr>
          <w:rFonts w:ascii="Book Antiqua" w:hAnsi="Book Antiqua" w:cs="Arial"/>
        </w:rPr>
        <w:t>ing the appellant’s</w:t>
      </w:r>
      <w:r w:rsidR="00007BAC" w:rsidRPr="00D31D54">
        <w:rPr>
          <w:rFonts w:ascii="Book Antiqua" w:hAnsi="Book Antiqua" w:cs="Arial"/>
        </w:rPr>
        <w:t xml:space="preserve"> </w:t>
      </w:r>
      <w:r w:rsidR="005A3A08">
        <w:rPr>
          <w:rFonts w:ascii="Book Antiqua" w:hAnsi="Book Antiqua" w:cs="Arial"/>
        </w:rPr>
        <w:t xml:space="preserve">protection </w:t>
      </w:r>
      <w:r w:rsidR="00007BAC" w:rsidRPr="00D31D54">
        <w:rPr>
          <w:rFonts w:ascii="Book Antiqua" w:hAnsi="Book Antiqua" w:cs="Arial"/>
        </w:rPr>
        <w:t>claim</w:t>
      </w:r>
      <w:r w:rsidR="00010C19">
        <w:rPr>
          <w:rFonts w:ascii="Book Antiqua" w:hAnsi="Book Antiqua" w:cs="Arial"/>
        </w:rPr>
        <w:t>, based on being an Iranian Christian convert</w:t>
      </w:r>
      <w:r w:rsidR="000777B7">
        <w:rPr>
          <w:rFonts w:ascii="Book Antiqua" w:hAnsi="Book Antiqua" w:cs="Arial"/>
        </w:rPr>
        <w:t>.</w:t>
      </w:r>
      <w:r w:rsidR="00007BAC" w:rsidRPr="00D31D54">
        <w:rPr>
          <w:rFonts w:ascii="Book Antiqua" w:hAnsi="Book Antiqua" w:cs="Arial"/>
        </w:rPr>
        <w:t xml:space="preserve"> </w:t>
      </w:r>
    </w:p>
    <w:p w:rsidR="000777B7" w:rsidRDefault="000777B7" w:rsidP="00224440">
      <w:pPr>
        <w:numPr>
          <w:ilvl w:val="1"/>
          <w:numId w:val="2"/>
        </w:numPr>
        <w:spacing w:before="240"/>
        <w:jc w:val="both"/>
        <w:rPr>
          <w:rFonts w:ascii="Book Antiqua" w:hAnsi="Book Antiqua" w:cs="Arial"/>
        </w:rPr>
      </w:pPr>
      <w:r>
        <w:rPr>
          <w:rFonts w:ascii="Book Antiqua" w:hAnsi="Book Antiqua" w:cs="Arial"/>
        </w:rPr>
        <w:t>The appellant’s grounds of appeal to the First-tier Tribunal.</w:t>
      </w:r>
    </w:p>
    <w:p w:rsidR="00007BAC" w:rsidRDefault="000777B7" w:rsidP="00224440">
      <w:pPr>
        <w:numPr>
          <w:ilvl w:val="1"/>
          <w:numId w:val="2"/>
        </w:numPr>
        <w:spacing w:before="240"/>
        <w:jc w:val="both"/>
        <w:rPr>
          <w:rFonts w:ascii="Book Antiqua" w:hAnsi="Book Antiqua" w:cs="Arial"/>
        </w:rPr>
      </w:pPr>
      <w:r>
        <w:rPr>
          <w:rFonts w:ascii="Book Antiqua" w:hAnsi="Book Antiqua" w:cs="Arial"/>
        </w:rPr>
        <w:lastRenderedPageBreak/>
        <w:t xml:space="preserve">The decision of </w:t>
      </w:r>
      <w:proofErr w:type="spellStart"/>
      <w:r>
        <w:rPr>
          <w:rFonts w:ascii="Book Antiqua" w:hAnsi="Book Antiqua" w:cs="Arial"/>
        </w:rPr>
        <w:t>FtT</w:t>
      </w:r>
      <w:proofErr w:type="spellEnd"/>
      <w:r w:rsidR="00007BAC">
        <w:rPr>
          <w:rFonts w:ascii="Book Antiqua" w:hAnsi="Book Antiqua" w:cs="Arial"/>
        </w:rPr>
        <w:t xml:space="preserve"> Judge </w:t>
      </w:r>
      <w:r w:rsidR="00826209">
        <w:rPr>
          <w:rFonts w:ascii="Book Antiqua" w:hAnsi="Book Antiqua" w:cs="Arial"/>
        </w:rPr>
        <w:t>Mrs D H Clapham,</w:t>
      </w:r>
      <w:r w:rsidR="00007BAC">
        <w:rPr>
          <w:rFonts w:ascii="Book Antiqua" w:hAnsi="Book Antiqua" w:cs="Arial"/>
        </w:rPr>
        <w:t xml:space="preserve"> promulgated on</w:t>
      </w:r>
      <w:r w:rsidR="00826209">
        <w:rPr>
          <w:rFonts w:ascii="Book Antiqua" w:hAnsi="Book Antiqua" w:cs="Arial"/>
        </w:rPr>
        <w:t xml:space="preserve"> 23 October 2017</w:t>
      </w:r>
      <w:r w:rsidR="004A1B07">
        <w:rPr>
          <w:rFonts w:ascii="Book Antiqua" w:hAnsi="Book Antiqua" w:cs="Arial"/>
        </w:rPr>
        <w:t>.</w:t>
      </w:r>
      <w:r w:rsidR="00007BAC">
        <w:rPr>
          <w:rFonts w:ascii="Book Antiqua" w:hAnsi="Book Antiqua" w:cs="Arial"/>
        </w:rPr>
        <w:t xml:space="preserve"> </w:t>
      </w:r>
    </w:p>
    <w:p w:rsidR="00F47052" w:rsidRDefault="00C15A7E" w:rsidP="00224440">
      <w:pPr>
        <w:numPr>
          <w:ilvl w:val="1"/>
          <w:numId w:val="2"/>
        </w:numPr>
        <w:spacing w:before="240"/>
        <w:jc w:val="both"/>
        <w:rPr>
          <w:rFonts w:ascii="Book Antiqua" w:hAnsi="Book Antiqua"/>
        </w:rPr>
      </w:pPr>
      <w:r>
        <w:rPr>
          <w:rFonts w:ascii="Book Antiqua" w:hAnsi="Book Antiqua" w:cs="Arial"/>
        </w:rPr>
        <w:t xml:space="preserve">The appellant’s grounds of appeal </w:t>
      </w:r>
      <w:r w:rsidR="00F125AD">
        <w:rPr>
          <w:rFonts w:ascii="Book Antiqua" w:hAnsi="Book Antiqua" w:cs="Arial"/>
        </w:rPr>
        <w:t xml:space="preserve">to the UT, stated </w:t>
      </w:r>
      <w:r>
        <w:rPr>
          <w:rFonts w:ascii="Book Antiqua" w:hAnsi="Book Antiqua" w:cs="Arial"/>
        </w:rPr>
        <w:t xml:space="preserve">in the </w:t>
      </w:r>
      <w:r w:rsidRPr="00F1787C">
        <w:rPr>
          <w:rFonts w:ascii="Book Antiqua" w:hAnsi="Book Antiqua"/>
        </w:rPr>
        <w:t xml:space="preserve">application for permission </w:t>
      </w:r>
      <w:r w:rsidR="00470675">
        <w:rPr>
          <w:rFonts w:ascii="Book Antiqua" w:hAnsi="Book Antiqua"/>
        </w:rPr>
        <w:t>filed on</w:t>
      </w:r>
      <w:r w:rsidR="00F5439C">
        <w:rPr>
          <w:rFonts w:ascii="Book Antiqua" w:hAnsi="Book Antiqua"/>
        </w:rPr>
        <w:t xml:space="preserve"> 20 December 2017 (the </w:t>
      </w:r>
      <w:proofErr w:type="spellStart"/>
      <w:r w:rsidR="00F5439C">
        <w:rPr>
          <w:rFonts w:ascii="Book Antiqua" w:hAnsi="Book Antiqua"/>
        </w:rPr>
        <w:t>FtT</w:t>
      </w:r>
      <w:proofErr w:type="spellEnd"/>
      <w:r w:rsidR="00F5439C">
        <w:rPr>
          <w:rFonts w:ascii="Book Antiqua" w:hAnsi="Book Antiqua"/>
        </w:rPr>
        <w:t xml:space="preserve"> having refused permission).</w:t>
      </w:r>
    </w:p>
    <w:p w:rsidR="00007BAC" w:rsidRDefault="00F47052" w:rsidP="00224440">
      <w:pPr>
        <w:numPr>
          <w:ilvl w:val="1"/>
          <w:numId w:val="2"/>
        </w:numPr>
        <w:spacing w:before="240"/>
        <w:jc w:val="both"/>
        <w:rPr>
          <w:rFonts w:ascii="Book Antiqua" w:hAnsi="Book Antiqua"/>
        </w:rPr>
      </w:pPr>
      <w:r>
        <w:rPr>
          <w:rFonts w:ascii="Book Antiqua" w:hAnsi="Book Antiqua"/>
        </w:rPr>
        <w:t>The grant of permission</w:t>
      </w:r>
      <w:r w:rsidR="00A9573C">
        <w:rPr>
          <w:rFonts w:ascii="Book Antiqua" w:hAnsi="Book Antiqua"/>
        </w:rPr>
        <w:t xml:space="preserve"> by UT Judge McWilliam, </w:t>
      </w:r>
      <w:r w:rsidR="004F1BC0">
        <w:rPr>
          <w:rFonts w:ascii="Book Antiqua" w:hAnsi="Book Antiqua"/>
        </w:rPr>
        <w:t>dated 19 January 2018.</w:t>
      </w:r>
      <w:r w:rsidR="00470675">
        <w:rPr>
          <w:rFonts w:ascii="Book Antiqua" w:hAnsi="Book Antiqua"/>
        </w:rPr>
        <w:t xml:space="preserve"> </w:t>
      </w:r>
    </w:p>
    <w:p w:rsidR="00F125AD" w:rsidRDefault="00F125AD" w:rsidP="00224440">
      <w:pPr>
        <w:numPr>
          <w:ilvl w:val="1"/>
          <w:numId w:val="2"/>
        </w:numPr>
        <w:spacing w:before="240"/>
        <w:jc w:val="both"/>
        <w:rPr>
          <w:rFonts w:ascii="Book Antiqua" w:hAnsi="Book Antiqua"/>
        </w:rPr>
      </w:pPr>
      <w:r>
        <w:rPr>
          <w:rFonts w:ascii="Book Antiqua" w:hAnsi="Book Antiqua"/>
        </w:rPr>
        <w:t xml:space="preserve">The respondent’s rule 24 response, dated </w:t>
      </w:r>
      <w:r w:rsidR="00354166">
        <w:rPr>
          <w:rFonts w:ascii="Book Antiqua" w:hAnsi="Book Antiqua"/>
        </w:rPr>
        <w:t>14 February 2018</w:t>
      </w:r>
      <w:r>
        <w:rPr>
          <w:rFonts w:ascii="Book Antiqua" w:hAnsi="Book Antiqua"/>
        </w:rPr>
        <w:t>, to the grant of permission</w:t>
      </w:r>
      <w:r w:rsidR="00AA199C">
        <w:rPr>
          <w:rFonts w:ascii="Book Antiqua" w:hAnsi="Book Antiqua"/>
        </w:rPr>
        <w:t>.</w:t>
      </w:r>
    </w:p>
    <w:p w:rsidR="00BE137F" w:rsidRPr="00935485" w:rsidRDefault="00070C64" w:rsidP="00007BAC">
      <w:pPr>
        <w:numPr>
          <w:ilvl w:val="0"/>
          <w:numId w:val="2"/>
        </w:numPr>
        <w:spacing w:before="240"/>
        <w:jc w:val="both"/>
        <w:rPr>
          <w:rFonts w:ascii="Book Antiqua" w:hAnsi="Book Antiqua"/>
        </w:rPr>
      </w:pPr>
      <w:r>
        <w:rPr>
          <w:rFonts w:ascii="Book Antiqua" w:hAnsi="Book Antiqua" w:cs="Arial"/>
        </w:rPr>
        <w:t xml:space="preserve">Having considered the grounds and submissions, I indicated </w:t>
      </w:r>
      <w:r w:rsidR="00BE137F">
        <w:rPr>
          <w:rFonts w:ascii="Book Antiqua" w:hAnsi="Book Antiqua" w:cs="Arial"/>
        </w:rPr>
        <w:t>my decision, along the following lines.</w:t>
      </w:r>
    </w:p>
    <w:p w:rsidR="00935485" w:rsidRDefault="001C7B70" w:rsidP="00007BAC">
      <w:pPr>
        <w:numPr>
          <w:ilvl w:val="0"/>
          <w:numId w:val="2"/>
        </w:numPr>
        <w:spacing w:before="240"/>
        <w:jc w:val="both"/>
        <w:rPr>
          <w:rFonts w:ascii="Book Antiqua" w:hAnsi="Book Antiqua"/>
        </w:rPr>
      </w:pPr>
      <w:r>
        <w:rPr>
          <w:rFonts w:ascii="Book Antiqua" w:hAnsi="Book Antiqua"/>
        </w:rPr>
        <w:t xml:space="preserve">The judge bases her decision on an adverse credibility finding.  She says at paragraph 98 that </w:t>
      </w:r>
      <w:r w:rsidR="00653FC9">
        <w:rPr>
          <w:rFonts w:ascii="Book Antiqua" w:hAnsi="Book Antiqua"/>
        </w:rPr>
        <w:t>this is based on a number of points, not individually significant</w:t>
      </w:r>
      <w:r w:rsidR="00B71712">
        <w:rPr>
          <w:rFonts w:ascii="Book Antiqua" w:hAnsi="Book Antiqua"/>
        </w:rPr>
        <w:t>,</w:t>
      </w:r>
      <w:r w:rsidR="003172E9">
        <w:rPr>
          <w:rFonts w:ascii="Book Antiqua" w:hAnsi="Book Antiqua"/>
        </w:rPr>
        <w:t xml:space="preserve"> but decisive when taken together.</w:t>
      </w:r>
    </w:p>
    <w:p w:rsidR="0021753F" w:rsidRDefault="003172E9" w:rsidP="00007BAC">
      <w:pPr>
        <w:numPr>
          <w:ilvl w:val="0"/>
          <w:numId w:val="2"/>
        </w:numPr>
        <w:spacing w:before="240"/>
        <w:jc w:val="both"/>
        <w:rPr>
          <w:rFonts w:ascii="Book Antiqua" w:hAnsi="Book Antiqua"/>
        </w:rPr>
      </w:pPr>
      <w:r>
        <w:rPr>
          <w:rFonts w:ascii="Book Antiqua" w:hAnsi="Book Antiqua"/>
        </w:rPr>
        <w:t>Her first reason</w:t>
      </w:r>
      <w:r w:rsidR="008C171B">
        <w:rPr>
          <w:rFonts w:ascii="Book Antiqua" w:hAnsi="Book Antiqua"/>
        </w:rPr>
        <w:t xml:space="preserve"> (paragraphs 99 and 100) is a discrepancy over whether </w:t>
      </w:r>
      <w:r w:rsidR="0087088C">
        <w:rPr>
          <w:rFonts w:ascii="Book Antiqua" w:hAnsi="Book Antiqua"/>
        </w:rPr>
        <w:t xml:space="preserve">Saeed </w:t>
      </w:r>
      <w:r w:rsidR="008211B8">
        <w:rPr>
          <w:rFonts w:ascii="Book Antiqua" w:hAnsi="Book Antiqua"/>
        </w:rPr>
        <w:t xml:space="preserve">was a friend of the appellant “from school” or </w:t>
      </w:r>
      <w:r w:rsidR="00055657">
        <w:rPr>
          <w:rFonts w:ascii="Book Antiqua" w:hAnsi="Book Antiqua"/>
        </w:rPr>
        <w:t xml:space="preserve">since their childhood in the same neighbourhood, having been at different schools.  </w:t>
      </w:r>
      <w:r w:rsidR="00807C2A">
        <w:rPr>
          <w:rFonts w:ascii="Book Antiqua" w:hAnsi="Book Antiqua"/>
        </w:rPr>
        <w:t xml:space="preserve">Although the judge finds this a “clear inconsistency” </w:t>
      </w:r>
      <w:r w:rsidR="008C171B">
        <w:rPr>
          <w:rFonts w:ascii="Book Antiqua" w:hAnsi="Book Antiqua"/>
        </w:rPr>
        <w:t xml:space="preserve">the </w:t>
      </w:r>
      <w:r w:rsidR="00844FF8">
        <w:rPr>
          <w:rFonts w:ascii="Book Antiqua" w:hAnsi="Book Antiqua"/>
        </w:rPr>
        <w:t xml:space="preserve">distinction depends on </w:t>
      </w:r>
      <w:r w:rsidR="0031272B">
        <w:rPr>
          <w:rFonts w:ascii="Book Antiqua" w:hAnsi="Book Antiqua"/>
        </w:rPr>
        <w:t xml:space="preserve">a rather strict </w:t>
      </w:r>
      <w:r w:rsidR="00844FF8">
        <w:rPr>
          <w:rFonts w:ascii="Book Antiqua" w:hAnsi="Book Antiqua"/>
        </w:rPr>
        <w:t>interpretation of the phrase “from school”</w:t>
      </w:r>
      <w:r w:rsidR="0031272B">
        <w:rPr>
          <w:rFonts w:ascii="Book Antiqua" w:hAnsi="Book Antiqua"/>
        </w:rPr>
        <w:t>.  As Mr McGowan argued, that</w:t>
      </w:r>
      <w:r w:rsidR="00844FF8">
        <w:rPr>
          <w:rFonts w:ascii="Book Antiqua" w:hAnsi="Book Antiqua"/>
        </w:rPr>
        <w:t xml:space="preserve"> might mean “since school days”</w:t>
      </w:r>
      <w:r w:rsidR="0031272B">
        <w:rPr>
          <w:rFonts w:ascii="Book Antiqua" w:hAnsi="Book Antiqua"/>
        </w:rPr>
        <w:t xml:space="preserve">.  </w:t>
      </w:r>
      <w:r w:rsidR="00396227">
        <w:rPr>
          <w:rFonts w:ascii="Book Antiqua" w:hAnsi="Book Antiqua"/>
        </w:rPr>
        <w:t xml:space="preserve">Subtle distinctions may be lost, or falsely detected, in evidence which has been translated from Farsi to English.  </w:t>
      </w:r>
      <w:r w:rsidR="002F5782">
        <w:rPr>
          <w:rFonts w:ascii="Book Antiqua" w:hAnsi="Book Antiqua"/>
        </w:rPr>
        <w:t>T</w:t>
      </w:r>
      <w:r w:rsidR="0057042F">
        <w:rPr>
          <w:rFonts w:ascii="Book Antiqua" w:hAnsi="Book Antiqua"/>
        </w:rPr>
        <w:t>his is a weak reason for discrediting an account of conversion.</w:t>
      </w:r>
    </w:p>
    <w:p w:rsidR="00B01405" w:rsidRDefault="0021753F" w:rsidP="00007BAC">
      <w:pPr>
        <w:numPr>
          <w:ilvl w:val="0"/>
          <w:numId w:val="2"/>
        </w:numPr>
        <w:spacing w:before="240"/>
        <w:jc w:val="both"/>
        <w:rPr>
          <w:rFonts w:ascii="Book Antiqua" w:hAnsi="Book Antiqua"/>
        </w:rPr>
      </w:pPr>
      <w:r>
        <w:rPr>
          <w:rFonts w:ascii="Book Antiqua" w:hAnsi="Book Antiqua"/>
        </w:rPr>
        <w:t xml:space="preserve">The second reason (paragraph 101) goes to whether the process of conversion took one month, or two months, or </w:t>
      </w:r>
      <w:r w:rsidR="001A3568">
        <w:rPr>
          <w:rFonts w:ascii="Book Antiqua" w:hAnsi="Book Antiqua"/>
        </w:rPr>
        <w:t>as suggested in oral evidence was “literally overnight”</w:t>
      </w:r>
      <w:r w:rsidR="000C75AF">
        <w:rPr>
          <w:rFonts w:ascii="Book Antiqua" w:hAnsi="Book Antiqua"/>
        </w:rPr>
        <w:t xml:space="preserve">, a narrative </w:t>
      </w:r>
      <w:r w:rsidR="00EE2710">
        <w:rPr>
          <w:rFonts w:ascii="Book Antiqua" w:hAnsi="Book Antiqua"/>
        </w:rPr>
        <w:t>t</w:t>
      </w:r>
      <w:r w:rsidR="000C75AF">
        <w:rPr>
          <w:rFonts w:ascii="Book Antiqua" w:hAnsi="Book Antiqua"/>
        </w:rPr>
        <w:t xml:space="preserve">he </w:t>
      </w:r>
      <w:r w:rsidR="00EE2710">
        <w:rPr>
          <w:rFonts w:ascii="Book Antiqua" w:hAnsi="Book Antiqua"/>
        </w:rPr>
        <w:t xml:space="preserve">judge </w:t>
      </w:r>
      <w:r w:rsidR="000C75AF">
        <w:rPr>
          <w:rFonts w:ascii="Book Antiqua" w:hAnsi="Book Antiqua"/>
        </w:rPr>
        <w:t xml:space="preserve">saw as being </w:t>
      </w:r>
      <w:r w:rsidR="00FB11E6">
        <w:rPr>
          <w:rFonts w:ascii="Book Antiqua" w:hAnsi="Book Antiqua"/>
        </w:rPr>
        <w:t>“</w:t>
      </w:r>
      <w:r w:rsidR="000C75AF">
        <w:rPr>
          <w:rFonts w:ascii="Book Antiqua" w:hAnsi="Book Antiqua"/>
        </w:rPr>
        <w:t>cobbled together on the hoof</w:t>
      </w:r>
      <w:r w:rsidR="00FB11E6">
        <w:rPr>
          <w:rFonts w:ascii="Book Antiqua" w:hAnsi="Book Antiqua"/>
        </w:rPr>
        <w:t>”</w:t>
      </w:r>
      <w:r w:rsidR="001A3568">
        <w:rPr>
          <w:rFonts w:ascii="Book Antiqua" w:hAnsi="Book Antiqua"/>
        </w:rPr>
        <w:t xml:space="preserve">.  </w:t>
      </w:r>
      <w:r w:rsidR="00FB11E6">
        <w:rPr>
          <w:rFonts w:ascii="Book Antiqua" w:hAnsi="Book Antiqua"/>
        </w:rPr>
        <w:t xml:space="preserve">Mr McGowan submitted that the appellant did not say he experienced an overnight conversion, </w:t>
      </w:r>
      <w:r w:rsidR="008153B3">
        <w:rPr>
          <w:rFonts w:ascii="Book Antiqua" w:hAnsi="Book Antiqua"/>
        </w:rPr>
        <w:t>but described a gradual</w:t>
      </w:r>
      <w:r w:rsidR="00FB11E6">
        <w:rPr>
          <w:rFonts w:ascii="Book Antiqua" w:hAnsi="Book Antiqua"/>
        </w:rPr>
        <w:t xml:space="preserve"> process.  The judge narrates the oral evidence in considerable detail, </w:t>
      </w:r>
      <w:r w:rsidR="00482EDF">
        <w:rPr>
          <w:rFonts w:ascii="Book Antiqua" w:hAnsi="Book Antiqua"/>
        </w:rPr>
        <w:t>but no reference to overnight conversion is to be found.</w:t>
      </w:r>
      <w:r w:rsidR="00B01405">
        <w:rPr>
          <w:rFonts w:ascii="Book Antiqua" w:hAnsi="Book Antiqua"/>
        </w:rPr>
        <w:t xml:space="preserve"> This reason lacks an identifiable basis in the evidence.</w:t>
      </w:r>
    </w:p>
    <w:p w:rsidR="005C5432" w:rsidRDefault="00B01405" w:rsidP="00007BAC">
      <w:pPr>
        <w:numPr>
          <w:ilvl w:val="0"/>
          <w:numId w:val="2"/>
        </w:numPr>
        <w:spacing w:before="240"/>
        <w:jc w:val="both"/>
        <w:rPr>
          <w:rFonts w:ascii="Book Antiqua" w:hAnsi="Book Antiqua"/>
        </w:rPr>
      </w:pPr>
      <w:r>
        <w:rPr>
          <w:rFonts w:ascii="Book Antiqua" w:hAnsi="Book Antiqua"/>
        </w:rPr>
        <w:t>The next reason (paragraph 102) is similarly flawed.</w:t>
      </w:r>
      <w:r w:rsidR="00334A90">
        <w:rPr>
          <w:rFonts w:ascii="Book Antiqua" w:hAnsi="Book Antiqua"/>
        </w:rPr>
        <w:t xml:space="preserve">  The judge der</w:t>
      </w:r>
      <w:r w:rsidR="00BB4DD2">
        <w:rPr>
          <w:rFonts w:ascii="Book Antiqua" w:hAnsi="Book Antiqua"/>
        </w:rPr>
        <w:t>ives</w:t>
      </w:r>
      <w:r w:rsidR="00334A90">
        <w:rPr>
          <w:rFonts w:ascii="Book Antiqua" w:hAnsi="Book Antiqua"/>
        </w:rPr>
        <w:t xml:space="preserve"> from </w:t>
      </w:r>
      <w:r w:rsidR="00B91839">
        <w:rPr>
          <w:rFonts w:ascii="Book Antiqua" w:hAnsi="Book Antiqua"/>
        </w:rPr>
        <w:t>a</w:t>
      </w:r>
      <w:r w:rsidR="00334A90">
        <w:rPr>
          <w:rFonts w:ascii="Book Antiqua" w:hAnsi="Book Antiqua"/>
        </w:rPr>
        <w:t xml:space="preserve"> </w:t>
      </w:r>
      <w:r w:rsidR="00BB4DD2">
        <w:rPr>
          <w:rFonts w:ascii="Book Antiqua" w:hAnsi="Book Antiqua"/>
        </w:rPr>
        <w:t>statement</w:t>
      </w:r>
      <w:r w:rsidR="00334A90">
        <w:rPr>
          <w:rFonts w:ascii="Book Antiqua" w:hAnsi="Book Antiqua"/>
        </w:rPr>
        <w:t xml:space="preserve"> the idea that the appellant had </w:t>
      </w:r>
      <w:r w:rsidR="00BB4DD2">
        <w:rPr>
          <w:rFonts w:ascii="Book Antiqua" w:hAnsi="Book Antiqua"/>
        </w:rPr>
        <w:t>“burning” and “urgent”</w:t>
      </w:r>
      <w:r w:rsidR="00E958B1">
        <w:rPr>
          <w:rFonts w:ascii="Book Antiqua" w:hAnsi="Book Antiqua"/>
        </w:rPr>
        <w:t xml:space="preserve"> questions about Christianity</w:t>
      </w:r>
      <w:r w:rsidR="002618C7">
        <w:rPr>
          <w:rFonts w:ascii="Book Antiqua" w:hAnsi="Book Antiqua"/>
        </w:rPr>
        <w:t xml:space="preserve"> which he failed to explain, and </w:t>
      </w:r>
      <w:r w:rsidR="00B91839">
        <w:rPr>
          <w:rFonts w:ascii="Book Antiqua" w:hAnsi="Book Antiqua"/>
        </w:rPr>
        <w:t xml:space="preserve">she </w:t>
      </w:r>
      <w:r w:rsidR="00C312DC">
        <w:rPr>
          <w:rFonts w:ascii="Book Antiqua" w:hAnsi="Book Antiqua"/>
        </w:rPr>
        <w:t>holds this to be</w:t>
      </w:r>
      <w:r w:rsidR="002618C7">
        <w:rPr>
          <w:rFonts w:ascii="Book Antiqua" w:hAnsi="Book Antiqua"/>
        </w:rPr>
        <w:t xml:space="preserve"> contradicted by his </w:t>
      </w:r>
      <w:r w:rsidR="00C312DC">
        <w:rPr>
          <w:rFonts w:ascii="Book Antiqua" w:hAnsi="Book Antiqua"/>
        </w:rPr>
        <w:t>simple emphasis on love and peace.</w:t>
      </w:r>
      <w:r w:rsidR="00DF5530">
        <w:rPr>
          <w:rFonts w:ascii="Book Antiqua" w:hAnsi="Book Antiqua"/>
        </w:rPr>
        <w:t xml:space="preserve">  The evidence on which this contradiction is based is not identified, and c</w:t>
      </w:r>
      <w:r w:rsidR="00E87F35">
        <w:rPr>
          <w:rFonts w:ascii="Book Antiqua" w:hAnsi="Book Antiqua"/>
        </w:rPr>
        <w:t>ould not be found during submissions</w:t>
      </w:r>
      <w:r w:rsidR="00DF5530">
        <w:rPr>
          <w:rFonts w:ascii="Book Antiqua" w:hAnsi="Book Antiqua"/>
        </w:rPr>
        <w:t>.  Again</w:t>
      </w:r>
      <w:r w:rsidR="00E87F35">
        <w:rPr>
          <w:rFonts w:ascii="Book Antiqua" w:hAnsi="Book Antiqua"/>
        </w:rPr>
        <w:t>,</w:t>
      </w:r>
      <w:r w:rsidR="00DF5530">
        <w:rPr>
          <w:rFonts w:ascii="Book Antiqua" w:hAnsi="Book Antiqua"/>
        </w:rPr>
        <w:t xml:space="preserve"> the judge appears to have set </w:t>
      </w:r>
      <w:r w:rsidR="00814444">
        <w:rPr>
          <w:rFonts w:ascii="Book Antiqua" w:hAnsi="Book Antiqua"/>
        </w:rPr>
        <w:t>up a false notion.</w:t>
      </w:r>
    </w:p>
    <w:p w:rsidR="00DE378C" w:rsidRDefault="005C5432" w:rsidP="00007BAC">
      <w:pPr>
        <w:numPr>
          <w:ilvl w:val="0"/>
          <w:numId w:val="2"/>
        </w:numPr>
        <w:spacing w:before="240"/>
        <w:jc w:val="both"/>
        <w:rPr>
          <w:rFonts w:ascii="Book Antiqua" w:hAnsi="Book Antiqua"/>
        </w:rPr>
      </w:pPr>
      <w:r>
        <w:rPr>
          <w:rFonts w:ascii="Book Antiqua" w:hAnsi="Book Antiqua"/>
        </w:rPr>
        <w:t xml:space="preserve">Paragraph 103, based on the days of the week on </w:t>
      </w:r>
      <w:r w:rsidR="00575AE9">
        <w:rPr>
          <w:rFonts w:ascii="Book Antiqua" w:hAnsi="Book Antiqua"/>
        </w:rPr>
        <w:t xml:space="preserve">which the appellant attended house church meetings, is </w:t>
      </w:r>
      <w:r w:rsidR="00B6037E">
        <w:rPr>
          <w:rFonts w:ascii="Book Antiqua" w:hAnsi="Book Antiqua"/>
        </w:rPr>
        <w:t xml:space="preserve">within reason, but </w:t>
      </w:r>
      <w:r w:rsidR="00D06425">
        <w:rPr>
          <w:rFonts w:ascii="Book Antiqua" w:hAnsi="Book Antiqua"/>
        </w:rPr>
        <w:t>of little force.</w:t>
      </w:r>
    </w:p>
    <w:p w:rsidR="00DE378C" w:rsidRDefault="00DE378C">
      <w:pPr>
        <w:rPr>
          <w:rFonts w:ascii="Book Antiqua" w:hAnsi="Book Antiqua"/>
        </w:rPr>
      </w:pPr>
      <w:r>
        <w:rPr>
          <w:rFonts w:ascii="Book Antiqua" w:hAnsi="Book Antiqua"/>
        </w:rPr>
        <w:br w:type="page"/>
      </w:r>
    </w:p>
    <w:p w:rsidR="004B0781" w:rsidRDefault="00D06425" w:rsidP="00007BAC">
      <w:pPr>
        <w:numPr>
          <w:ilvl w:val="0"/>
          <w:numId w:val="2"/>
        </w:numPr>
        <w:spacing w:before="240"/>
        <w:jc w:val="both"/>
        <w:rPr>
          <w:rFonts w:ascii="Book Antiqua" w:hAnsi="Book Antiqua"/>
        </w:rPr>
      </w:pPr>
      <w:r>
        <w:rPr>
          <w:rFonts w:ascii="Book Antiqua" w:hAnsi="Book Antiqua"/>
        </w:rPr>
        <w:lastRenderedPageBreak/>
        <w:t>At paragraph 104 the judge is “at a complete loss”</w:t>
      </w:r>
      <w:r w:rsidR="006D1485">
        <w:rPr>
          <w:rFonts w:ascii="Book Antiqua" w:hAnsi="Book Antiqua"/>
        </w:rPr>
        <w:t xml:space="preserve"> to understand why Saeed’s si</w:t>
      </w:r>
      <w:r w:rsidR="008E5DEE">
        <w:rPr>
          <w:rFonts w:ascii="Book Antiqua" w:hAnsi="Book Antiqua"/>
        </w:rPr>
        <w:t>ster</w:t>
      </w:r>
      <w:r w:rsidR="006D1485">
        <w:rPr>
          <w:rFonts w:ascii="Book Antiqua" w:hAnsi="Book Antiqua"/>
        </w:rPr>
        <w:t xml:space="preserve"> would telephone the appellant, and that this detail </w:t>
      </w:r>
      <w:r w:rsidR="008E5DEE">
        <w:rPr>
          <w:rFonts w:ascii="Book Antiqua" w:hAnsi="Book Antiqua"/>
        </w:rPr>
        <w:t>discloses the fabrication that Saeed would have told his sister of the appellant’s conversion</w:t>
      </w:r>
      <w:r w:rsidR="00A67E86">
        <w:rPr>
          <w:rFonts w:ascii="Book Antiqua" w:hAnsi="Book Antiqua"/>
        </w:rPr>
        <w:t>.</w:t>
      </w:r>
      <w:r w:rsidR="00277CCF">
        <w:rPr>
          <w:rFonts w:ascii="Book Antiqua" w:hAnsi="Book Antiqua"/>
        </w:rPr>
        <w:t xml:space="preserve">  </w:t>
      </w:r>
      <w:r w:rsidR="00A67E86">
        <w:rPr>
          <w:rFonts w:ascii="Book Antiqua" w:hAnsi="Book Antiqua"/>
        </w:rPr>
        <w:t>However, the</w:t>
      </w:r>
      <w:r w:rsidR="00277CCF">
        <w:rPr>
          <w:rFonts w:ascii="Book Antiqua" w:hAnsi="Book Antiqua"/>
        </w:rPr>
        <w:t xml:space="preserve"> judge does not explain</w:t>
      </w:r>
      <w:r w:rsidR="002B0D2B">
        <w:rPr>
          <w:rFonts w:ascii="Book Antiqua" w:hAnsi="Book Antiqua"/>
        </w:rPr>
        <w:t xml:space="preserve"> </w:t>
      </w:r>
      <w:r w:rsidR="000411FB">
        <w:rPr>
          <w:rFonts w:ascii="Book Antiqua" w:hAnsi="Book Antiqua"/>
        </w:rPr>
        <w:t>why it is in</w:t>
      </w:r>
      <w:r w:rsidR="00627AC3">
        <w:rPr>
          <w:rFonts w:ascii="Book Antiqua" w:hAnsi="Book Antiqua"/>
        </w:rPr>
        <w:t xml:space="preserve">consistent with the rest of the </w:t>
      </w:r>
      <w:r w:rsidR="00B542CC">
        <w:rPr>
          <w:rFonts w:ascii="Book Antiqua" w:hAnsi="Book Antiqua"/>
        </w:rPr>
        <w:t>claim</w:t>
      </w:r>
      <w:r w:rsidR="00627AC3">
        <w:rPr>
          <w:rFonts w:ascii="Book Antiqua" w:hAnsi="Book Antiqua"/>
        </w:rPr>
        <w:t xml:space="preserve"> that </w:t>
      </w:r>
      <w:r w:rsidR="00277CCF">
        <w:rPr>
          <w:rFonts w:ascii="Book Antiqua" w:hAnsi="Book Antiqua"/>
        </w:rPr>
        <w:t>Saeed’s sister</w:t>
      </w:r>
      <w:r w:rsidR="00627AC3">
        <w:rPr>
          <w:rFonts w:ascii="Book Antiqua" w:hAnsi="Book Antiqua"/>
        </w:rPr>
        <w:t xml:space="preserve"> might telephone the appellant about Saeed’s disappearance, </w:t>
      </w:r>
      <w:r w:rsidR="00B542CC">
        <w:rPr>
          <w:rFonts w:ascii="Book Antiqua" w:hAnsi="Book Antiqua"/>
        </w:rPr>
        <w:t>or</w:t>
      </w:r>
      <w:r w:rsidR="00627AC3">
        <w:rPr>
          <w:rFonts w:ascii="Book Antiqua" w:hAnsi="Book Antiqua"/>
        </w:rPr>
        <w:t xml:space="preserve"> why this </w:t>
      </w:r>
      <w:r w:rsidR="00DD75CD">
        <w:rPr>
          <w:rFonts w:ascii="Book Antiqua" w:hAnsi="Book Antiqua"/>
        </w:rPr>
        <w:t>reveals fabrication.</w:t>
      </w:r>
    </w:p>
    <w:p w:rsidR="00556A56" w:rsidRDefault="004B0781" w:rsidP="00007BAC">
      <w:pPr>
        <w:numPr>
          <w:ilvl w:val="0"/>
          <w:numId w:val="2"/>
        </w:numPr>
        <w:spacing w:before="240"/>
        <w:jc w:val="both"/>
        <w:rPr>
          <w:rFonts w:ascii="Book Antiqua" w:hAnsi="Book Antiqua"/>
        </w:rPr>
      </w:pPr>
      <w:r>
        <w:rPr>
          <w:rFonts w:ascii="Book Antiqua" w:hAnsi="Book Antiqua"/>
        </w:rPr>
        <w:t xml:space="preserve">Paragraph 105 </w:t>
      </w:r>
      <w:r w:rsidR="00801FE3">
        <w:rPr>
          <w:rFonts w:ascii="Book Antiqua" w:hAnsi="Book Antiqua"/>
        </w:rPr>
        <w:t xml:space="preserve">is based firstly </w:t>
      </w:r>
      <w:r w:rsidR="00FC28B4">
        <w:rPr>
          <w:rFonts w:ascii="Book Antiqua" w:hAnsi="Book Antiqua"/>
        </w:rPr>
        <w:t xml:space="preserve">on the appellant not </w:t>
      </w:r>
      <w:r w:rsidR="003468BE">
        <w:rPr>
          <w:rFonts w:ascii="Book Antiqua" w:hAnsi="Book Antiqua"/>
        </w:rPr>
        <w:t xml:space="preserve">being able to know how the authorities might have found out about his attendance </w:t>
      </w:r>
      <w:r w:rsidR="00487470">
        <w:rPr>
          <w:rFonts w:ascii="Book Antiqua" w:hAnsi="Book Antiqua"/>
        </w:rPr>
        <w:t>at</w:t>
      </w:r>
      <w:r w:rsidR="007C421F">
        <w:rPr>
          <w:rFonts w:ascii="Book Antiqua" w:hAnsi="Book Antiqua"/>
        </w:rPr>
        <w:t xml:space="preserve"> </w:t>
      </w:r>
      <w:r w:rsidR="003468BE">
        <w:rPr>
          <w:rFonts w:ascii="Book Antiqua" w:hAnsi="Book Antiqua"/>
        </w:rPr>
        <w:t>the house church</w:t>
      </w:r>
      <w:r w:rsidR="00487470">
        <w:rPr>
          <w:rFonts w:ascii="Book Antiqua" w:hAnsi="Book Antiqua"/>
        </w:rPr>
        <w:t xml:space="preserve">, and secondly </w:t>
      </w:r>
      <w:r w:rsidR="006350B1">
        <w:rPr>
          <w:rFonts w:ascii="Book Antiqua" w:hAnsi="Book Antiqua"/>
        </w:rPr>
        <w:t>on saying that the authorities did not tell his father wh</w:t>
      </w:r>
      <w:r w:rsidR="007C421F">
        <w:rPr>
          <w:rFonts w:ascii="Book Antiqua" w:hAnsi="Book Antiqua"/>
        </w:rPr>
        <w:t>y they came to his house, but that they told his mother th</w:t>
      </w:r>
      <w:r w:rsidR="00FE1F50">
        <w:rPr>
          <w:rFonts w:ascii="Book Antiqua" w:hAnsi="Book Antiqua"/>
        </w:rPr>
        <w:t xml:space="preserve">at he had converted, a “marked inconsistency”.  </w:t>
      </w:r>
      <w:r w:rsidR="0097520B">
        <w:rPr>
          <w:rFonts w:ascii="Book Antiqua" w:hAnsi="Book Antiqua"/>
        </w:rPr>
        <w:t xml:space="preserve">Mr McGowan submitted this was </w:t>
      </w:r>
      <w:r w:rsidR="00C36457">
        <w:rPr>
          <w:rFonts w:ascii="Book Antiqua" w:hAnsi="Book Antiqua"/>
        </w:rPr>
        <w:t xml:space="preserve">simply additional information emerging, and that the alleged </w:t>
      </w:r>
      <w:r w:rsidR="00B754B1">
        <w:rPr>
          <w:rFonts w:ascii="Book Antiqua" w:hAnsi="Book Antiqua"/>
        </w:rPr>
        <w:t>inconsistency</w:t>
      </w:r>
      <w:r w:rsidR="00C36457">
        <w:rPr>
          <w:rFonts w:ascii="Book Antiqua" w:hAnsi="Book Antiqua"/>
        </w:rPr>
        <w:t xml:space="preserve"> had not been founded upon at any stage by</w:t>
      </w:r>
      <w:r w:rsidR="00B754B1">
        <w:rPr>
          <w:rFonts w:ascii="Book Antiqua" w:hAnsi="Book Antiqua"/>
        </w:rPr>
        <w:t xml:space="preserve"> the respondent, or put by the judge to the appellant.</w:t>
      </w:r>
    </w:p>
    <w:p w:rsidR="00FD56A8" w:rsidRDefault="00822249" w:rsidP="00007BAC">
      <w:pPr>
        <w:numPr>
          <w:ilvl w:val="0"/>
          <w:numId w:val="2"/>
        </w:numPr>
        <w:spacing w:before="240"/>
        <w:jc w:val="both"/>
        <w:rPr>
          <w:rFonts w:ascii="Book Antiqua" w:hAnsi="Book Antiqua"/>
        </w:rPr>
      </w:pPr>
      <w:r>
        <w:rPr>
          <w:rFonts w:ascii="Book Antiqua" w:hAnsi="Book Antiqua"/>
        </w:rPr>
        <w:t xml:space="preserve">Paragraph 106 </w:t>
      </w:r>
      <w:r w:rsidR="00F5253F">
        <w:rPr>
          <w:rFonts w:ascii="Book Antiqua" w:hAnsi="Book Antiqua"/>
        </w:rPr>
        <w:t>says that the appellant attempted to cover up an inconsistency</w:t>
      </w:r>
      <w:r w:rsidR="00C077BB">
        <w:rPr>
          <w:rFonts w:ascii="Book Antiqua" w:hAnsi="Book Antiqua"/>
        </w:rPr>
        <w:t xml:space="preserve"> over his friend’s occupation, mentioning only later that he</w:t>
      </w:r>
      <w:r w:rsidR="001B0529">
        <w:rPr>
          <w:rFonts w:ascii="Book Antiqua" w:hAnsi="Book Antiqua"/>
        </w:rPr>
        <w:t xml:space="preserve"> </w:t>
      </w:r>
      <w:r w:rsidR="00C077BB">
        <w:rPr>
          <w:rFonts w:ascii="Book Antiqua" w:hAnsi="Book Antiqua"/>
        </w:rPr>
        <w:t>was a taxi driver</w:t>
      </w:r>
      <w:r w:rsidR="00347A56">
        <w:rPr>
          <w:rFonts w:ascii="Book Antiqua" w:hAnsi="Book Antiqua"/>
        </w:rPr>
        <w:t>.  T</w:t>
      </w:r>
      <w:r w:rsidR="000742B8">
        <w:rPr>
          <w:rFonts w:ascii="Book Antiqua" w:hAnsi="Book Antiqua"/>
        </w:rPr>
        <w:t xml:space="preserve">his is </w:t>
      </w:r>
      <w:r w:rsidR="00347A56">
        <w:rPr>
          <w:rFonts w:ascii="Book Antiqua" w:hAnsi="Book Antiqua"/>
        </w:rPr>
        <w:t>more of an</w:t>
      </w:r>
      <w:r w:rsidR="000742B8">
        <w:rPr>
          <w:rFonts w:ascii="Book Antiqua" w:hAnsi="Book Antiqua"/>
        </w:rPr>
        <w:t xml:space="preserve"> irrelevancy rather than an </w:t>
      </w:r>
      <w:r w:rsidR="001B0529">
        <w:rPr>
          <w:rFonts w:ascii="Book Antiqua" w:hAnsi="Book Antiqua"/>
        </w:rPr>
        <w:t>inconsistency</w:t>
      </w:r>
      <w:r w:rsidR="000742B8">
        <w:rPr>
          <w:rFonts w:ascii="Book Antiqua" w:hAnsi="Book Antiqua"/>
        </w:rPr>
        <w:t xml:space="preserve">.  </w:t>
      </w:r>
      <w:r w:rsidR="00113752">
        <w:rPr>
          <w:rFonts w:ascii="Book Antiqua" w:hAnsi="Book Antiqua"/>
        </w:rPr>
        <w:t>Mr McGowan referred to the appellant</w:t>
      </w:r>
      <w:r w:rsidR="00405075">
        <w:rPr>
          <w:rFonts w:ascii="Book Antiqua" w:hAnsi="Book Antiqua"/>
        </w:rPr>
        <w:t xml:space="preserve">’s evidence </w:t>
      </w:r>
      <w:r w:rsidR="00113752">
        <w:rPr>
          <w:rFonts w:ascii="Book Antiqua" w:hAnsi="Book Antiqua"/>
        </w:rPr>
        <w:t xml:space="preserve">that </w:t>
      </w:r>
      <w:bookmarkStart w:id="1" w:name="_GoBack"/>
      <w:r w:rsidR="00113752">
        <w:rPr>
          <w:rFonts w:ascii="Book Antiqua" w:hAnsi="Book Antiqua"/>
        </w:rPr>
        <w:t>Saeed</w:t>
      </w:r>
      <w:bookmarkEnd w:id="1"/>
      <w:r w:rsidR="00113752">
        <w:rPr>
          <w:rFonts w:ascii="Book Antiqua" w:hAnsi="Book Antiqua"/>
        </w:rPr>
        <w:t xml:space="preserve"> </w:t>
      </w:r>
      <w:r w:rsidR="001B0529">
        <w:rPr>
          <w:rFonts w:ascii="Book Antiqua" w:hAnsi="Book Antiqua"/>
        </w:rPr>
        <w:t>was once a plasterer, and later</w:t>
      </w:r>
      <w:r w:rsidR="00113752">
        <w:rPr>
          <w:rFonts w:ascii="Book Antiqua" w:hAnsi="Book Antiqua"/>
        </w:rPr>
        <w:t xml:space="preserve"> gave up due to a bad back and became a taxi dr</w:t>
      </w:r>
      <w:r w:rsidR="0031486D">
        <w:rPr>
          <w:rFonts w:ascii="Book Antiqua" w:hAnsi="Book Antiqua"/>
        </w:rPr>
        <w:t>iver.  The</w:t>
      </w:r>
      <w:r w:rsidR="00882794">
        <w:rPr>
          <w:rFonts w:ascii="Book Antiqua" w:hAnsi="Book Antiqua"/>
        </w:rPr>
        <w:t xml:space="preserve"> decision does not show why the appellant’s </w:t>
      </w:r>
      <w:r w:rsidR="00347F00">
        <w:rPr>
          <w:rFonts w:ascii="Book Antiqua" w:hAnsi="Book Antiqua"/>
        </w:rPr>
        <w:t xml:space="preserve">evidence was undermined by his </w:t>
      </w:r>
      <w:r w:rsidR="00882794">
        <w:rPr>
          <w:rFonts w:ascii="Book Antiqua" w:hAnsi="Book Antiqua"/>
        </w:rPr>
        <w:t>description of his friend’s occupation</w:t>
      </w:r>
      <w:r w:rsidR="00347F00">
        <w:rPr>
          <w:rFonts w:ascii="Book Antiqua" w:hAnsi="Book Antiqua"/>
        </w:rPr>
        <w:t>.</w:t>
      </w:r>
    </w:p>
    <w:p w:rsidR="00CA3BF0" w:rsidRDefault="00FD56A8" w:rsidP="00007BAC">
      <w:pPr>
        <w:numPr>
          <w:ilvl w:val="0"/>
          <w:numId w:val="2"/>
        </w:numPr>
        <w:spacing w:before="240"/>
        <w:jc w:val="both"/>
        <w:rPr>
          <w:rFonts w:ascii="Book Antiqua" w:hAnsi="Book Antiqua"/>
        </w:rPr>
      </w:pPr>
      <w:r>
        <w:rPr>
          <w:rFonts w:ascii="Book Antiqua" w:hAnsi="Book Antiqua"/>
        </w:rPr>
        <w:t>Paragraph 107 founds on the appellant knowing little of the other members of the house church other than their Christ</w:t>
      </w:r>
      <w:r w:rsidR="00962BC8">
        <w:rPr>
          <w:rFonts w:ascii="Book Antiqua" w:hAnsi="Book Antiqua"/>
        </w:rPr>
        <w:t>ian</w:t>
      </w:r>
      <w:r>
        <w:rPr>
          <w:rFonts w:ascii="Book Antiqua" w:hAnsi="Book Antiqua"/>
        </w:rPr>
        <w:t xml:space="preserve"> names</w:t>
      </w:r>
      <w:r w:rsidR="00962BC8">
        <w:rPr>
          <w:rFonts w:ascii="Book Antiqua" w:hAnsi="Book Antiqua"/>
        </w:rPr>
        <w:t>, rejecting his youth and cultural norms as explanations</w:t>
      </w:r>
      <w:r w:rsidR="00CF720F">
        <w:rPr>
          <w:rFonts w:ascii="Book Antiqua" w:hAnsi="Book Antiqua"/>
        </w:rPr>
        <w:t>.  The reasons are not apparent</w:t>
      </w:r>
      <w:r w:rsidR="001A3FBD">
        <w:rPr>
          <w:rFonts w:ascii="Book Antiqua" w:hAnsi="Book Antiqua"/>
        </w:rPr>
        <w:t xml:space="preserve">.  Those matters do not speak for themselves.  </w:t>
      </w:r>
      <w:r w:rsidR="00962BC8">
        <w:rPr>
          <w:rFonts w:ascii="Book Antiqua" w:hAnsi="Book Antiqua"/>
        </w:rPr>
        <w:t xml:space="preserve">As was submitted, a degree of caution among those involved in a risky activity </w:t>
      </w:r>
      <w:r w:rsidR="001A3FBD">
        <w:rPr>
          <w:rFonts w:ascii="Book Antiqua" w:hAnsi="Book Antiqua"/>
        </w:rPr>
        <w:t>would</w:t>
      </w:r>
      <w:r w:rsidR="00962BC8">
        <w:rPr>
          <w:rFonts w:ascii="Book Antiqua" w:hAnsi="Book Antiqua"/>
        </w:rPr>
        <w:t xml:space="preserve"> not be surprising.</w:t>
      </w:r>
    </w:p>
    <w:p w:rsidR="00176F14" w:rsidRDefault="00CA3BF0" w:rsidP="00007BAC">
      <w:pPr>
        <w:numPr>
          <w:ilvl w:val="0"/>
          <w:numId w:val="2"/>
        </w:numPr>
        <w:spacing w:before="240"/>
        <w:jc w:val="both"/>
        <w:rPr>
          <w:rFonts w:ascii="Book Antiqua" w:hAnsi="Book Antiqua"/>
        </w:rPr>
      </w:pPr>
      <w:r>
        <w:rPr>
          <w:rFonts w:ascii="Book Antiqua" w:hAnsi="Book Antiqua"/>
        </w:rPr>
        <w:t>Paragraph 108 founds on absence of evidence f</w:t>
      </w:r>
      <w:r w:rsidR="0029237D">
        <w:rPr>
          <w:rFonts w:ascii="Book Antiqua" w:hAnsi="Book Antiqua"/>
        </w:rPr>
        <w:t>ro</w:t>
      </w:r>
      <w:r>
        <w:rPr>
          <w:rFonts w:ascii="Book Antiqua" w:hAnsi="Book Antiqua"/>
        </w:rPr>
        <w:t>m friends in the UK and fellow worshippers</w:t>
      </w:r>
      <w:r w:rsidR="004C11F0">
        <w:rPr>
          <w:rFonts w:ascii="Book Antiqua" w:hAnsi="Book Antiqua"/>
        </w:rPr>
        <w:t xml:space="preserve">, even if church office holders were unwilling as a matter of policy to </w:t>
      </w:r>
      <w:r w:rsidR="0029237D">
        <w:rPr>
          <w:rFonts w:ascii="Book Antiqua" w:hAnsi="Book Antiqua"/>
        </w:rPr>
        <w:t>attend</w:t>
      </w:r>
      <w:r w:rsidR="004C11F0">
        <w:rPr>
          <w:rFonts w:ascii="Book Antiqua" w:hAnsi="Book Antiqua"/>
        </w:rPr>
        <w:t xml:space="preserve">.  That is </w:t>
      </w:r>
      <w:r w:rsidR="0029237D">
        <w:rPr>
          <w:rFonts w:ascii="Book Antiqua" w:hAnsi="Book Antiqua"/>
        </w:rPr>
        <w:t>reasonable</w:t>
      </w:r>
      <w:r w:rsidR="004C11F0">
        <w:rPr>
          <w:rFonts w:ascii="Book Antiqua" w:hAnsi="Book Antiqua"/>
        </w:rPr>
        <w:t>, althoug</w:t>
      </w:r>
      <w:r w:rsidR="0029237D">
        <w:rPr>
          <w:rFonts w:ascii="Book Antiqua" w:hAnsi="Book Antiqua"/>
        </w:rPr>
        <w:t>h</w:t>
      </w:r>
      <w:r w:rsidR="002D79A3">
        <w:rPr>
          <w:rFonts w:ascii="Book Antiqua" w:hAnsi="Book Antiqua"/>
        </w:rPr>
        <w:t>,</w:t>
      </w:r>
      <w:r w:rsidR="0029237D">
        <w:rPr>
          <w:rFonts w:ascii="Book Antiqua" w:hAnsi="Book Antiqua"/>
        </w:rPr>
        <w:t xml:space="preserve"> </w:t>
      </w:r>
      <w:r w:rsidR="004C11F0">
        <w:rPr>
          <w:rFonts w:ascii="Book Antiqua" w:hAnsi="Book Antiqua"/>
        </w:rPr>
        <w:t xml:space="preserve">as </w:t>
      </w:r>
      <w:r w:rsidR="00176F14">
        <w:rPr>
          <w:rFonts w:ascii="Book Antiqua" w:hAnsi="Book Antiqua"/>
        </w:rPr>
        <w:t xml:space="preserve">Mr </w:t>
      </w:r>
      <w:r w:rsidR="0029237D">
        <w:rPr>
          <w:rFonts w:ascii="Book Antiqua" w:hAnsi="Book Antiqua"/>
        </w:rPr>
        <w:t>McGowan</w:t>
      </w:r>
      <w:r w:rsidR="00176F14">
        <w:rPr>
          <w:rFonts w:ascii="Book Antiqua" w:hAnsi="Book Antiqua"/>
        </w:rPr>
        <w:t xml:space="preserve"> pointed out, there was evidence in writing from Destiny Church, to which</w:t>
      </w:r>
      <w:r w:rsidR="0029237D">
        <w:rPr>
          <w:rFonts w:ascii="Book Antiqua" w:hAnsi="Book Antiqua"/>
        </w:rPr>
        <w:t xml:space="preserve"> the</w:t>
      </w:r>
      <w:r w:rsidR="00176F14">
        <w:rPr>
          <w:rFonts w:ascii="Book Antiqua" w:hAnsi="Book Antiqua"/>
        </w:rPr>
        <w:t xml:space="preserve"> judge makes no </w:t>
      </w:r>
      <w:r w:rsidR="0029237D">
        <w:rPr>
          <w:rFonts w:ascii="Book Antiqua" w:hAnsi="Book Antiqua"/>
        </w:rPr>
        <w:t>reference</w:t>
      </w:r>
      <w:r w:rsidR="00176F14">
        <w:rPr>
          <w:rFonts w:ascii="Book Antiqua" w:hAnsi="Book Antiqua"/>
        </w:rPr>
        <w:t>.</w:t>
      </w:r>
    </w:p>
    <w:p w:rsidR="00644D60" w:rsidRDefault="0009035E" w:rsidP="00007BAC">
      <w:pPr>
        <w:numPr>
          <w:ilvl w:val="0"/>
          <w:numId w:val="2"/>
        </w:numPr>
        <w:spacing w:before="240"/>
        <w:jc w:val="both"/>
        <w:rPr>
          <w:rFonts w:ascii="Book Antiqua" w:hAnsi="Book Antiqua"/>
        </w:rPr>
      </w:pPr>
      <w:r>
        <w:rPr>
          <w:rFonts w:ascii="Book Antiqua" w:hAnsi="Book Antiqua"/>
        </w:rPr>
        <w:t>The</w:t>
      </w:r>
      <w:r w:rsidR="00292061">
        <w:rPr>
          <w:rFonts w:ascii="Book Antiqua" w:hAnsi="Book Antiqua"/>
        </w:rPr>
        <w:t xml:space="preserve"> </w:t>
      </w:r>
      <w:r w:rsidR="00356F4F">
        <w:rPr>
          <w:rFonts w:ascii="Book Antiqua" w:hAnsi="Book Antiqua"/>
        </w:rPr>
        <w:t xml:space="preserve">hearing </w:t>
      </w:r>
      <w:r w:rsidR="00292061">
        <w:rPr>
          <w:rFonts w:ascii="Book Antiqua" w:hAnsi="Book Antiqua"/>
        </w:rPr>
        <w:t xml:space="preserve">in the </w:t>
      </w:r>
      <w:proofErr w:type="spellStart"/>
      <w:r w:rsidR="00292061">
        <w:rPr>
          <w:rFonts w:ascii="Book Antiqua" w:hAnsi="Book Antiqua"/>
        </w:rPr>
        <w:t>FtT</w:t>
      </w:r>
      <w:proofErr w:type="spellEnd"/>
      <w:r w:rsidR="00292061">
        <w:rPr>
          <w:rFonts w:ascii="Book Antiqua" w:hAnsi="Book Antiqua"/>
        </w:rPr>
        <w:t xml:space="preserve"> was </w:t>
      </w:r>
      <w:r w:rsidR="00356F4F">
        <w:rPr>
          <w:rFonts w:ascii="Book Antiqua" w:hAnsi="Book Antiqua"/>
        </w:rPr>
        <w:t xml:space="preserve">on 14 June 2017, </w:t>
      </w:r>
      <w:r w:rsidR="00292061">
        <w:rPr>
          <w:rFonts w:ascii="Book Antiqua" w:hAnsi="Book Antiqua"/>
        </w:rPr>
        <w:t xml:space="preserve">and the decision was </w:t>
      </w:r>
      <w:r w:rsidR="00356F4F">
        <w:rPr>
          <w:rFonts w:ascii="Book Antiqua" w:hAnsi="Book Antiqua"/>
        </w:rPr>
        <w:t>promulgat</w:t>
      </w:r>
      <w:r w:rsidR="00292061">
        <w:rPr>
          <w:rFonts w:ascii="Book Antiqua" w:hAnsi="Book Antiqua"/>
        </w:rPr>
        <w:t>ed</w:t>
      </w:r>
      <w:r w:rsidR="00356F4F">
        <w:rPr>
          <w:rFonts w:ascii="Book Antiqua" w:hAnsi="Book Antiqua"/>
        </w:rPr>
        <w:t xml:space="preserve"> on </w:t>
      </w:r>
      <w:r w:rsidR="001A0353">
        <w:rPr>
          <w:rFonts w:ascii="Book Antiqua" w:hAnsi="Book Antiqua"/>
        </w:rPr>
        <w:t xml:space="preserve">23 </w:t>
      </w:r>
      <w:r w:rsidR="00292061">
        <w:rPr>
          <w:rFonts w:ascii="Book Antiqua" w:hAnsi="Book Antiqua"/>
        </w:rPr>
        <w:t>October</w:t>
      </w:r>
      <w:r w:rsidR="001A0353">
        <w:rPr>
          <w:rFonts w:ascii="Book Antiqua" w:hAnsi="Book Antiqua"/>
        </w:rPr>
        <w:t xml:space="preserve"> 2107.  </w:t>
      </w:r>
      <w:r w:rsidR="00292061">
        <w:rPr>
          <w:rFonts w:ascii="Book Antiqua" w:hAnsi="Book Antiqua"/>
        </w:rPr>
        <w:t xml:space="preserve">That is </w:t>
      </w:r>
      <w:r w:rsidR="00BE5039">
        <w:rPr>
          <w:rFonts w:ascii="Book Antiqua" w:hAnsi="Book Antiqua"/>
        </w:rPr>
        <w:t>an undesirable delay</w:t>
      </w:r>
      <w:r w:rsidR="00CE248F">
        <w:rPr>
          <w:rFonts w:ascii="Book Antiqua" w:hAnsi="Book Antiqua"/>
        </w:rPr>
        <w:t>.</w:t>
      </w:r>
      <w:r w:rsidR="00486FE4">
        <w:rPr>
          <w:rFonts w:ascii="Book Antiqua" w:hAnsi="Book Antiqua"/>
        </w:rPr>
        <w:t xml:space="preserve">  No explanation is given.</w:t>
      </w:r>
      <w:r w:rsidR="00CE248F">
        <w:rPr>
          <w:rFonts w:ascii="Book Antiqua" w:hAnsi="Book Antiqua"/>
        </w:rPr>
        <w:t xml:space="preserve">  It does not by itself amount to error of law, unless the decision </w:t>
      </w:r>
      <w:r w:rsidR="00486FE4">
        <w:rPr>
          <w:rFonts w:ascii="Book Antiqua" w:hAnsi="Book Antiqua"/>
        </w:rPr>
        <w:t xml:space="preserve">can be shown to be unsafe on that account.  </w:t>
      </w:r>
      <w:r w:rsidR="00A177D9">
        <w:rPr>
          <w:rFonts w:ascii="Book Antiqua" w:hAnsi="Book Antiqua"/>
        </w:rPr>
        <w:t xml:space="preserve">There are no </w:t>
      </w:r>
      <w:r w:rsidR="009D5569">
        <w:rPr>
          <w:rFonts w:ascii="Book Antiqua" w:hAnsi="Book Antiqua"/>
        </w:rPr>
        <w:t xml:space="preserve">individually </w:t>
      </w:r>
      <w:r w:rsidR="00A177D9">
        <w:rPr>
          <w:rFonts w:ascii="Book Antiqua" w:hAnsi="Book Antiqua"/>
        </w:rPr>
        <w:t>strong reasons in this decision.  At least two of the reasons</w:t>
      </w:r>
      <w:r w:rsidR="001751D3">
        <w:rPr>
          <w:rFonts w:ascii="Book Antiqua" w:hAnsi="Book Antiqua"/>
        </w:rPr>
        <w:t xml:space="preserve">, paragraphs 101 and 102, are based on impressions gained from the oral evidence, but without any </w:t>
      </w:r>
      <w:r w:rsidR="004A4185">
        <w:rPr>
          <w:rFonts w:ascii="Book Antiqua" w:hAnsi="Book Antiqua"/>
        </w:rPr>
        <w:t xml:space="preserve">recital or reference to the passages of evidence on which those impressions are based.  </w:t>
      </w:r>
      <w:r w:rsidR="001641F8">
        <w:rPr>
          <w:rFonts w:ascii="Book Antiqua" w:hAnsi="Book Antiqua"/>
        </w:rPr>
        <w:t xml:space="preserve">The judge has narrated the oral evidence in detail but has not </w:t>
      </w:r>
      <w:r w:rsidR="004555A2">
        <w:rPr>
          <w:rFonts w:ascii="Book Antiqua" w:hAnsi="Book Antiqua"/>
        </w:rPr>
        <w:t>cited</w:t>
      </w:r>
      <w:r w:rsidR="001641F8">
        <w:rPr>
          <w:rFonts w:ascii="Book Antiqua" w:hAnsi="Book Antiqua"/>
        </w:rPr>
        <w:t xml:space="preserve"> that</w:t>
      </w:r>
      <w:r w:rsidR="00D63691">
        <w:rPr>
          <w:rFonts w:ascii="Book Antiqua" w:hAnsi="Book Antiqua"/>
        </w:rPr>
        <w:t xml:space="preserve"> </w:t>
      </w:r>
      <w:r w:rsidR="002D79A3">
        <w:rPr>
          <w:rFonts w:ascii="Book Antiqua" w:hAnsi="Book Antiqua"/>
        </w:rPr>
        <w:t xml:space="preserve">evidence </w:t>
      </w:r>
      <w:r w:rsidR="00D63691">
        <w:rPr>
          <w:rFonts w:ascii="Book Antiqua" w:hAnsi="Book Antiqua"/>
        </w:rPr>
        <w:t>when giving her reasons</w:t>
      </w:r>
      <w:r w:rsidR="004555A2">
        <w:rPr>
          <w:rFonts w:ascii="Book Antiqua" w:hAnsi="Book Antiqua"/>
        </w:rPr>
        <w:t xml:space="preserve">, and </w:t>
      </w:r>
      <w:r w:rsidR="00464D95">
        <w:rPr>
          <w:rFonts w:ascii="Book Antiqua" w:hAnsi="Book Antiqua"/>
        </w:rPr>
        <w:t xml:space="preserve">the </w:t>
      </w:r>
      <w:r w:rsidR="004555A2">
        <w:rPr>
          <w:rFonts w:ascii="Book Antiqua" w:hAnsi="Book Antiqua"/>
        </w:rPr>
        <w:t>passages to confirm her impressions cannot</w:t>
      </w:r>
      <w:r w:rsidR="00895481">
        <w:rPr>
          <w:rFonts w:ascii="Book Antiqua" w:hAnsi="Book Antiqua"/>
        </w:rPr>
        <w:t xml:space="preserve"> </w:t>
      </w:r>
      <w:r w:rsidR="004555A2">
        <w:rPr>
          <w:rFonts w:ascii="Book Antiqua" w:hAnsi="Book Antiqua"/>
        </w:rPr>
        <w:t>be found</w:t>
      </w:r>
      <w:r w:rsidR="00D63691">
        <w:rPr>
          <w:rFonts w:ascii="Book Antiqua" w:hAnsi="Book Antiqua"/>
        </w:rPr>
        <w:t xml:space="preserve">. </w:t>
      </w:r>
      <w:r w:rsidR="001641F8">
        <w:rPr>
          <w:rFonts w:ascii="Book Antiqua" w:hAnsi="Book Antiqua"/>
        </w:rPr>
        <w:t xml:space="preserve"> </w:t>
      </w:r>
      <w:r w:rsidR="00895481">
        <w:rPr>
          <w:rFonts w:ascii="Book Antiqua" w:hAnsi="Book Antiqua"/>
        </w:rPr>
        <w:t xml:space="preserve">Such </w:t>
      </w:r>
      <w:r w:rsidR="00BB721B">
        <w:rPr>
          <w:rFonts w:ascii="Book Antiqua" w:hAnsi="Book Antiqua"/>
        </w:rPr>
        <w:t>impression</w:t>
      </w:r>
      <w:r w:rsidR="00895481">
        <w:rPr>
          <w:rFonts w:ascii="Book Antiqua" w:hAnsi="Book Antiqua"/>
        </w:rPr>
        <w:t>s are</w:t>
      </w:r>
      <w:r w:rsidR="00BB721B">
        <w:rPr>
          <w:rFonts w:ascii="Book Antiqua" w:hAnsi="Book Antiqua"/>
        </w:rPr>
        <w:t xml:space="preserve"> not </w:t>
      </w:r>
      <w:r w:rsidR="002B3880">
        <w:rPr>
          <w:rFonts w:ascii="Book Antiqua" w:hAnsi="Book Antiqua"/>
        </w:rPr>
        <w:t>much of a</w:t>
      </w:r>
      <w:r w:rsidR="00BB721B">
        <w:rPr>
          <w:rFonts w:ascii="Book Antiqua" w:hAnsi="Book Antiqua"/>
        </w:rPr>
        <w:t xml:space="preserve"> basis for finding</w:t>
      </w:r>
      <w:r w:rsidR="00644D60">
        <w:rPr>
          <w:rFonts w:ascii="Book Antiqua" w:hAnsi="Book Antiqua"/>
        </w:rPr>
        <w:t>s</w:t>
      </w:r>
      <w:r w:rsidR="00BB721B">
        <w:rPr>
          <w:rFonts w:ascii="Book Antiqua" w:hAnsi="Book Antiqua"/>
        </w:rPr>
        <w:t xml:space="preserve">, and </w:t>
      </w:r>
      <w:r w:rsidR="002B3880">
        <w:rPr>
          <w:rFonts w:ascii="Book Antiqua" w:hAnsi="Book Antiqua"/>
        </w:rPr>
        <w:t>even</w:t>
      </w:r>
      <w:r w:rsidR="002622D2">
        <w:rPr>
          <w:rFonts w:ascii="Book Antiqua" w:hAnsi="Book Antiqua"/>
        </w:rPr>
        <w:t xml:space="preserve"> le</w:t>
      </w:r>
      <w:r w:rsidR="002B3880">
        <w:rPr>
          <w:rFonts w:ascii="Book Antiqua" w:hAnsi="Book Antiqua"/>
        </w:rPr>
        <w:t>s</w:t>
      </w:r>
      <w:r w:rsidR="002622D2">
        <w:rPr>
          <w:rFonts w:ascii="Book Antiqua" w:hAnsi="Book Antiqua"/>
        </w:rPr>
        <w:t>s so after the</w:t>
      </w:r>
      <w:r w:rsidR="004A4185">
        <w:rPr>
          <w:rFonts w:ascii="Book Antiqua" w:hAnsi="Book Antiqua"/>
        </w:rPr>
        <w:t xml:space="preserve"> passage of 4 ½ months.</w:t>
      </w:r>
    </w:p>
    <w:p w:rsidR="00DE378C" w:rsidRDefault="004C4F24" w:rsidP="00007BAC">
      <w:pPr>
        <w:numPr>
          <w:ilvl w:val="0"/>
          <w:numId w:val="2"/>
        </w:numPr>
        <w:spacing w:before="240"/>
        <w:jc w:val="both"/>
        <w:rPr>
          <w:rFonts w:ascii="Book Antiqua" w:hAnsi="Book Antiqua"/>
        </w:rPr>
      </w:pPr>
      <w:r>
        <w:rPr>
          <w:rFonts w:ascii="Book Antiqua" w:hAnsi="Book Antiqua"/>
        </w:rPr>
        <w:t>I</w:t>
      </w:r>
      <w:r w:rsidR="00644D60">
        <w:rPr>
          <w:rFonts w:ascii="Book Antiqua" w:hAnsi="Book Antiqua"/>
        </w:rPr>
        <w:t xml:space="preserve">n light of </w:t>
      </w:r>
      <w:r w:rsidR="00B85DEF">
        <w:rPr>
          <w:rFonts w:ascii="Book Antiqua" w:hAnsi="Book Antiqua"/>
        </w:rPr>
        <w:t xml:space="preserve">the </w:t>
      </w:r>
      <w:r w:rsidR="00644D60">
        <w:rPr>
          <w:rFonts w:ascii="Book Antiqua" w:hAnsi="Book Antiqua"/>
        </w:rPr>
        <w:t>delay</w:t>
      </w:r>
      <w:r w:rsidR="002C6318">
        <w:rPr>
          <w:rFonts w:ascii="Book Antiqua" w:hAnsi="Book Antiqua"/>
        </w:rPr>
        <w:t xml:space="preserve"> and</w:t>
      </w:r>
      <w:r>
        <w:rPr>
          <w:rFonts w:ascii="Book Antiqua" w:hAnsi="Book Antiqua"/>
        </w:rPr>
        <w:t xml:space="preserve"> </w:t>
      </w:r>
      <w:r w:rsidR="00252C8A">
        <w:rPr>
          <w:rFonts w:ascii="Book Antiqua" w:hAnsi="Book Antiqua"/>
        </w:rPr>
        <w:t>vagueness in formulating the reasons</w:t>
      </w:r>
      <w:r w:rsidR="002C6318">
        <w:rPr>
          <w:rFonts w:ascii="Book Antiqua" w:hAnsi="Book Antiqua"/>
        </w:rPr>
        <w:t xml:space="preserve"> several </w:t>
      </w:r>
      <w:r w:rsidR="003C35FC">
        <w:rPr>
          <w:rFonts w:ascii="Book Antiqua" w:hAnsi="Book Antiqua"/>
        </w:rPr>
        <w:t>of them</w:t>
      </w:r>
      <w:r w:rsidR="002C6318">
        <w:rPr>
          <w:rFonts w:ascii="Book Antiqua" w:hAnsi="Book Antiqua"/>
        </w:rPr>
        <w:t xml:space="preserve"> cannot stand, and what remains is </w:t>
      </w:r>
      <w:r w:rsidR="003C35FC">
        <w:rPr>
          <w:rFonts w:ascii="Book Antiqua" w:hAnsi="Book Antiqua"/>
        </w:rPr>
        <w:t>inadequate to support the decision.</w:t>
      </w:r>
    </w:p>
    <w:p w:rsidR="00DE378C" w:rsidRDefault="00DE378C">
      <w:pPr>
        <w:rPr>
          <w:rFonts w:ascii="Book Antiqua" w:hAnsi="Book Antiqua"/>
        </w:rPr>
      </w:pPr>
      <w:r>
        <w:rPr>
          <w:rFonts w:ascii="Book Antiqua" w:hAnsi="Book Antiqua"/>
        </w:rPr>
        <w:br w:type="page"/>
      </w:r>
    </w:p>
    <w:p w:rsidR="009206B9" w:rsidRDefault="009206B9" w:rsidP="009206B9">
      <w:pPr>
        <w:numPr>
          <w:ilvl w:val="0"/>
          <w:numId w:val="2"/>
        </w:numPr>
        <w:spacing w:before="240"/>
        <w:jc w:val="both"/>
        <w:rPr>
          <w:rFonts w:ascii="Book Antiqua" w:hAnsi="Book Antiqua" w:cs="Arial"/>
        </w:rPr>
      </w:pPr>
      <w:r>
        <w:rPr>
          <w:rFonts w:ascii="Book Antiqua" w:hAnsi="Book Antiqua" w:cs="Arial"/>
        </w:rPr>
        <w:lastRenderedPageBreak/>
        <w:t xml:space="preserve">The decision of the </w:t>
      </w:r>
      <w:proofErr w:type="spellStart"/>
      <w:r>
        <w:rPr>
          <w:rFonts w:ascii="Book Antiqua" w:hAnsi="Book Antiqua" w:cs="Arial"/>
        </w:rPr>
        <w:t>FtT</w:t>
      </w:r>
      <w:proofErr w:type="spellEnd"/>
      <w:r>
        <w:rPr>
          <w:rFonts w:ascii="Book Antiqua" w:hAnsi="Book Antiqua" w:cs="Arial"/>
        </w:rPr>
        <w:t xml:space="preserve"> is </w:t>
      </w:r>
      <w:r w:rsidRPr="0023596F">
        <w:rPr>
          <w:rFonts w:ascii="Book Antiqua" w:hAnsi="Book Antiqua" w:cs="Arial"/>
          <w:b/>
        </w:rPr>
        <w:t>set aside</w:t>
      </w:r>
      <w:r>
        <w:rPr>
          <w:rFonts w:ascii="Book Antiqua" w:hAnsi="Book Antiqua" w:cs="Arial"/>
        </w:rPr>
        <w:t>. It stands only as a record of what was said at the hearing.</w:t>
      </w:r>
    </w:p>
    <w:p w:rsidR="009206B9" w:rsidRDefault="009206B9" w:rsidP="009206B9">
      <w:pPr>
        <w:numPr>
          <w:ilvl w:val="0"/>
          <w:numId w:val="2"/>
        </w:numPr>
        <w:spacing w:before="240"/>
        <w:jc w:val="both"/>
        <w:rPr>
          <w:rFonts w:ascii="Book Antiqua" w:hAnsi="Book Antiqua"/>
        </w:rPr>
      </w:pPr>
      <w:r>
        <w:rPr>
          <w:rFonts w:ascii="Book Antiqua" w:hAnsi="Book Antiqua"/>
        </w:rPr>
        <w:t xml:space="preserve">There is a presumption that the UT will proceed to remake decisions, of which parties are reminded in directions issued with the grant of permission.  However, the nature of this case is such that it is appropriate under section 12 of the 2002 Act and Practice Statement 7.2 to remit to the </w:t>
      </w:r>
      <w:proofErr w:type="spellStart"/>
      <w:r>
        <w:rPr>
          <w:rFonts w:ascii="Book Antiqua" w:hAnsi="Book Antiqua"/>
        </w:rPr>
        <w:t>FtT</w:t>
      </w:r>
      <w:proofErr w:type="spellEnd"/>
      <w:r>
        <w:rPr>
          <w:rFonts w:ascii="Book Antiqua" w:hAnsi="Book Antiqua"/>
        </w:rPr>
        <w:t xml:space="preserve"> for an entirely fresh hearing.  </w:t>
      </w:r>
    </w:p>
    <w:p w:rsidR="003172E9" w:rsidRPr="00BE137F" w:rsidRDefault="009206B9" w:rsidP="009206B9">
      <w:pPr>
        <w:numPr>
          <w:ilvl w:val="0"/>
          <w:numId w:val="2"/>
        </w:numPr>
        <w:spacing w:before="240"/>
        <w:jc w:val="both"/>
        <w:rPr>
          <w:rFonts w:ascii="Book Antiqua" w:hAnsi="Book Antiqua"/>
        </w:rPr>
      </w:pPr>
      <w:r>
        <w:rPr>
          <w:rFonts w:ascii="Book Antiqua" w:hAnsi="Book Antiqua" w:cs="Arial"/>
        </w:rPr>
        <w:t xml:space="preserve">The member(s) of the </w:t>
      </w:r>
      <w:proofErr w:type="spellStart"/>
      <w:r>
        <w:rPr>
          <w:rFonts w:ascii="Book Antiqua" w:hAnsi="Book Antiqua" w:cs="Arial"/>
        </w:rPr>
        <w:t>FtT</w:t>
      </w:r>
      <w:proofErr w:type="spellEnd"/>
      <w:r>
        <w:rPr>
          <w:rFonts w:ascii="Book Antiqua" w:hAnsi="Book Antiqua" w:cs="Arial"/>
        </w:rPr>
        <w:t xml:space="preserve"> chosen to consider the case are not to include Judge</w:t>
      </w:r>
      <w:r w:rsidR="002318C7">
        <w:rPr>
          <w:rFonts w:ascii="Book Antiqua" w:hAnsi="Book Antiqua" w:cs="Arial"/>
        </w:rPr>
        <w:t xml:space="preserve"> Clapham</w:t>
      </w:r>
      <w:r>
        <w:rPr>
          <w:rFonts w:ascii="Book Antiqua" w:hAnsi="Book Antiqua" w:cs="Arial"/>
        </w:rPr>
        <w:t>.</w:t>
      </w:r>
      <w:r w:rsidR="00E57254">
        <w:rPr>
          <w:rFonts w:ascii="Book Antiqua" w:hAnsi="Book Antiqua"/>
        </w:rPr>
        <w:t xml:space="preserve">  </w:t>
      </w:r>
    </w:p>
    <w:p w:rsidR="00321C6F" w:rsidRPr="00A56832" w:rsidRDefault="00321C6F" w:rsidP="009D4D93">
      <w:pPr>
        <w:numPr>
          <w:ilvl w:val="0"/>
          <w:numId w:val="2"/>
        </w:numPr>
        <w:spacing w:before="240"/>
        <w:jc w:val="both"/>
        <w:rPr>
          <w:rFonts w:ascii="Book Antiqua" w:hAnsi="Book Antiqua" w:cs="Arial"/>
        </w:rPr>
      </w:pPr>
      <w:r>
        <w:rPr>
          <w:rFonts w:ascii="Book Antiqua" w:hAnsi="Book Antiqua" w:cs="Arial"/>
        </w:rPr>
        <w:t>No</w:t>
      </w:r>
      <w:r>
        <w:rPr>
          <w:rFonts w:ascii="Book Antiqua" w:hAnsi="Book Antiqua"/>
        </w:rPr>
        <w:t xml:space="preserve"> anonymity direction has been requested or made.  </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9D4D93">
        <w:rPr>
          <w:rFonts w:ascii="Book Antiqua" w:hAnsi="Book Antiqua" w:cs="Arial"/>
        </w:rPr>
        <w:t xml:space="preserve">13 September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 xml:space="preserve">Upper Tribunal Judge </w:t>
      </w:r>
      <w:proofErr w:type="spellStart"/>
      <w:r>
        <w:rPr>
          <w:rFonts w:ascii="Book Antiqua" w:hAnsi="Book Antiqua" w:cs="Arial"/>
        </w:rPr>
        <w:t>Macleman</w:t>
      </w:r>
      <w:proofErr w:type="spellEnd"/>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6FB" w:rsidRDefault="001D36FB">
      <w:r>
        <w:separator/>
      </w:r>
    </w:p>
  </w:endnote>
  <w:endnote w:type="continuationSeparator" w:id="0">
    <w:p w:rsidR="001D36FB" w:rsidRDefault="001D3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E6FD1">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9D2CCB">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6FB" w:rsidRDefault="001D36FB">
      <w:r>
        <w:separator/>
      </w:r>
    </w:p>
  </w:footnote>
  <w:footnote w:type="continuationSeparator" w:id="0">
    <w:p w:rsidR="001D36FB" w:rsidRDefault="001D3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C5CE5" w:rsidRDefault="008D4782" w:rsidP="00614E94">
    <w:pPr>
      <w:pStyle w:val="Header"/>
      <w:jc w:val="right"/>
      <w:rPr>
        <w:rFonts w:ascii="Arial" w:hAnsi="Arial" w:cs="Arial"/>
        <w:sz w:val="16"/>
        <w:szCs w:val="16"/>
      </w:rPr>
    </w:pPr>
    <w:r>
      <w:rPr>
        <w:rFonts w:ascii="Arial" w:hAnsi="Arial" w:cs="Arial"/>
        <w:sz w:val="16"/>
        <w:szCs w:val="16"/>
      </w:rPr>
      <w:t xml:space="preserve">Appeal Number: </w:t>
    </w:r>
    <w:r w:rsidR="00AE77D2" w:rsidRPr="00AE77D2">
      <w:rPr>
        <w:rFonts w:ascii="Arial" w:hAnsi="Arial" w:cs="Arial"/>
        <w:sz w:val="16"/>
        <w:szCs w:val="16"/>
      </w:rPr>
      <w:t>PA/09715/2016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FF912E8-A5A6-4943-82E3-A666A6F7F980}"/>
    <w:docVar w:name="dgnword-eventsink" w:val="441976624"/>
  </w:docVars>
  <w:rsids>
    <w:rsidRoot w:val="00933B65"/>
    <w:rsid w:val="00005159"/>
    <w:rsid w:val="00007BAC"/>
    <w:rsid w:val="00010C19"/>
    <w:rsid w:val="000411FB"/>
    <w:rsid w:val="00050F40"/>
    <w:rsid w:val="00055657"/>
    <w:rsid w:val="00070C64"/>
    <w:rsid w:val="000742B8"/>
    <w:rsid w:val="000777B7"/>
    <w:rsid w:val="00087C41"/>
    <w:rsid w:val="0009035E"/>
    <w:rsid w:val="000B442A"/>
    <w:rsid w:val="000C75AF"/>
    <w:rsid w:val="000D5620"/>
    <w:rsid w:val="001103E2"/>
    <w:rsid w:val="00113752"/>
    <w:rsid w:val="00117089"/>
    <w:rsid w:val="0014128D"/>
    <w:rsid w:val="001641F8"/>
    <w:rsid w:val="00172233"/>
    <w:rsid w:val="001751D3"/>
    <w:rsid w:val="00176F14"/>
    <w:rsid w:val="00184269"/>
    <w:rsid w:val="001A0353"/>
    <w:rsid w:val="001A05A0"/>
    <w:rsid w:val="001A3568"/>
    <w:rsid w:val="001A3FBD"/>
    <w:rsid w:val="001B0529"/>
    <w:rsid w:val="001C7B70"/>
    <w:rsid w:val="001D36FB"/>
    <w:rsid w:val="001D6343"/>
    <w:rsid w:val="001E0145"/>
    <w:rsid w:val="001F3A81"/>
    <w:rsid w:val="002065B8"/>
    <w:rsid w:val="002135A6"/>
    <w:rsid w:val="002154EF"/>
    <w:rsid w:val="0021753F"/>
    <w:rsid w:val="00222070"/>
    <w:rsid w:val="00224440"/>
    <w:rsid w:val="002318C7"/>
    <w:rsid w:val="00252C8A"/>
    <w:rsid w:val="002618C7"/>
    <w:rsid w:val="002622D2"/>
    <w:rsid w:val="00266FFE"/>
    <w:rsid w:val="00274F92"/>
    <w:rsid w:val="00277CCF"/>
    <w:rsid w:val="00292061"/>
    <w:rsid w:val="0029237D"/>
    <w:rsid w:val="00296E05"/>
    <w:rsid w:val="002B0D2B"/>
    <w:rsid w:val="002B3880"/>
    <w:rsid w:val="002C6318"/>
    <w:rsid w:val="002C683E"/>
    <w:rsid w:val="002D79A3"/>
    <w:rsid w:val="002E6FD1"/>
    <w:rsid w:val="002F56A3"/>
    <w:rsid w:val="002F5782"/>
    <w:rsid w:val="0031272B"/>
    <w:rsid w:val="0031486D"/>
    <w:rsid w:val="003172E9"/>
    <w:rsid w:val="00321C6F"/>
    <w:rsid w:val="00322A27"/>
    <w:rsid w:val="00334A90"/>
    <w:rsid w:val="003468BE"/>
    <w:rsid w:val="00347A56"/>
    <w:rsid w:val="00347F00"/>
    <w:rsid w:val="00354166"/>
    <w:rsid w:val="00356F4F"/>
    <w:rsid w:val="003812EE"/>
    <w:rsid w:val="00394C29"/>
    <w:rsid w:val="00396227"/>
    <w:rsid w:val="003C1934"/>
    <w:rsid w:val="003C35FC"/>
    <w:rsid w:val="003D7D3D"/>
    <w:rsid w:val="003D7F34"/>
    <w:rsid w:val="003E6445"/>
    <w:rsid w:val="003E7F33"/>
    <w:rsid w:val="00405075"/>
    <w:rsid w:val="004171D0"/>
    <w:rsid w:val="00441640"/>
    <w:rsid w:val="004541E5"/>
    <w:rsid w:val="004555A2"/>
    <w:rsid w:val="0046122D"/>
    <w:rsid w:val="00464D95"/>
    <w:rsid w:val="00470675"/>
    <w:rsid w:val="00482EDF"/>
    <w:rsid w:val="00486FE4"/>
    <w:rsid w:val="00487470"/>
    <w:rsid w:val="004A012D"/>
    <w:rsid w:val="004A1B07"/>
    <w:rsid w:val="004A4185"/>
    <w:rsid w:val="004B0781"/>
    <w:rsid w:val="004C11F0"/>
    <w:rsid w:val="004C4F24"/>
    <w:rsid w:val="004F1BC0"/>
    <w:rsid w:val="00513527"/>
    <w:rsid w:val="00556A56"/>
    <w:rsid w:val="0057020B"/>
    <w:rsid w:val="0057042F"/>
    <w:rsid w:val="00575AE9"/>
    <w:rsid w:val="00590CEE"/>
    <w:rsid w:val="00594CA2"/>
    <w:rsid w:val="00595C55"/>
    <w:rsid w:val="005A1712"/>
    <w:rsid w:val="005A3A08"/>
    <w:rsid w:val="005C5432"/>
    <w:rsid w:val="005F6D40"/>
    <w:rsid w:val="00614020"/>
    <w:rsid w:val="00614E94"/>
    <w:rsid w:val="00627AC3"/>
    <w:rsid w:val="0063091E"/>
    <w:rsid w:val="006350B1"/>
    <w:rsid w:val="00644D60"/>
    <w:rsid w:val="0065091A"/>
    <w:rsid w:val="00653FC9"/>
    <w:rsid w:val="00657E4A"/>
    <w:rsid w:val="006D1485"/>
    <w:rsid w:val="006D2D9A"/>
    <w:rsid w:val="006D7C16"/>
    <w:rsid w:val="006E3DE1"/>
    <w:rsid w:val="00734D2D"/>
    <w:rsid w:val="007412E0"/>
    <w:rsid w:val="00774C7C"/>
    <w:rsid w:val="007C421F"/>
    <w:rsid w:val="007F7538"/>
    <w:rsid w:val="00801FE3"/>
    <w:rsid w:val="0080239D"/>
    <w:rsid w:val="00807C2A"/>
    <w:rsid w:val="00810338"/>
    <w:rsid w:val="00814444"/>
    <w:rsid w:val="008153B3"/>
    <w:rsid w:val="008211B8"/>
    <w:rsid w:val="00822249"/>
    <w:rsid w:val="00826209"/>
    <w:rsid w:val="0084433E"/>
    <w:rsid w:val="00844FF8"/>
    <w:rsid w:val="00861DE2"/>
    <w:rsid w:val="0087088C"/>
    <w:rsid w:val="00882794"/>
    <w:rsid w:val="008832E8"/>
    <w:rsid w:val="00895481"/>
    <w:rsid w:val="008A64A7"/>
    <w:rsid w:val="008B5B9B"/>
    <w:rsid w:val="008C171B"/>
    <w:rsid w:val="008C2761"/>
    <w:rsid w:val="008D4782"/>
    <w:rsid w:val="008E5DEE"/>
    <w:rsid w:val="008F2CE1"/>
    <w:rsid w:val="009206B9"/>
    <w:rsid w:val="00923BA9"/>
    <w:rsid w:val="00926DE2"/>
    <w:rsid w:val="00933B65"/>
    <w:rsid w:val="00935485"/>
    <w:rsid w:val="00962BC8"/>
    <w:rsid w:val="009701EB"/>
    <w:rsid w:val="0097520B"/>
    <w:rsid w:val="009B36C0"/>
    <w:rsid w:val="009D2CCB"/>
    <w:rsid w:val="009D4D93"/>
    <w:rsid w:val="009D5569"/>
    <w:rsid w:val="009E3D21"/>
    <w:rsid w:val="009F361B"/>
    <w:rsid w:val="00A177D9"/>
    <w:rsid w:val="00A67E86"/>
    <w:rsid w:val="00A810D2"/>
    <w:rsid w:val="00A86A8D"/>
    <w:rsid w:val="00A9573C"/>
    <w:rsid w:val="00AA199C"/>
    <w:rsid w:val="00AA25A1"/>
    <w:rsid w:val="00AA5502"/>
    <w:rsid w:val="00AB68CA"/>
    <w:rsid w:val="00AE77D2"/>
    <w:rsid w:val="00B01405"/>
    <w:rsid w:val="00B170ED"/>
    <w:rsid w:val="00B52844"/>
    <w:rsid w:val="00B542CC"/>
    <w:rsid w:val="00B6037E"/>
    <w:rsid w:val="00B71712"/>
    <w:rsid w:val="00B754B1"/>
    <w:rsid w:val="00B85DEF"/>
    <w:rsid w:val="00B91839"/>
    <w:rsid w:val="00BB05C6"/>
    <w:rsid w:val="00BB2B34"/>
    <w:rsid w:val="00BB470C"/>
    <w:rsid w:val="00BB4DD2"/>
    <w:rsid w:val="00BB69F4"/>
    <w:rsid w:val="00BB721B"/>
    <w:rsid w:val="00BC0611"/>
    <w:rsid w:val="00BC220A"/>
    <w:rsid w:val="00BE137F"/>
    <w:rsid w:val="00BE34CF"/>
    <w:rsid w:val="00BE5039"/>
    <w:rsid w:val="00C01F6A"/>
    <w:rsid w:val="00C077BB"/>
    <w:rsid w:val="00C15A7E"/>
    <w:rsid w:val="00C312DC"/>
    <w:rsid w:val="00C36457"/>
    <w:rsid w:val="00C51B29"/>
    <w:rsid w:val="00C6098F"/>
    <w:rsid w:val="00C628F1"/>
    <w:rsid w:val="00CA3BF0"/>
    <w:rsid w:val="00CD5AEE"/>
    <w:rsid w:val="00CE248F"/>
    <w:rsid w:val="00CF0FE6"/>
    <w:rsid w:val="00CF720F"/>
    <w:rsid w:val="00D05651"/>
    <w:rsid w:val="00D06425"/>
    <w:rsid w:val="00D31D54"/>
    <w:rsid w:val="00D44C2B"/>
    <w:rsid w:val="00D63691"/>
    <w:rsid w:val="00DA3D04"/>
    <w:rsid w:val="00DC699D"/>
    <w:rsid w:val="00DD75CD"/>
    <w:rsid w:val="00DE378C"/>
    <w:rsid w:val="00DF5530"/>
    <w:rsid w:val="00E2348D"/>
    <w:rsid w:val="00E43ED2"/>
    <w:rsid w:val="00E56B7B"/>
    <w:rsid w:val="00E57254"/>
    <w:rsid w:val="00E87F35"/>
    <w:rsid w:val="00E958B1"/>
    <w:rsid w:val="00EA3D98"/>
    <w:rsid w:val="00EE2710"/>
    <w:rsid w:val="00EE6CE7"/>
    <w:rsid w:val="00F125AD"/>
    <w:rsid w:val="00F3301B"/>
    <w:rsid w:val="00F40619"/>
    <w:rsid w:val="00F47052"/>
    <w:rsid w:val="00F5253F"/>
    <w:rsid w:val="00F5439C"/>
    <w:rsid w:val="00F648C0"/>
    <w:rsid w:val="00F85C8A"/>
    <w:rsid w:val="00F903BA"/>
    <w:rsid w:val="00FA0A2E"/>
    <w:rsid w:val="00FA2A43"/>
    <w:rsid w:val="00FA7FC0"/>
    <w:rsid w:val="00FB0516"/>
    <w:rsid w:val="00FB11E6"/>
    <w:rsid w:val="00FC28B4"/>
    <w:rsid w:val="00FD56A8"/>
    <w:rsid w:val="00FE0046"/>
    <w:rsid w:val="00FE1F50"/>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69D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1A05A0"/>
    <w:rPr>
      <w:rFonts w:ascii="Segoe UI" w:hAnsi="Segoe UI" w:cs="Segoe UI"/>
      <w:sz w:val="18"/>
      <w:szCs w:val="18"/>
    </w:rPr>
  </w:style>
  <w:style w:type="character" w:customStyle="1" w:styleId="BalloonTextChar">
    <w:name w:val="Balloon Text Char"/>
    <w:basedOn w:val="DefaultParagraphFont"/>
    <w:link w:val="BalloonText"/>
    <w:semiHidden/>
    <w:rsid w:val="001A05A0"/>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C1D8-DD8E-4DFE-AA7E-1659001A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5753</Characters>
  <Application>Microsoft Office Word</Application>
  <DocSecurity>0</DocSecurity>
  <Lines>47</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2018-10-05T14:40:00Z</dcterms:created>
  <dcterms:modified xsi:type="dcterms:W3CDTF">2018-10-05T14:40:00Z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