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E4708" w14:textId="77777777" w:rsidR="00E500B2" w:rsidRPr="00B57D66" w:rsidRDefault="00E22C32" w:rsidP="00E500B2">
      <w:pPr>
        <w:jc w:val="center"/>
        <w:rPr>
          <w:rFonts w:ascii="Book Antiqua" w:hAnsi="Book Antiqua" w:cs="Arial"/>
          <w:caps/>
          <w:color w:val="000000"/>
          <w:sz w:val="16"/>
          <w:szCs w:val="16"/>
        </w:rPr>
      </w:pPr>
      <w:r>
        <w:rPr>
          <w:noProof/>
        </w:rPr>
        <w:drawing>
          <wp:inline distT="0" distB="0" distL="0" distR="0" wp14:anchorId="61405162" wp14:editId="7B7F032D">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3607F006" w14:textId="5EFB6248" w:rsidR="00D94AFC" w:rsidRPr="00B57D66" w:rsidRDefault="00D94AFC">
      <w:pPr>
        <w:rPr>
          <w:rFonts w:ascii="Book Antiqua" w:hAnsi="Book Antiqua" w:cs="Arial"/>
          <w:color w:val="000000"/>
          <w:sz w:val="16"/>
          <w:szCs w:val="16"/>
        </w:rPr>
      </w:pPr>
    </w:p>
    <w:p w14:paraId="698FE228" w14:textId="77777777" w:rsidR="00D94AFC" w:rsidRPr="00B57D66" w:rsidRDefault="00D94AFC">
      <w:pPr>
        <w:rPr>
          <w:rFonts w:ascii="Book Antiqua" w:hAnsi="Book Antiqua" w:cs="Arial"/>
          <w:color w:val="000000"/>
        </w:rPr>
      </w:pPr>
    </w:p>
    <w:p w14:paraId="4FE3F96A"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77E42C06"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462EF0" w:rsidRPr="00462EF0">
        <w:rPr>
          <w:rFonts w:ascii="Book Antiqua" w:hAnsi="Book Antiqua" w:cs="Arial"/>
          <w:caps/>
          <w:color w:val="000000"/>
        </w:rPr>
        <w:t>PA/09753/2017</w:t>
      </w:r>
      <w:bookmarkEnd w:id="0"/>
    </w:p>
    <w:p w14:paraId="0779DE31" w14:textId="77777777" w:rsidR="00C345E1" w:rsidRPr="00B57D66" w:rsidRDefault="00C345E1" w:rsidP="00C345E1">
      <w:pPr>
        <w:jc w:val="center"/>
        <w:rPr>
          <w:rFonts w:ascii="Book Antiqua" w:hAnsi="Book Antiqua" w:cs="Arial"/>
          <w:color w:val="000000"/>
        </w:rPr>
      </w:pPr>
    </w:p>
    <w:p w14:paraId="694DA297" w14:textId="77777777" w:rsidR="00C345E1" w:rsidRPr="00B57D66" w:rsidRDefault="00C345E1" w:rsidP="00C345E1">
      <w:pPr>
        <w:jc w:val="center"/>
        <w:rPr>
          <w:rFonts w:ascii="Book Antiqua" w:hAnsi="Book Antiqua" w:cs="Arial"/>
          <w:color w:val="000000"/>
        </w:rPr>
      </w:pPr>
    </w:p>
    <w:p w14:paraId="62635BD0"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18C6160D" w14:textId="77777777" w:rsidR="00C345E1" w:rsidRPr="00B57D66" w:rsidRDefault="00C345E1" w:rsidP="00C345E1">
      <w:pPr>
        <w:jc w:val="center"/>
        <w:rPr>
          <w:rFonts w:ascii="Book Antiqua" w:hAnsi="Book Antiqua" w:cs="Arial"/>
          <w:b/>
          <w:u w:val="single"/>
        </w:rPr>
      </w:pPr>
    </w:p>
    <w:p w14:paraId="0248C240"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067300EA" w14:textId="77777777" w:rsidTr="00173CC6">
        <w:tc>
          <w:tcPr>
            <w:tcW w:w="6048" w:type="dxa"/>
          </w:tcPr>
          <w:p w14:paraId="3C50B657"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462EF0">
              <w:rPr>
                <w:rFonts w:ascii="Book Antiqua" w:hAnsi="Book Antiqua" w:cs="Arial"/>
                <w:b/>
              </w:rPr>
              <w:t xml:space="preserve">Field House </w:t>
            </w:r>
          </w:p>
        </w:tc>
        <w:tc>
          <w:tcPr>
            <w:tcW w:w="3960" w:type="dxa"/>
          </w:tcPr>
          <w:p w14:paraId="7F6FFE12"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1CD8AD6A" w14:textId="77777777" w:rsidTr="00173CC6">
        <w:tc>
          <w:tcPr>
            <w:tcW w:w="6048" w:type="dxa"/>
          </w:tcPr>
          <w:p w14:paraId="04F6B49A"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462EF0">
              <w:rPr>
                <w:rFonts w:ascii="Book Antiqua" w:hAnsi="Book Antiqua" w:cs="Arial"/>
                <w:b/>
              </w:rPr>
              <w:t xml:space="preserve">25 July 2018 </w:t>
            </w:r>
          </w:p>
        </w:tc>
        <w:tc>
          <w:tcPr>
            <w:tcW w:w="3960" w:type="dxa"/>
          </w:tcPr>
          <w:p w14:paraId="077B3624" w14:textId="3C3350B1" w:rsidR="00D22636" w:rsidRPr="00B57D66" w:rsidRDefault="00B57A87" w:rsidP="004A1848">
            <w:pPr>
              <w:jc w:val="both"/>
              <w:rPr>
                <w:rFonts w:ascii="Book Antiqua" w:hAnsi="Book Antiqua" w:cs="Arial"/>
                <w:b/>
              </w:rPr>
            </w:pPr>
            <w:r>
              <w:rPr>
                <w:rFonts w:ascii="Book Antiqua" w:hAnsi="Book Antiqua" w:cs="Arial"/>
                <w:b/>
              </w:rPr>
              <w:t>On 21 August 2018</w:t>
            </w:r>
          </w:p>
        </w:tc>
      </w:tr>
      <w:tr w:rsidR="00D22636" w:rsidRPr="00B57D66" w14:paraId="41B383A3" w14:textId="77777777" w:rsidTr="00173CC6">
        <w:tc>
          <w:tcPr>
            <w:tcW w:w="6048" w:type="dxa"/>
          </w:tcPr>
          <w:p w14:paraId="3F818709" w14:textId="77777777" w:rsidR="00D22636" w:rsidRPr="00B57D66" w:rsidRDefault="00D22636" w:rsidP="004A1848">
            <w:pPr>
              <w:jc w:val="both"/>
              <w:rPr>
                <w:rFonts w:ascii="Book Antiqua" w:hAnsi="Book Antiqua" w:cs="Arial"/>
                <w:b/>
              </w:rPr>
            </w:pPr>
          </w:p>
        </w:tc>
        <w:tc>
          <w:tcPr>
            <w:tcW w:w="3960" w:type="dxa"/>
          </w:tcPr>
          <w:p w14:paraId="672641B4" w14:textId="79568064" w:rsidR="00D22636" w:rsidRPr="00B57D66" w:rsidRDefault="00D22636" w:rsidP="004A1848">
            <w:pPr>
              <w:jc w:val="both"/>
              <w:rPr>
                <w:rFonts w:ascii="Book Antiqua" w:hAnsi="Book Antiqua" w:cs="Arial"/>
                <w:b/>
              </w:rPr>
            </w:pPr>
          </w:p>
        </w:tc>
      </w:tr>
    </w:tbl>
    <w:p w14:paraId="59D55BE1" w14:textId="77777777" w:rsidR="00A15234" w:rsidRPr="00B57D66" w:rsidRDefault="00A15234" w:rsidP="00A15234">
      <w:pPr>
        <w:jc w:val="center"/>
        <w:rPr>
          <w:rFonts w:ascii="Book Antiqua" w:hAnsi="Book Antiqua" w:cs="Arial"/>
        </w:rPr>
      </w:pPr>
    </w:p>
    <w:p w14:paraId="6932A944"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5794906F" w14:textId="77777777" w:rsidR="00A15234" w:rsidRPr="00B57D66" w:rsidRDefault="00A15234" w:rsidP="00A15234">
      <w:pPr>
        <w:jc w:val="center"/>
        <w:rPr>
          <w:rFonts w:ascii="Book Antiqua" w:hAnsi="Book Antiqua" w:cs="Arial"/>
          <w:b/>
        </w:rPr>
      </w:pPr>
    </w:p>
    <w:p w14:paraId="7975E064"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3A2E5603"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1EA68A55" w14:textId="77777777" w:rsidR="001B186A" w:rsidRPr="00B57D66" w:rsidRDefault="001B186A" w:rsidP="00A15234">
      <w:pPr>
        <w:jc w:val="center"/>
        <w:rPr>
          <w:rFonts w:ascii="Book Antiqua" w:hAnsi="Book Antiqua" w:cs="Arial"/>
          <w:b/>
          <w:color w:val="000000"/>
        </w:rPr>
      </w:pPr>
    </w:p>
    <w:p w14:paraId="76159F2A" w14:textId="77777777" w:rsidR="00D20757" w:rsidRPr="00B57D66" w:rsidRDefault="00D20757" w:rsidP="00A15234">
      <w:pPr>
        <w:jc w:val="center"/>
        <w:rPr>
          <w:rFonts w:ascii="Book Antiqua" w:hAnsi="Book Antiqua" w:cs="Arial"/>
          <w:b/>
        </w:rPr>
      </w:pPr>
    </w:p>
    <w:p w14:paraId="3688089E"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BBF60B4" w14:textId="77777777" w:rsidR="00A845DC" w:rsidRPr="00B57D66" w:rsidRDefault="00A845DC" w:rsidP="00A15234">
      <w:pPr>
        <w:jc w:val="center"/>
        <w:rPr>
          <w:rFonts w:ascii="Book Antiqua" w:hAnsi="Book Antiqua" w:cs="Arial"/>
          <w:b/>
        </w:rPr>
      </w:pPr>
    </w:p>
    <w:p w14:paraId="17EDA1ED" w14:textId="77777777" w:rsidR="00A845DC" w:rsidRDefault="00374FEB" w:rsidP="00A15234">
      <w:pPr>
        <w:jc w:val="center"/>
        <w:rPr>
          <w:rFonts w:ascii="Book Antiqua" w:hAnsi="Book Antiqua" w:cs="Arial"/>
          <w:b/>
          <w:caps/>
        </w:rPr>
      </w:pPr>
      <w:r>
        <w:rPr>
          <w:rFonts w:ascii="Book Antiqua" w:hAnsi="Book Antiqua" w:cs="Arial"/>
          <w:b/>
          <w:caps/>
        </w:rPr>
        <w:t>s</w:t>
      </w:r>
      <w:r w:rsidR="00462EF0">
        <w:rPr>
          <w:rFonts w:ascii="Book Antiqua" w:hAnsi="Book Antiqua" w:cs="Arial"/>
          <w:b/>
          <w:caps/>
        </w:rPr>
        <w:t xml:space="preserve"> b</w:t>
      </w:r>
    </w:p>
    <w:p w14:paraId="1269ADFC" w14:textId="77777777"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462EF0">
        <w:rPr>
          <w:rFonts w:ascii="Book Antiqua" w:hAnsi="Book Antiqua" w:cs="Arial"/>
          <w:b/>
          <w:caps/>
        </w:rPr>
        <w:t>made</w:t>
      </w:r>
      <w:r w:rsidRPr="00173CC6">
        <w:rPr>
          <w:rFonts w:ascii="Book Antiqua" w:hAnsi="Book Antiqua" w:cs="Arial"/>
          <w:b/>
          <w:caps/>
        </w:rPr>
        <w:t>)</w:t>
      </w:r>
    </w:p>
    <w:p w14:paraId="7B444874"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059C74EB"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5E3E08B4" w14:textId="77777777" w:rsidR="00DD5071" w:rsidRPr="00B57D66" w:rsidRDefault="00DD5071" w:rsidP="00704B61">
      <w:pPr>
        <w:jc w:val="center"/>
        <w:rPr>
          <w:rFonts w:ascii="Book Antiqua" w:hAnsi="Book Antiqua" w:cs="Arial"/>
          <w:b/>
        </w:rPr>
      </w:pPr>
    </w:p>
    <w:p w14:paraId="0CE0B71D"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23DD7F38" w14:textId="77777777" w:rsidR="00DD5071" w:rsidRPr="00B57D66" w:rsidRDefault="00DD5071" w:rsidP="00704B61">
      <w:pPr>
        <w:jc w:val="center"/>
        <w:rPr>
          <w:rFonts w:ascii="Book Antiqua" w:hAnsi="Book Antiqua" w:cs="Arial"/>
          <w:b/>
        </w:rPr>
      </w:pPr>
    </w:p>
    <w:p w14:paraId="03665D37"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0912C09B" w14:textId="77777777" w:rsidR="00DD5071" w:rsidRPr="00B57D66" w:rsidRDefault="00DD5071" w:rsidP="00DD5071">
      <w:pPr>
        <w:rPr>
          <w:rFonts w:ascii="Book Antiqua" w:hAnsi="Book Antiqua" w:cs="Arial"/>
          <w:u w:val="single"/>
        </w:rPr>
      </w:pPr>
    </w:p>
    <w:p w14:paraId="2F73A193" w14:textId="77777777" w:rsidR="00DD5071" w:rsidRPr="00B57D66" w:rsidRDefault="00DD5071" w:rsidP="00DD5071">
      <w:pPr>
        <w:rPr>
          <w:rFonts w:ascii="Book Antiqua" w:hAnsi="Book Antiqua" w:cs="Arial"/>
          <w:u w:val="single"/>
        </w:rPr>
      </w:pPr>
    </w:p>
    <w:p w14:paraId="020A3EC7"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5E16F883" w14:textId="77777777" w:rsidR="00DE7DB7" w:rsidRPr="00B57D66" w:rsidRDefault="00DE7DB7" w:rsidP="00DD5071">
      <w:pPr>
        <w:rPr>
          <w:rFonts w:ascii="Book Antiqua" w:hAnsi="Book Antiqua" w:cs="Arial"/>
        </w:rPr>
      </w:pPr>
    </w:p>
    <w:p w14:paraId="3248977A"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462EF0">
        <w:rPr>
          <w:rFonts w:ascii="Book Antiqua" w:hAnsi="Book Antiqua" w:cs="Arial"/>
        </w:rPr>
        <w:t xml:space="preserve">Ms S Alban, Legal Representative, Fountain Solicitors </w:t>
      </w:r>
    </w:p>
    <w:p w14:paraId="25E804A7"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462EF0">
        <w:rPr>
          <w:rFonts w:ascii="Book Antiqua" w:hAnsi="Book Antiqua" w:cs="Arial"/>
        </w:rPr>
        <w:t xml:space="preserve">Mr C Howells, Home Office Presenting Officer </w:t>
      </w:r>
    </w:p>
    <w:p w14:paraId="510752A2" w14:textId="77777777" w:rsidR="00DE7DB7" w:rsidRPr="00B57D66" w:rsidRDefault="00DE7DB7" w:rsidP="00402B9E">
      <w:pPr>
        <w:tabs>
          <w:tab w:val="left" w:pos="2520"/>
        </w:tabs>
        <w:jc w:val="center"/>
        <w:rPr>
          <w:rFonts w:ascii="Book Antiqua" w:hAnsi="Book Antiqua" w:cs="Arial"/>
        </w:rPr>
      </w:pPr>
    </w:p>
    <w:p w14:paraId="20F9F422" w14:textId="77777777" w:rsidR="00DE7DB7" w:rsidRPr="00B57D66" w:rsidRDefault="00DE7DB7" w:rsidP="00402B9E">
      <w:pPr>
        <w:tabs>
          <w:tab w:val="left" w:pos="2520"/>
        </w:tabs>
        <w:jc w:val="center"/>
        <w:rPr>
          <w:rFonts w:ascii="Book Antiqua" w:hAnsi="Book Antiqua" w:cs="Arial"/>
        </w:rPr>
      </w:pPr>
    </w:p>
    <w:p w14:paraId="301789AE"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12099D13" w14:textId="77777777" w:rsidR="00402B9E" w:rsidRPr="00B57D66" w:rsidRDefault="00402B9E" w:rsidP="00402B9E">
      <w:pPr>
        <w:tabs>
          <w:tab w:val="left" w:pos="2520"/>
        </w:tabs>
        <w:jc w:val="both"/>
        <w:rPr>
          <w:rFonts w:ascii="Book Antiqua" w:hAnsi="Book Antiqua" w:cs="Arial"/>
        </w:rPr>
      </w:pPr>
    </w:p>
    <w:p w14:paraId="15DB929C" w14:textId="77777777" w:rsidR="004B5AEF" w:rsidRDefault="004B5AEF" w:rsidP="00BF23BB">
      <w:pPr>
        <w:tabs>
          <w:tab w:val="left" w:pos="567"/>
        </w:tabs>
        <w:ind w:left="567" w:hanging="567"/>
        <w:jc w:val="both"/>
        <w:rPr>
          <w:rFonts w:ascii="Book Antiqua" w:hAnsi="Book Antiqua" w:cs="Arial"/>
        </w:rPr>
      </w:pPr>
    </w:p>
    <w:p w14:paraId="239420B2" w14:textId="77777777" w:rsidR="00173CC6" w:rsidRDefault="00462EF0" w:rsidP="00462EF0">
      <w:pPr>
        <w:tabs>
          <w:tab w:val="left" w:pos="567"/>
        </w:tabs>
        <w:ind w:left="567" w:hanging="567"/>
        <w:jc w:val="both"/>
        <w:rPr>
          <w:rFonts w:ascii="Book Antiqua" w:hAnsi="Book Antiqua" w:cs="Arial"/>
        </w:rPr>
      </w:pPr>
      <w:r w:rsidRPr="00462EF0">
        <w:rPr>
          <w:rFonts w:ascii="Book Antiqua" w:hAnsi="Book Antiqua" w:cs="Arial"/>
        </w:rPr>
        <w:t>1.</w:t>
      </w:r>
      <w:r>
        <w:rPr>
          <w:rFonts w:ascii="Book Antiqua" w:hAnsi="Book Antiqua" w:cs="Arial"/>
        </w:rPr>
        <w:tab/>
      </w:r>
      <w:r w:rsidRPr="00462EF0">
        <w:rPr>
          <w:rFonts w:ascii="Book Antiqua" w:hAnsi="Book Antiqua" w:cs="Arial"/>
        </w:rPr>
        <w:t xml:space="preserve">The appellant, a national of Ghana, has </w:t>
      </w:r>
      <w:r w:rsidR="00FA22C6" w:rsidRPr="00462EF0">
        <w:rPr>
          <w:rFonts w:ascii="Book Antiqua" w:hAnsi="Book Antiqua" w:cs="Arial"/>
        </w:rPr>
        <w:t>permission</w:t>
      </w:r>
      <w:r w:rsidRPr="00462EF0">
        <w:rPr>
          <w:rFonts w:ascii="Book Antiqua" w:hAnsi="Book Antiqua" w:cs="Arial"/>
        </w:rPr>
        <w:t xml:space="preserve"> to challenge the decision of Judge Trevaskis of the First-tier Tribunal (FtT) sent on 17 January 2018 dismissing her appeal </w:t>
      </w:r>
      <w:r w:rsidRPr="00462EF0">
        <w:rPr>
          <w:rFonts w:ascii="Book Antiqua" w:hAnsi="Book Antiqua" w:cs="Arial"/>
        </w:rPr>
        <w:lastRenderedPageBreak/>
        <w:t xml:space="preserve">against the decision made by the respondent on 14 September 2017 refusing her protection claim.  </w:t>
      </w:r>
    </w:p>
    <w:p w14:paraId="04B72515" w14:textId="77777777" w:rsidR="00462EF0" w:rsidRDefault="00462EF0" w:rsidP="00462EF0">
      <w:pPr>
        <w:tabs>
          <w:tab w:val="left" w:pos="567"/>
        </w:tabs>
        <w:ind w:left="567" w:hanging="567"/>
        <w:jc w:val="both"/>
        <w:rPr>
          <w:rFonts w:ascii="Book Antiqua" w:hAnsi="Book Antiqua" w:cs="Arial"/>
        </w:rPr>
      </w:pPr>
    </w:p>
    <w:p w14:paraId="011656FF" w14:textId="77777777" w:rsidR="00462EF0" w:rsidRDefault="00462EF0" w:rsidP="00462EF0">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I am grateful to both representatives for their submissions.  I do not consider that </w:t>
      </w:r>
      <w:r w:rsidR="00FA22C6">
        <w:rPr>
          <w:rFonts w:ascii="Book Antiqua" w:hAnsi="Book Antiqua" w:cs="Arial"/>
        </w:rPr>
        <w:t>the</w:t>
      </w:r>
      <w:r>
        <w:rPr>
          <w:rFonts w:ascii="Book Antiqua" w:hAnsi="Book Antiqua" w:cs="Arial"/>
        </w:rPr>
        <w:t xml:space="preserve"> appellant’s grounds withstand scrutiny.</w:t>
      </w:r>
    </w:p>
    <w:p w14:paraId="5114293C" w14:textId="77777777" w:rsidR="00462EF0" w:rsidRDefault="00462EF0" w:rsidP="00462EF0">
      <w:pPr>
        <w:tabs>
          <w:tab w:val="left" w:pos="567"/>
        </w:tabs>
        <w:ind w:left="567" w:hanging="567"/>
        <w:jc w:val="both"/>
        <w:rPr>
          <w:rFonts w:ascii="Book Antiqua" w:hAnsi="Book Antiqua" w:cs="Arial"/>
        </w:rPr>
      </w:pPr>
    </w:p>
    <w:p w14:paraId="0D7ED046" w14:textId="77777777" w:rsidR="00462EF0" w:rsidRDefault="00462EF0" w:rsidP="00462EF0">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principal two grounds contend that the judge erred in making adverse credibility findings on the basis of an </w:t>
      </w:r>
      <w:r w:rsidR="00E41EAC">
        <w:rPr>
          <w:rFonts w:ascii="Book Antiqua" w:hAnsi="Book Antiqua" w:cs="Arial"/>
        </w:rPr>
        <w:t xml:space="preserve">ethnocentric approach </w:t>
      </w:r>
      <w:r w:rsidR="00374FEB">
        <w:rPr>
          <w:rFonts w:ascii="Book Antiqua" w:hAnsi="Book Antiqua" w:cs="Arial"/>
        </w:rPr>
        <w:t>which failed</w:t>
      </w:r>
      <w:r w:rsidR="00E41EAC">
        <w:rPr>
          <w:rFonts w:ascii="Book Antiqua" w:hAnsi="Book Antiqua" w:cs="Arial"/>
        </w:rPr>
        <w:t xml:space="preserve"> to consider the cultural, traditional and religious norms.  The focus of this </w:t>
      </w:r>
      <w:r w:rsidR="00FA22C6">
        <w:rPr>
          <w:rFonts w:ascii="Book Antiqua" w:hAnsi="Book Antiqua" w:cs="Arial"/>
        </w:rPr>
        <w:t>ground</w:t>
      </w:r>
      <w:r w:rsidR="00E41EAC">
        <w:rPr>
          <w:rFonts w:ascii="Book Antiqua" w:hAnsi="Book Antiqua" w:cs="Arial"/>
        </w:rPr>
        <w:t xml:space="preserve"> is what the judge stated at paragraphs 56 and 58:</w:t>
      </w:r>
    </w:p>
    <w:p w14:paraId="4A002B6C" w14:textId="77777777" w:rsidR="00E41EAC" w:rsidRPr="00BC280D" w:rsidRDefault="00E41EAC" w:rsidP="00BC280D">
      <w:pPr>
        <w:spacing w:before="120" w:after="120"/>
        <w:ind w:left="1701" w:right="567" w:hanging="567"/>
        <w:jc w:val="both"/>
        <w:rPr>
          <w:rFonts w:ascii="Book Antiqua" w:hAnsi="Book Antiqua" w:cs="Arial"/>
          <w:sz w:val="22"/>
        </w:rPr>
      </w:pPr>
      <w:r w:rsidRPr="00BC280D">
        <w:rPr>
          <w:rFonts w:ascii="Book Antiqua" w:hAnsi="Book Antiqua" w:cs="Arial"/>
          <w:sz w:val="22"/>
        </w:rPr>
        <w:t>“56.</w:t>
      </w:r>
      <w:r w:rsidRPr="00BC280D">
        <w:rPr>
          <w:rFonts w:ascii="Book Antiqua" w:hAnsi="Book Antiqua" w:cs="Arial"/>
          <w:sz w:val="22"/>
        </w:rPr>
        <w:tab/>
      </w:r>
      <w:r w:rsidR="00461B4A" w:rsidRPr="00BC280D">
        <w:rPr>
          <w:rFonts w:ascii="Book Antiqua" w:hAnsi="Book Antiqua" w:cs="Arial"/>
          <w:sz w:val="22"/>
        </w:rPr>
        <w:t xml:space="preserve">In the absence of any supporting evidence about any aspect of her claim, the credibility of the appellant is the crucial factor in deciding whether she has established a real risk of harm on return, whether or not that </w:t>
      </w:r>
      <w:r w:rsidR="00FA22C6" w:rsidRPr="00BC280D">
        <w:rPr>
          <w:rFonts w:ascii="Book Antiqua" w:hAnsi="Book Antiqua" w:cs="Arial"/>
          <w:sz w:val="22"/>
        </w:rPr>
        <w:t>also</w:t>
      </w:r>
      <w:r w:rsidR="00461B4A" w:rsidRPr="00BC280D">
        <w:rPr>
          <w:rFonts w:ascii="Book Antiqua" w:hAnsi="Book Antiqua" w:cs="Arial"/>
          <w:sz w:val="22"/>
        </w:rPr>
        <w:t xml:space="preserve"> amounts to persecution.  I have </w:t>
      </w:r>
      <w:r w:rsidR="00FA22C6" w:rsidRPr="00BC280D">
        <w:rPr>
          <w:rFonts w:ascii="Book Antiqua" w:hAnsi="Book Antiqua" w:cs="Arial"/>
          <w:sz w:val="22"/>
        </w:rPr>
        <w:t>considered</w:t>
      </w:r>
      <w:r w:rsidR="00461B4A" w:rsidRPr="00BC280D">
        <w:rPr>
          <w:rFonts w:ascii="Book Antiqua" w:hAnsi="Book Antiqua" w:cs="Arial"/>
          <w:sz w:val="22"/>
        </w:rPr>
        <w:t xml:space="preserve"> her evidence in the round, including her answers in her asylum interview.  I have borne in mind that she was 25 years old and educated to university standard at the time of that interview.  Bearing those factors in mind, I found some of her answers to be incoherent.  She did not report the rape to the police because she did </w:t>
      </w:r>
      <w:r w:rsidR="00FA22C6" w:rsidRPr="00BC280D">
        <w:rPr>
          <w:rFonts w:ascii="Book Antiqua" w:hAnsi="Book Antiqua" w:cs="Arial"/>
          <w:sz w:val="22"/>
        </w:rPr>
        <w:t>not</w:t>
      </w:r>
      <w:r w:rsidR="00461B4A" w:rsidRPr="00BC280D">
        <w:rPr>
          <w:rFonts w:ascii="Book Antiqua" w:hAnsi="Book Antiqua" w:cs="Arial"/>
          <w:sz w:val="22"/>
        </w:rPr>
        <w:t xml:space="preserve"> know where the men stayed</w:t>
      </w:r>
      <w:r w:rsidR="00461B4A" w:rsidRPr="00BC280D">
        <w:rPr>
          <w:rFonts w:ascii="Book Antiqua" w:hAnsi="Book Antiqua" w:cs="Arial"/>
          <w:sz w:val="22"/>
          <w:vertAlign w:val="superscript"/>
        </w:rPr>
        <w:t>9</w:t>
      </w:r>
      <w:r w:rsidR="00461B4A" w:rsidRPr="00BC280D">
        <w:rPr>
          <w:rFonts w:ascii="Book Antiqua" w:hAnsi="Book Antiqua" w:cs="Arial"/>
          <w:sz w:val="22"/>
        </w:rPr>
        <w:t xml:space="preserve"> [footnote 9 asylum interview question]; she said that her sister left home but she cannot say when</w:t>
      </w:r>
      <w:r w:rsidR="00FA22C6" w:rsidRPr="00BC280D">
        <w:rPr>
          <w:rFonts w:ascii="Book Antiqua" w:hAnsi="Book Antiqua" w:cs="Arial"/>
          <w:sz w:val="22"/>
          <w:vertAlign w:val="superscript"/>
        </w:rPr>
        <w:t>10</w:t>
      </w:r>
      <w:r w:rsidR="00FA22C6" w:rsidRPr="00BC280D">
        <w:rPr>
          <w:rFonts w:ascii="Book Antiqua" w:hAnsi="Book Antiqua" w:cs="Arial"/>
          <w:sz w:val="22"/>
        </w:rPr>
        <w:t xml:space="preserve"> [footnote 10 asylum interview question 23]; </w:t>
      </w:r>
      <w:r w:rsidR="00461B4A" w:rsidRPr="00BC280D">
        <w:rPr>
          <w:rFonts w:ascii="Book Antiqua" w:hAnsi="Book Antiqua" w:cs="Arial"/>
          <w:sz w:val="22"/>
        </w:rPr>
        <w:t>she did not tell her mother that she had been raped because she was feeling bad inside and her mother could not do anything</w:t>
      </w:r>
      <w:r w:rsidR="00FA22C6" w:rsidRPr="00BC280D">
        <w:rPr>
          <w:rFonts w:ascii="Book Antiqua" w:hAnsi="Book Antiqua" w:cs="Arial"/>
          <w:sz w:val="22"/>
          <w:vertAlign w:val="superscript"/>
        </w:rPr>
        <w:t>11</w:t>
      </w:r>
      <w:r w:rsidR="00FA22C6" w:rsidRPr="00BC280D">
        <w:rPr>
          <w:rFonts w:ascii="Book Antiqua" w:hAnsi="Book Antiqua" w:cs="Arial"/>
          <w:sz w:val="22"/>
        </w:rPr>
        <w:t xml:space="preserve"> [footnote 11 asylum interview questions 24 and 25]</w:t>
      </w:r>
      <w:r w:rsidR="00461B4A" w:rsidRPr="00BC280D">
        <w:rPr>
          <w:rFonts w:ascii="Book Antiqua" w:hAnsi="Book Antiqua" w:cs="Arial"/>
          <w:sz w:val="22"/>
        </w:rPr>
        <w:t>; she did not tell A because he always beats her when they are talking</w:t>
      </w:r>
      <w:r w:rsidR="00FA22C6" w:rsidRPr="00BC280D">
        <w:rPr>
          <w:rFonts w:ascii="Book Antiqua" w:hAnsi="Book Antiqua" w:cs="Arial"/>
          <w:sz w:val="22"/>
          <w:vertAlign w:val="superscript"/>
        </w:rPr>
        <w:t>12</w:t>
      </w:r>
      <w:r w:rsidR="00FA22C6" w:rsidRPr="00BC280D">
        <w:rPr>
          <w:rFonts w:ascii="Book Antiqua" w:hAnsi="Book Antiqua" w:cs="Arial"/>
          <w:sz w:val="22"/>
        </w:rPr>
        <w:t xml:space="preserve"> [footnote 12 asylum interview question 32]</w:t>
      </w:r>
      <w:r w:rsidR="00461B4A" w:rsidRPr="00BC280D">
        <w:rPr>
          <w:rFonts w:ascii="Book Antiqua" w:hAnsi="Book Antiqua" w:cs="Arial"/>
          <w:sz w:val="22"/>
        </w:rPr>
        <w:t xml:space="preserve">; they were </w:t>
      </w:r>
      <w:r w:rsidR="00FA22C6" w:rsidRPr="00BC280D">
        <w:rPr>
          <w:rFonts w:ascii="Book Antiqua" w:hAnsi="Book Antiqua" w:cs="Arial"/>
          <w:sz w:val="22"/>
        </w:rPr>
        <w:t>dating for two years, but she did not tell her mother or introduce him to her mother because they promised each other to do this when they were getting married</w:t>
      </w:r>
      <w:r w:rsidR="00FA22C6" w:rsidRPr="00BC280D">
        <w:rPr>
          <w:rFonts w:ascii="Book Antiqua" w:hAnsi="Book Antiqua" w:cs="Arial"/>
          <w:sz w:val="22"/>
          <w:vertAlign w:val="superscript"/>
        </w:rPr>
        <w:t>13</w:t>
      </w:r>
      <w:r w:rsidR="00FA22C6" w:rsidRPr="00BC280D">
        <w:rPr>
          <w:rFonts w:ascii="Book Antiqua" w:hAnsi="Book Antiqua" w:cs="Arial"/>
          <w:sz w:val="22"/>
        </w:rPr>
        <w:t xml:space="preserve"> [footnote 13 asylum interview question 40]; her mother knows that she is in the United Kingdom, although she did not tell her mother that she was leaving, and she did not give her mother’s address to the friends of A who said they would find her mother and tell her</w:t>
      </w:r>
      <w:r w:rsidR="00FA22C6" w:rsidRPr="00BC280D">
        <w:rPr>
          <w:rFonts w:ascii="Book Antiqua" w:hAnsi="Book Antiqua" w:cs="Arial"/>
          <w:sz w:val="22"/>
          <w:vertAlign w:val="superscript"/>
        </w:rPr>
        <w:t>14</w:t>
      </w:r>
      <w:r w:rsidR="00FA22C6" w:rsidRPr="00BC280D">
        <w:rPr>
          <w:rFonts w:ascii="Book Antiqua" w:hAnsi="Book Antiqua" w:cs="Arial"/>
          <w:sz w:val="22"/>
        </w:rPr>
        <w:t xml:space="preserve"> [asylum interview questions at 50-54].</w:t>
      </w:r>
    </w:p>
    <w:p w14:paraId="11CA3E7A" w14:textId="77777777" w:rsidR="00E41EAC" w:rsidRPr="00BC280D" w:rsidRDefault="00E41EAC" w:rsidP="00BC280D">
      <w:pPr>
        <w:spacing w:before="120" w:after="120"/>
        <w:ind w:left="1701" w:right="567" w:hanging="567"/>
        <w:jc w:val="both"/>
        <w:rPr>
          <w:rFonts w:ascii="Book Antiqua" w:hAnsi="Book Antiqua" w:cs="Arial"/>
          <w:sz w:val="22"/>
        </w:rPr>
      </w:pPr>
      <w:r w:rsidRPr="00BC280D">
        <w:rPr>
          <w:rFonts w:ascii="Book Antiqua" w:hAnsi="Book Antiqua" w:cs="Arial"/>
          <w:sz w:val="22"/>
        </w:rPr>
        <w:t>…</w:t>
      </w:r>
    </w:p>
    <w:p w14:paraId="17818952" w14:textId="77777777" w:rsidR="00E41EAC" w:rsidRPr="00BC280D" w:rsidRDefault="00E41EAC" w:rsidP="00BC280D">
      <w:pPr>
        <w:spacing w:before="120" w:after="120"/>
        <w:ind w:left="1701" w:right="567" w:hanging="567"/>
        <w:jc w:val="both"/>
        <w:rPr>
          <w:rFonts w:ascii="Book Antiqua" w:hAnsi="Book Antiqua" w:cs="Arial"/>
          <w:sz w:val="22"/>
        </w:rPr>
      </w:pPr>
      <w:r w:rsidRPr="00BC280D">
        <w:rPr>
          <w:rFonts w:ascii="Book Antiqua" w:hAnsi="Book Antiqua" w:cs="Arial"/>
          <w:sz w:val="22"/>
        </w:rPr>
        <w:t>58.</w:t>
      </w:r>
      <w:r w:rsidRPr="00BC280D">
        <w:rPr>
          <w:rFonts w:ascii="Book Antiqua" w:hAnsi="Book Antiqua" w:cs="Arial"/>
          <w:sz w:val="22"/>
        </w:rPr>
        <w:tab/>
      </w:r>
      <w:r w:rsidR="00FA22C6" w:rsidRPr="00BC280D">
        <w:rPr>
          <w:rFonts w:ascii="Book Antiqua" w:hAnsi="Book Antiqua" w:cs="Arial"/>
          <w:sz w:val="22"/>
        </w:rPr>
        <w:t xml:space="preserve">If she was pregnant, and she realised the consequences for her two-year relationship, I do not find it credible that she would not have sought some medical intervention either to ensure that she was not in fact pregnant, or to terminate the pregnancy, particularly given her own level of access to the medical profession; it is not credible that a trained nurse would instead resort to an unidentified herbal remedy.  It is also not credible that she would not seek help from her mother, whether or not she also sought help from the police.  She said that she was committed to marry her </w:t>
      </w:r>
      <w:r w:rsidR="00F26AEF" w:rsidRPr="00BC280D">
        <w:rPr>
          <w:rFonts w:ascii="Book Antiqua" w:hAnsi="Book Antiqua" w:cs="Arial"/>
          <w:sz w:val="22"/>
        </w:rPr>
        <w:t>boyfriend</w:t>
      </w:r>
      <w:r w:rsidR="00FA22C6" w:rsidRPr="00BC280D">
        <w:rPr>
          <w:rFonts w:ascii="Book Antiqua" w:hAnsi="Book Antiqua" w:cs="Arial"/>
          <w:sz w:val="22"/>
        </w:rPr>
        <w:t>, and she described him as violent, so I do not believe that she would have simply hoped that he would not notice if she were pregnant</w:t>
      </w:r>
      <w:r w:rsidRPr="00BC280D">
        <w:rPr>
          <w:rFonts w:ascii="Book Antiqua" w:hAnsi="Book Antiqua" w:cs="Arial"/>
          <w:sz w:val="22"/>
        </w:rPr>
        <w:t>.”</w:t>
      </w:r>
    </w:p>
    <w:p w14:paraId="77057733" w14:textId="77777777" w:rsidR="00E41EAC" w:rsidRDefault="00E41EAC" w:rsidP="00462EF0">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two grounds are complemented by the contention, presented as a third ground, that the judge </w:t>
      </w:r>
      <w:r w:rsidR="00FA22C6">
        <w:rPr>
          <w:rFonts w:ascii="Book Antiqua" w:hAnsi="Book Antiqua" w:cs="Arial"/>
        </w:rPr>
        <w:t>failed</w:t>
      </w:r>
      <w:r>
        <w:rPr>
          <w:rFonts w:ascii="Book Antiqua" w:hAnsi="Book Antiqua" w:cs="Arial"/>
        </w:rPr>
        <w:t xml:space="preserve"> to consider the supporting objective evidence stating inter alia that:</w:t>
      </w:r>
    </w:p>
    <w:p w14:paraId="455FAF1D" w14:textId="77777777" w:rsidR="00E41EAC" w:rsidRDefault="00E41EAC" w:rsidP="00BC280D">
      <w:pPr>
        <w:spacing w:before="120" w:after="120"/>
        <w:ind w:left="1134" w:hanging="567"/>
        <w:jc w:val="both"/>
        <w:rPr>
          <w:rFonts w:ascii="Book Antiqua" w:hAnsi="Book Antiqua" w:cs="Arial"/>
        </w:rPr>
      </w:pPr>
      <w:r w:rsidRPr="00E41EAC">
        <w:rPr>
          <w:rFonts w:ascii="Book Antiqua" w:hAnsi="Book Antiqua" w:cs="Arial"/>
        </w:rPr>
        <w:t>(</w:t>
      </w:r>
      <w:proofErr w:type="spellStart"/>
      <w:r w:rsidRPr="00E41EAC">
        <w:rPr>
          <w:rFonts w:ascii="Book Antiqua" w:hAnsi="Book Antiqua" w:cs="Arial"/>
        </w:rPr>
        <w:t>i</w:t>
      </w:r>
      <w:proofErr w:type="spellEnd"/>
      <w:r>
        <w:rPr>
          <w:rFonts w:ascii="Book Antiqua" w:hAnsi="Book Antiqua" w:cs="Arial"/>
        </w:rPr>
        <w:t>)</w:t>
      </w:r>
      <w:r>
        <w:rPr>
          <w:rFonts w:ascii="Book Antiqua" w:hAnsi="Book Antiqua" w:cs="Arial"/>
        </w:rPr>
        <w:tab/>
        <w:t>women are often denied their statutory entitlement to inheritance and property by traditional practices and social norms;</w:t>
      </w:r>
    </w:p>
    <w:p w14:paraId="2BEB9C1C" w14:textId="77777777" w:rsidR="00E41EAC" w:rsidRDefault="00E41EAC" w:rsidP="00BC280D">
      <w:pPr>
        <w:spacing w:before="120" w:after="120"/>
        <w:ind w:left="1134" w:hanging="567"/>
        <w:jc w:val="both"/>
        <w:rPr>
          <w:rFonts w:ascii="Book Antiqua" w:hAnsi="Book Antiqua" w:cs="Arial"/>
        </w:rPr>
      </w:pPr>
      <w:r>
        <w:rPr>
          <w:rFonts w:ascii="Book Antiqua" w:hAnsi="Book Antiqua" w:cs="Arial"/>
        </w:rPr>
        <w:lastRenderedPageBreak/>
        <w:t>(ii)</w:t>
      </w:r>
      <w:r>
        <w:rPr>
          <w:rFonts w:ascii="Book Antiqua" w:hAnsi="Book Antiqua" w:cs="Arial"/>
        </w:rPr>
        <w:tab/>
        <w:t xml:space="preserve">women suffer from domestic violence and can endure it for financial reasons; </w:t>
      </w:r>
    </w:p>
    <w:p w14:paraId="45480C48" w14:textId="77777777" w:rsidR="00E41EAC" w:rsidRDefault="00E41EAC" w:rsidP="00BC280D">
      <w:pPr>
        <w:spacing w:before="120" w:after="120"/>
        <w:ind w:left="1134" w:hanging="567"/>
        <w:jc w:val="both"/>
        <w:rPr>
          <w:rFonts w:ascii="Book Antiqua" w:hAnsi="Book Antiqua" w:cs="Arial"/>
        </w:rPr>
      </w:pPr>
      <w:r>
        <w:rPr>
          <w:rFonts w:ascii="Book Antiqua" w:hAnsi="Book Antiqua" w:cs="Arial"/>
        </w:rPr>
        <w:t>(iii)</w:t>
      </w:r>
      <w:r>
        <w:rPr>
          <w:rFonts w:ascii="Book Antiqua" w:hAnsi="Book Antiqua" w:cs="Arial"/>
        </w:rPr>
        <w:tab/>
        <w:t xml:space="preserve">rape in Ghana is a serious and underreported problem; </w:t>
      </w:r>
    </w:p>
    <w:p w14:paraId="7DA83F7B" w14:textId="77777777" w:rsidR="00E41EAC" w:rsidRDefault="00E41EAC" w:rsidP="00BC280D">
      <w:pPr>
        <w:spacing w:before="120" w:after="120"/>
        <w:ind w:left="1134" w:hanging="567"/>
        <w:jc w:val="both"/>
        <w:rPr>
          <w:rFonts w:ascii="Book Antiqua" w:hAnsi="Book Antiqua" w:cs="Arial"/>
        </w:rPr>
      </w:pPr>
      <w:r>
        <w:rPr>
          <w:rFonts w:ascii="Book Antiqua" w:hAnsi="Book Antiqua" w:cs="Arial"/>
        </w:rPr>
        <w:t>(iv)</w:t>
      </w:r>
      <w:r>
        <w:rPr>
          <w:rFonts w:ascii="Book Antiqua" w:hAnsi="Book Antiqua" w:cs="Arial"/>
        </w:rPr>
        <w:tab/>
        <w:t xml:space="preserve">acid attacks by jilted </w:t>
      </w:r>
      <w:r w:rsidR="00FA22C6">
        <w:rPr>
          <w:rFonts w:ascii="Book Antiqua" w:hAnsi="Book Antiqua" w:cs="Arial"/>
        </w:rPr>
        <w:t>lovers</w:t>
      </w:r>
      <w:r>
        <w:rPr>
          <w:rFonts w:ascii="Book Antiqua" w:hAnsi="Book Antiqua" w:cs="Arial"/>
        </w:rPr>
        <w:t xml:space="preserve"> are common in Ghana; </w:t>
      </w:r>
    </w:p>
    <w:p w14:paraId="7F1A53C3" w14:textId="77777777" w:rsidR="00E41EAC" w:rsidRDefault="00E41EAC" w:rsidP="00BC280D">
      <w:pPr>
        <w:spacing w:before="120" w:after="120"/>
        <w:ind w:left="1134" w:hanging="567"/>
        <w:jc w:val="both"/>
        <w:rPr>
          <w:rFonts w:ascii="Book Antiqua" w:hAnsi="Book Antiqua" w:cs="Arial"/>
        </w:rPr>
      </w:pPr>
      <w:r>
        <w:rPr>
          <w:rFonts w:ascii="Book Antiqua" w:hAnsi="Book Antiqua" w:cs="Arial"/>
        </w:rPr>
        <w:t>(v)</w:t>
      </w:r>
      <w:r>
        <w:rPr>
          <w:rFonts w:ascii="Book Antiqua" w:hAnsi="Book Antiqua" w:cs="Arial"/>
        </w:rPr>
        <w:tab/>
        <w:t xml:space="preserve">any woman who gets pregnant before marriage is regarded as a disgrace to her family and society.  </w:t>
      </w:r>
    </w:p>
    <w:p w14:paraId="65577D1E" w14:textId="77777777" w:rsidR="00E41EAC" w:rsidRPr="00E41EAC" w:rsidRDefault="00E41EAC" w:rsidP="00E41EAC">
      <w:pPr>
        <w:ind w:left="567"/>
        <w:jc w:val="both"/>
        <w:rPr>
          <w:rFonts w:ascii="Book Antiqua" w:hAnsi="Book Antiqua" w:cs="Arial"/>
        </w:rPr>
      </w:pPr>
      <w:r>
        <w:rPr>
          <w:rFonts w:ascii="Book Antiqua" w:hAnsi="Book Antiqua" w:cs="Arial"/>
        </w:rPr>
        <w:t>It was</w:t>
      </w:r>
      <w:r w:rsidR="00374FEB">
        <w:rPr>
          <w:rFonts w:ascii="Book Antiqua" w:hAnsi="Book Antiqua" w:cs="Arial"/>
        </w:rPr>
        <w:t xml:space="preserve"> </w:t>
      </w:r>
      <w:proofErr w:type="gramStart"/>
      <w:r w:rsidR="00374FEB">
        <w:rPr>
          <w:rFonts w:ascii="Book Antiqua" w:hAnsi="Book Antiqua" w:cs="Arial"/>
        </w:rPr>
        <w:t xml:space="preserve">also </w:t>
      </w:r>
      <w:r>
        <w:rPr>
          <w:rFonts w:ascii="Book Antiqua" w:hAnsi="Book Antiqua" w:cs="Arial"/>
        </w:rPr>
        <w:t xml:space="preserve"> contended</w:t>
      </w:r>
      <w:proofErr w:type="gramEnd"/>
      <w:r>
        <w:rPr>
          <w:rFonts w:ascii="Book Antiqua" w:hAnsi="Book Antiqua" w:cs="Arial"/>
        </w:rPr>
        <w:t xml:space="preserve"> that the judge had relied unduly on inherent (im)probability.</w:t>
      </w:r>
    </w:p>
    <w:p w14:paraId="6867DEBC" w14:textId="77777777" w:rsidR="00E41EAC" w:rsidRDefault="00E41EAC" w:rsidP="00462EF0">
      <w:pPr>
        <w:tabs>
          <w:tab w:val="left" w:pos="567"/>
        </w:tabs>
        <w:ind w:left="567" w:hanging="567"/>
        <w:jc w:val="both"/>
        <w:rPr>
          <w:rFonts w:ascii="Book Antiqua" w:hAnsi="Book Antiqua" w:cs="Arial"/>
        </w:rPr>
      </w:pPr>
    </w:p>
    <w:p w14:paraId="73D8AF48" w14:textId="77777777" w:rsidR="00E41EAC" w:rsidRDefault="00E41EAC" w:rsidP="00462EF0">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It is convenient to first address the third ground.  Read as a whole</w:t>
      </w:r>
      <w:r w:rsidR="00374FEB">
        <w:rPr>
          <w:rFonts w:ascii="Book Antiqua" w:hAnsi="Book Antiqua" w:cs="Arial"/>
        </w:rPr>
        <w:t xml:space="preserve">, </w:t>
      </w:r>
      <w:r>
        <w:rPr>
          <w:rFonts w:ascii="Book Antiqua" w:hAnsi="Book Antiqua" w:cs="Arial"/>
        </w:rPr>
        <w:t xml:space="preserve"> the judge’s decision shows that he did have regard to the background country information, indeed quoting at paragraph 23 from the respondent</w:t>
      </w:r>
      <w:r w:rsidR="00374FEB">
        <w:rPr>
          <w:rFonts w:ascii="Book Antiqua" w:hAnsi="Book Antiqua" w:cs="Arial"/>
        </w:rPr>
        <w:t>’s</w:t>
      </w:r>
      <w:r>
        <w:rPr>
          <w:rFonts w:ascii="Book Antiqua" w:hAnsi="Book Antiqua" w:cs="Arial"/>
        </w:rPr>
        <w:t xml:space="preserve"> Country Policy and Information Note Ghana, </w:t>
      </w:r>
      <w:r w:rsidR="00FA22C6">
        <w:rPr>
          <w:rFonts w:ascii="Book Antiqua" w:hAnsi="Book Antiqua" w:cs="Arial"/>
        </w:rPr>
        <w:t>Version</w:t>
      </w:r>
      <w:r>
        <w:rPr>
          <w:rFonts w:ascii="Book Antiqua" w:hAnsi="Book Antiqua" w:cs="Arial"/>
        </w:rPr>
        <w:t xml:space="preserve"> 1.0 December 2016 and specifically noting at paragraph 31 the appellant’s submissions with reference to the bundles produced by both parties (see paragraph 22) that “[t]here is background evidence which shows that women are subjected to violence, including rape and acid attacks in Ghana, and that there are limited </w:t>
      </w:r>
      <w:r w:rsidR="000C38E0">
        <w:rPr>
          <w:rFonts w:ascii="Book Antiqua" w:hAnsi="Book Antiqua" w:cs="Arial"/>
        </w:rPr>
        <w:t xml:space="preserve">economic opportunities for women, especially those in a similar </w:t>
      </w:r>
      <w:r w:rsidR="00130B57">
        <w:rPr>
          <w:rFonts w:ascii="Book Antiqua" w:hAnsi="Book Antiqua" w:cs="Arial"/>
        </w:rPr>
        <w:t>situation</w:t>
      </w:r>
      <w:r w:rsidR="000C38E0">
        <w:rPr>
          <w:rFonts w:ascii="Book Antiqua" w:hAnsi="Book Antiqua" w:cs="Arial"/>
        </w:rPr>
        <w:t xml:space="preserve"> to the appellant” [four pages of the appellant’s bundle are footnoted].  At paragraph 41 the judge </w:t>
      </w:r>
      <w:r w:rsidR="00130B57">
        <w:rPr>
          <w:rFonts w:ascii="Book Antiqua" w:hAnsi="Book Antiqua" w:cs="Arial"/>
        </w:rPr>
        <w:t>states</w:t>
      </w:r>
      <w:r w:rsidR="000C38E0">
        <w:rPr>
          <w:rFonts w:ascii="Book Antiqua" w:hAnsi="Book Antiqua" w:cs="Arial"/>
        </w:rPr>
        <w:t xml:space="preserve"> that his findings are based on all the evidence, including that set out in the parties’ bundles.  At paragraph 59 the judge also refers to “the country information quoted above”.  Although that paragraph addresses the issue of a particular social group</w:t>
      </w:r>
      <w:r w:rsidR="00374FEB">
        <w:rPr>
          <w:rFonts w:ascii="Book Antiqua" w:hAnsi="Book Antiqua" w:cs="Arial"/>
        </w:rPr>
        <w:t>,</w:t>
      </w:r>
      <w:r w:rsidR="000C38E0">
        <w:rPr>
          <w:rFonts w:ascii="Book Antiqua" w:hAnsi="Book Antiqua" w:cs="Arial"/>
        </w:rPr>
        <w:t xml:space="preserve"> it is in the context of evaluating the credibility of her “account of the reason for her fears on return to Ghana”</w:t>
      </w:r>
      <w:r w:rsidR="00F26AEF">
        <w:rPr>
          <w:rFonts w:ascii="Book Antiqua" w:hAnsi="Book Antiqua" w:cs="Arial"/>
        </w:rPr>
        <w:t>.  At</w:t>
      </w:r>
      <w:r w:rsidR="000C38E0">
        <w:rPr>
          <w:rFonts w:ascii="Book Antiqua" w:hAnsi="Book Antiqua" w:cs="Arial"/>
        </w:rPr>
        <w:t xml:space="preserve"> paragraph 72, albeit in the context of assessing Article 8, the judge again refers expressly to “background information” regarding discrimination in Ghana.  I am satisfied that the judge’s assessment </w:t>
      </w:r>
      <w:r w:rsidR="009666DD">
        <w:rPr>
          <w:rFonts w:ascii="Book Antiqua" w:hAnsi="Book Antiqua" w:cs="Arial"/>
        </w:rPr>
        <w:t xml:space="preserve">was clearly made in the context of the background country information.  Further, I cannot see that any of </w:t>
      </w:r>
      <w:r w:rsidR="00130B57">
        <w:rPr>
          <w:rFonts w:ascii="Book Antiqua" w:hAnsi="Book Antiqua" w:cs="Arial"/>
        </w:rPr>
        <w:t>the</w:t>
      </w:r>
      <w:r w:rsidR="009666DD">
        <w:rPr>
          <w:rFonts w:ascii="Book Antiqua" w:hAnsi="Book Antiqua" w:cs="Arial"/>
        </w:rPr>
        <w:t xml:space="preserve"> </w:t>
      </w:r>
      <w:r w:rsidR="00130B57">
        <w:rPr>
          <w:rFonts w:ascii="Book Antiqua" w:hAnsi="Book Antiqua" w:cs="Arial"/>
        </w:rPr>
        <w:t xml:space="preserve">judge’s </w:t>
      </w:r>
      <w:r w:rsidR="009666DD">
        <w:rPr>
          <w:rFonts w:ascii="Book Antiqua" w:hAnsi="Book Antiqua" w:cs="Arial"/>
        </w:rPr>
        <w:t xml:space="preserve">findings are in conflict with the </w:t>
      </w:r>
      <w:r w:rsidR="00130B57">
        <w:rPr>
          <w:rFonts w:ascii="Book Antiqua" w:hAnsi="Book Antiqua" w:cs="Arial"/>
        </w:rPr>
        <w:t>background</w:t>
      </w:r>
      <w:r w:rsidR="009666DD">
        <w:rPr>
          <w:rFonts w:ascii="Book Antiqua" w:hAnsi="Book Antiqua" w:cs="Arial"/>
        </w:rPr>
        <w:t xml:space="preserve"> country information; it is simply that on the judge’s findings as regards the appellant’s particular circumstances this information did not establish she would be at risk.</w:t>
      </w:r>
    </w:p>
    <w:p w14:paraId="5AC946F4" w14:textId="77777777" w:rsidR="009666DD" w:rsidRDefault="009666DD" w:rsidP="00462EF0">
      <w:pPr>
        <w:tabs>
          <w:tab w:val="left" w:pos="567"/>
        </w:tabs>
        <w:ind w:left="567" w:hanging="567"/>
        <w:jc w:val="both"/>
        <w:rPr>
          <w:rFonts w:ascii="Book Antiqua" w:hAnsi="Book Antiqua" w:cs="Arial"/>
        </w:rPr>
      </w:pPr>
    </w:p>
    <w:p w14:paraId="76B3EAC2" w14:textId="77777777" w:rsidR="009666DD" w:rsidRDefault="009666DD" w:rsidP="00462EF0">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My assessment of ground 3 to some extent frames my assessment of the first two </w:t>
      </w:r>
      <w:r w:rsidR="00130B57">
        <w:rPr>
          <w:rFonts w:ascii="Book Antiqua" w:hAnsi="Book Antiqua" w:cs="Arial"/>
        </w:rPr>
        <w:t>grounds</w:t>
      </w:r>
      <w:r>
        <w:rPr>
          <w:rFonts w:ascii="Book Antiqua" w:hAnsi="Book Antiqua" w:cs="Arial"/>
        </w:rPr>
        <w:t>.</w:t>
      </w:r>
    </w:p>
    <w:p w14:paraId="6F4218CC" w14:textId="77777777" w:rsidR="009666DD" w:rsidRDefault="009666DD" w:rsidP="00462EF0">
      <w:pPr>
        <w:tabs>
          <w:tab w:val="left" w:pos="567"/>
        </w:tabs>
        <w:ind w:left="567" w:hanging="567"/>
        <w:jc w:val="both"/>
        <w:rPr>
          <w:rFonts w:ascii="Book Antiqua" w:hAnsi="Book Antiqua" w:cs="Arial"/>
        </w:rPr>
      </w:pPr>
    </w:p>
    <w:p w14:paraId="55BE41EB" w14:textId="77777777" w:rsidR="009666DD" w:rsidRDefault="009666DD" w:rsidP="00462EF0">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As regards the attack on paragraph 56</w:t>
      </w:r>
      <w:r w:rsidR="00374FEB">
        <w:rPr>
          <w:rFonts w:ascii="Book Antiqua" w:hAnsi="Book Antiqua" w:cs="Arial"/>
        </w:rPr>
        <w:t>,</w:t>
      </w:r>
      <w:r>
        <w:rPr>
          <w:rFonts w:ascii="Book Antiqua" w:hAnsi="Book Antiqua" w:cs="Arial"/>
        </w:rPr>
        <w:t xml:space="preserve"> it must first of all be observed that the judge’s focus in this passage was on the appellant’s asylum interview.  Paragraph 58 was not </w:t>
      </w:r>
      <w:r w:rsidR="00374FEB">
        <w:rPr>
          <w:rFonts w:ascii="Book Antiqua" w:hAnsi="Book Antiqua" w:cs="Arial"/>
        </w:rPr>
        <w:t xml:space="preserve">intended to encapsulate </w:t>
      </w:r>
      <w:r>
        <w:rPr>
          <w:rFonts w:ascii="Book Antiqua" w:hAnsi="Book Antiqua" w:cs="Arial"/>
        </w:rPr>
        <w:t xml:space="preserve">the entirety of </w:t>
      </w:r>
      <w:r w:rsidR="00C2552E">
        <w:rPr>
          <w:rFonts w:ascii="Book Antiqua" w:hAnsi="Book Antiqua" w:cs="Arial"/>
        </w:rPr>
        <w:t>the judge’s</w:t>
      </w:r>
      <w:r w:rsidR="00374FEB">
        <w:rPr>
          <w:rFonts w:ascii="Book Antiqua" w:hAnsi="Book Antiqua" w:cs="Arial"/>
        </w:rPr>
        <w:t xml:space="preserve"> credibility assessment.  The la</w:t>
      </w:r>
      <w:r w:rsidR="00C2552E">
        <w:rPr>
          <w:rFonts w:ascii="Book Antiqua" w:hAnsi="Book Antiqua" w:cs="Arial"/>
        </w:rPr>
        <w:t>tter also took into account her oral evidence at the hearing (see paragraphs 57-58).  There was no challenge to paragraph 57.</w:t>
      </w:r>
    </w:p>
    <w:p w14:paraId="7EF3BF4A" w14:textId="77777777" w:rsidR="00C2552E" w:rsidRDefault="00C2552E" w:rsidP="00462EF0">
      <w:pPr>
        <w:tabs>
          <w:tab w:val="left" w:pos="567"/>
        </w:tabs>
        <w:ind w:left="567" w:hanging="567"/>
        <w:jc w:val="both"/>
        <w:rPr>
          <w:rFonts w:ascii="Book Antiqua" w:hAnsi="Book Antiqua" w:cs="Arial"/>
        </w:rPr>
      </w:pPr>
    </w:p>
    <w:p w14:paraId="67FE81CD" w14:textId="77777777" w:rsidR="00C2552E" w:rsidRDefault="00C2552E" w:rsidP="00462EF0">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grounds voice disagreement with the judge’s assessment of </w:t>
      </w:r>
      <w:r w:rsidR="00130B57">
        <w:rPr>
          <w:rFonts w:ascii="Book Antiqua" w:hAnsi="Book Antiqua" w:cs="Arial"/>
        </w:rPr>
        <w:t>various</w:t>
      </w:r>
      <w:r>
        <w:rPr>
          <w:rFonts w:ascii="Book Antiqua" w:hAnsi="Book Antiqua" w:cs="Arial"/>
        </w:rPr>
        <w:t xml:space="preserve"> answers given by the appellant as “incoherent” but in my judgement </w:t>
      </w:r>
      <w:r w:rsidR="00374FEB">
        <w:rPr>
          <w:rFonts w:ascii="Book Antiqua" w:hAnsi="Book Antiqua" w:cs="Arial"/>
        </w:rPr>
        <w:t xml:space="preserve">the judge’s assessment </w:t>
      </w:r>
      <w:r>
        <w:rPr>
          <w:rFonts w:ascii="Book Antiqua" w:hAnsi="Book Antiqua" w:cs="Arial"/>
        </w:rPr>
        <w:t xml:space="preserve">was within the </w:t>
      </w:r>
      <w:r w:rsidR="00130B57">
        <w:rPr>
          <w:rFonts w:ascii="Book Antiqua" w:hAnsi="Book Antiqua" w:cs="Arial"/>
        </w:rPr>
        <w:t>range</w:t>
      </w:r>
      <w:r>
        <w:rPr>
          <w:rFonts w:ascii="Book Antiqua" w:hAnsi="Book Antiqua" w:cs="Arial"/>
        </w:rPr>
        <w:t xml:space="preserve"> of reasonable responses.  </w:t>
      </w:r>
      <w:r w:rsidR="00374FEB">
        <w:rPr>
          <w:rFonts w:ascii="Book Antiqua" w:hAnsi="Book Antiqua" w:cs="Arial"/>
        </w:rPr>
        <w:t>Certainly,</w:t>
      </w:r>
      <w:r>
        <w:rPr>
          <w:rFonts w:ascii="Book Antiqua" w:hAnsi="Book Antiqua" w:cs="Arial"/>
        </w:rPr>
        <w:t xml:space="preserve"> it has been not been shown that the judge’s assessment was based on a failure to understand social and cultural norms of Ghanaian society.  It is also important to bear in mind that the judge was here summarising the appellant’s answers: the precise sequence of questions and answers in each of these issues was more detailed.  The judge’s assessment of this interview was </w:t>
      </w:r>
      <w:r w:rsidR="00374FEB">
        <w:rPr>
          <w:rFonts w:ascii="Book Antiqua" w:hAnsi="Book Antiqua" w:cs="Arial"/>
        </w:rPr>
        <w:t xml:space="preserve">one that was open to him </w:t>
      </w:r>
      <w:r>
        <w:rPr>
          <w:rFonts w:ascii="Book Antiqua" w:hAnsi="Book Antiqua" w:cs="Arial"/>
        </w:rPr>
        <w:t xml:space="preserve">considering the interview answers as a whole and it was </w:t>
      </w:r>
      <w:r w:rsidR="00374FEB">
        <w:rPr>
          <w:rFonts w:ascii="Book Antiqua" w:hAnsi="Book Antiqua" w:cs="Arial"/>
        </w:rPr>
        <w:lastRenderedPageBreak/>
        <w:t xml:space="preserve">also </w:t>
      </w:r>
      <w:r>
        <w:rPr>
          <w:rFonts w:ascii="Book Antiqua" w:hAnsi="Book Antiqua" w:cs="Arial"/>
        </w:rPr>
        <w:t xml:space="preserve">open to the judge to take into account in this respect </w:t>
      </w:r>
      <w:r w:rsidR="00130B57">
        <w:rPr>
          <w:rFonts w:ascii="Book Antiqua" w:hAnsi="Book Antiqua" w:cs="Arial"/>
        </w:rPr>
        <w:t>that</w:t>
      </w:r>
      <w:r>
        <w:rPr>
          <w:rFonts w:ascii="Book Antiqua" w:hAnsi="Book Antiqua" w:cs="Arial"/>
        </w:rPr>
        <w:t xml:space="preserve"> </w:t>
      </w:r>
      <w:r w:rsidR="00130B57">
        <w:rPr>
          <w:rFonts w:ascii="Book Antiqua" w:hAnsi="Book Antiqua" w:cs="Arial"/>
        </w:rPr>
        <w:t>the</w:t>
      </w:r>
      <w:r>
        <w:rPr>
          <w:rFonts w:ascii="Book Antiqua" w:hAnsi="Book Antiqua" w:cs="Arial"/>
        </w:rPr>
        <w:t xml:space="preserve"> appellant was “25 years old and educated to a university stan</w:t>
      </w:r>
      <w:r w:rsidR="00130B57">
        <w:rPr>
          <w:rFonts w:ascii="Book Antiqua" w:hAnsi="Book Antiqua" w:cs="Arial"/>
        </w:rPr>
        <w:t>da</w:t>
      </w:r>
      <w:r>
        <w:rPr>
          <w:rFonts w:ascii="Book Antiqua" w:hAnsi="Book Antiqua" w:cs="Arial"/>
        </w:rPr>
        <w:t>rd” (paragraph 56).</w:t>
      </w:r>
    </w:p>
    <w:p w14:paraId="29C6827F" w14:textId="77777777" w:rsidR="00C2552E" w:rsidRDefault="00C2552E" w:rsidP="00462EF0">
      <w:pPr>
        <w:tabs>
          <w:tab w:val="left" w:pos="567"/>
        </w:tabs>
        <w:ind w:left="567" w:hanging="567"/>
        <w:jc w:val="both"/>
        <w:rPr>
          <w:rFonts w:ascii="Book Antiqua" w:hAnsi="Book Antiqua" w:cs="Arial"/>
        </w:rPr>
      </w:pPr>
    </w:p>
    <w:p w14:paraId="3F8900A1" w14:textId="77777777" w:rsidR="00C2552E" w:rsidRDefault="00C2552E" w:rsidP="00462EF0">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Similar considerations apply to the judge’s assessment at paragraph 56, where once again the judge’s assessment took particular account of the appellant’s qualifications as a nurse and access to the medical profession.  Ms Alban said, a</w:t>
      </w:r>
      <w:r w:rsidR="00374FEB">
        <w:rPr>
          <w:rFonts w:ascii="Book Antiqua" w:hAnsi="Book Antiqua" w:cs="Arial"/>
        </w:rPr>
        <w:t xml:space="preserve"> </w:t>
      </w:r>
      <w:r>
        <w:rPr>
          <w:rFonts w:ascii="Book Antiqua" w:hAnsi="Book Antiqua" w:cs="Arial"/>
        </w:rPr>
        <w:t xml:space="preserve">propos of paragraph 58, that it was contrary to the background evidence for the judge to exclude that </w:t>
      </w:r>
      <w:r w:rsidR="00130B57">
        <w:rPr>
          <w:rFonts w:ascii="Book Antiqua" w:hAnsi="Book Antiqua" w:cs="Arial"/>
        </w:rPr>
        <w:t>someone</w:t>
      </w:r>
      <w:r>
        <w:rPr>
          <w:rFonts w:ascii="Book Antiqua" w:hAnsi="Book Antiqua" w:cs="Arial"/>
        </w:rPr>
        <w:t xml:space="preserve"> in the appellant’s position would have relied on herbal remedies, but that </w:t>
      </w:r>
      <w:r w:rsidR="00130B57">
        <w:rPr>
          <w:rFonts w:ascii="Book Antiqua" w:hAnsi="Book Antiqua" w:cs="Arial"/>
        </w:rPr>
        <w:t>amounts</w:t>
      </w:r>
      <w:r>
        <w:rPr>
          <w:rFonts w:ascii="Book Antiqua" w:hAnsi="Book Antiqua" w:cs="Arial"/>
        </w:rPr>
        <w:t xml:space="preserve"> to a mere disagreement with the judge’s findings (based on having seen and heard from the appellant) that the appellant’s medical training and knowledge made that unlikely.</w:t>
      </w:r>
    </w:p>
    <w:p w14:paraId="05E9E6B3" w14:textId="77777777" w:rsidR="00C2552E" w:rsidRDefault="00C2552E" w:rsidP="00462EF0">
      <w:pPr>
        <w:tabs>
          <w:tab w:val="left" w:pos="567"/>
        </w:tabs>
        <w:ind w:left="567" w:hanging="567"/>
        <w:jc w:val="both"/>
        <w:rPr>
          <w:rFonts w:ascii="Book Antiqua" w:hAnsi="Book Antiqua" w:cs="Arial"/>
        </w:rPr>
      </w:pPr>
    </w:p>
    <w:p w14:paraId="79441C11" w14:textId="77777777" w:rsidR="00C2552E" w:rsidRPr="00462EF0" w:rsidRDefault="00C2552E" w:rsidP="00462EF0">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For the above reasons I conclude that the judge did not materially err in law and his decision to dismiss the appellant’s appeal must stand.  </w:t>
      </w:r>
    </w:p>
    <w:p w14:paraId="44F5BD79" w14:textId="77777777" w:rsidR="00462EF0" w:rsidRPr="00462EF0" w:rsidRDefault="00462EF0" w:rsidP="00462EF0">
      <w:pPr>
        <w:ind w:left="567" w:hanging="567"/>
      </w:pPr>
    </w:p>
    <w:p w14:paraId="2272AA31" w14:textId="77777777" w:rsidR="00462EF0" w:rsidRDefault="00462EF0" w:rsidP="00BF23BB">
      <w:pPr>
        <w:tabs>
          <w:tab w:val="left" w:pos="567"/>
        </w:tabs>
        <w:ind w:left="567" w:hanging="567"/>
        <w:jc w:val="both"/>
        <w:rPr>
          <w:rFonts w:ascii="Book Antiqua" w:hAnsi="Book Antiqua" w:cs="Arial"/>
        </w:rPr>
      </w:pPr>
    </w:p>
    <w:p w14:paraId="23F7EE79" w14:textId="77777777" w:rsidR="00E22C32" w:rsidRDefault="00E22C32" w:rsidP="00BF23BB">
      <w:pPr>
        <w:tabs>
          <w:tab w:val="left" w:pos="567"/>
        </w:tabs>
        <w:ind w:left="567" w:hanging="567"/>
        <w:jc w:val="both"/>
        <w:rPr>
          <w:rFonts w:ascii="Book Antiqua" w:hAnsi="Book Antiqua" w:cs="Arial"/>
        </w:rPr>
      </w:pPr>
    </w:p>
    <w:p w14:paraId="7984552C"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64C4622F" w14:textId="77777777" w:rsidR="00173CC6" w:rsidRPr="00173CC6" w:rsidRDefault="00173CC6" w:rsidP="00173CC6">
      <w:pPr>
        <w:jc w:val="both"/>
        <w:rPr>
          <w:rFonts w:ascii="Book Antiqua" w:hAnsi="Book Antiqua" w:cs="Arial"/>
        </w:rPr>
      </w:pPr>
    </w:p>
    <w:p w14:paraId="5CF77FD0"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ppellant is granted anonymity.  No report of these proceedings shall directly or indirectly identify h</w:t>
      </w:r>
      <w:r w:rsidR="00461B4A">
        <w:rPr>
          <w:rFonts w:ascii="Book Antiqua" w:hAnsi="Book Antiqua"/>
        </w:rPr>
        <w:t>er</w:t>
      </w:r>
      <w:r w:rsidRPr="00173CC6">
        <w:rPr>
          <w:rFonts w:ascii="Book Antiqua" w:hAnsi="Book Antiqua"/>
        </w:rPr>
        <w:t xml:space="preserve"> or any member of </w:t>
      </w:r>
      <w:r w:rsidR="00461B4A">
        <w:rPr>
          <w:rFonts w:ascii="Book Antiqua" w:hAnsi="Book Antiqua"/>
        </w:rPr>
        <w:t>her</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1DEF2721" w14:textId="77777777" w:rsidR="00173CC6" w:rsidRPr="00B57D66" w:rsidRDefault="00173CC6" w:rsidP="00BF23BB">
      <w:pPr>
        <w:tabs>
          <w:tab w:val="left" w:pos="567"/>
        </w:tabs>
        <w:ind w:left="567" w:hanging="567"/>
        <w:jc w:val="both"/>
        <w:rPr>
          <w:rFonts w:ascii="Book Antiqua" w:hAnsi="Book Antiqua" w:cs="Arial"/>
        </w:rPr>
      </w:pPr>
    </w:p>
    <w:p w14:paraId="3C9B489B" w14:textId="77777777" w:rsidR="009F5220" w:rsidRPr="00B57D66" w:rsidRDefault="009F5220" w:rsidP="00780F86">
      <w:pPr>
        <w:ind w:left="540" w:hanging="540"/>
        <w:jc w:val="both"/>
        <w:rPr>
          <w:rFonts w:ascii="Book Antiqua" w:hAnsi="Book Antiqua" w:cs="Arial"/>
        </w:rPr>
      </w:pPr>
    </w:p>
    <w:p w14:paraId="2C3D2A2B" w14:textId="77777777" w:rsidR="009F5220" w:rsidRPr="00B57D66" w:rsidRDefault="009F5220" w:rsidP="00780F86">
      <w:pPr>
        <w:ind w:left="540" w:hanging="540"/>
        <w:jc w:val="both"/>
        <w:rPr>
          <w:rFonts w:ascii="Book Antiqua" w:hAnsi="Book Antiqua" w:cs="Arial"/>
        </w:rPr>
      </w:pPr>
    </w:p>
    <w:p w14:paraId="41876E84" w14:textId="77777777" w:rsidR="009F5220" w:rsidRPr="00B57D66" w:rsidRDefault="009F5220" w:rsidP="00780F86">
      <w:pPr>
        <w:ind w:left="540" w:hanging="540"/>
        <w:jc w:val="both"/>
        <w:rPr>
          <w:rFonts w:ascii="Book Antiqua" w:hAnsi="Book Antiqua" w:cs="Arial"/>
        </w:rPr>
      </w:pPr>
    </w:p>
    <w:p w14:paraId="03A78EF4" w14:textId="77777777" w:rsidR="00A509FA" w:rsidRPr="00B57D66" w:rsidRDefault="00A509FA" w:rsidP="00780F86">
      <w:pPr>
        <w:ind w:left="540" w:hanging="540"/>
        <w:jc w:val="both"/>
        <w:rPr>
          <w:rFonts w:ascii="Book Antiqua" w:hAnsi="Book Antiqua" w:cs="Arial"/>
        </w:rPr>
      </w:pPr>
    </w:p>
    <w:p w14:paraId="4E23E7AE"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374FEB">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374FEB">
        <w:rPr>
          <w:rFonts w:ascii="Book Antiqua" w:hAnsi="Book Antiqua" w:cs="Arial"/>
        </w:rPr>
        <w:t>: 7 August 2018</w:t>
      </w:r>
    </w:p>
    <w:p w14:paraId="527BCB29" w14:textId="77777777" w:rsidR="001F2716" w:rsidRPr="00B57D66" w:rsidRDefault="00374FEB"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52A9C8BD" wp14:editId="5686CA02">
            <wp:extent cx="1714500" cy="510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722DD2A3" w14:textId="77777777" w:rsidR="001F2716" w:rsidRPr="00B57D66" w:rsidRDefault="001F2716" w:rsidP="00402B9E">
      <w:pPr>
        <w:tabs>
          <w:tab w:val="left" w:pos="2520"/>
        </w:tabs>
        <w:ind w:left="540" w:hanging="540"/>
        <w:jc w:val="both"/>
        <w:rPr>
          <w:rFonts w:ascii="Book Antiqua" w:hAnsi="Book Antiqua" w:cs="Arial"/>
        </w:rPr>
      </w:pPr>
    </w:p>
    <w:p w14:paraId="62F6A2E3" w14:textId="35E0A5E1"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064874A6" w14:textId="4A8C10D8" w:rsidR="007003A6" w:rsidRDefault="007003A6" w:rsidP="007702DD">
      <w:pPr>
        <w:tabs>
          <w:tab w:val="left" w:pos="2520"/>
        </w:tabs>
        <w:ind w:left="540" w:hanging="540"/>
        <w:jc w:val="both"/>
        <w:rPr>
          <w:rFonts w:ascii="Book Antiqua" w:hAnsi="Book Antiqua" w:cs="Arial"/>
          <w:color w:val="000000"/>
        </w:rPr>
      </w:pPr>
      <w:r>
        <w:rPr>
          <w:rFonts w:ascii="Book Antiqua" w:hAnsi="Book Antiqua" w:cs="Arial"/>
          <w:color w:val="000000"/>
        </w:rPr>
        <w:t>Judge of the Upper Tribunal</w:t>
      </w:r>
    </w:p>
    <w:sectPr w:rsidR="007003A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DFAD6" w14:textId="77777777" w:rsidR="00494AB8" w:rsidRDefault="00494AB8">
      <w:r>
        <w:separator/>
      </w:r>
    </w:p>
  </w:endnote>
  <w:endnote w:type="continuationSeparator" w:id="0">
    <w:p w14:paraId="61CCD1E7" w14:textId="77777777" w:rsidR="00494AB8" w:rsidRDefault="0049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90A35" w14:textId="334E3C0E"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6A18EF">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2EF2"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B90BB" w14:textId="77777777" w:rsidR="00494AB8" w:rsidRDefault="00494AB8">
      <w:r>
        <w:separator/>
      </w:r>
    </w:p>
  </w:footnote>
  <w:footnote w:type="continuationSeparator" w:id="0">
    <w:p w14:paraId="39A124C7" w14:textId="77777777" w:rsidR="00494AB8" w:rsidRDefault="0049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9170"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462EF0" w:rsidRPr="00462EF0">
      <w:rPr>
        <w:rFonts w:ascii="Book Antiqua" w:hAnsi="Book Antiqua" w:cs="Arial"/>
        <w:sz w:val="16"/>
        <w:szCs w:val="16"/>
      </w:rPr>
      <w:t>PA/09753/2017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1CC71"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2C9F"/>
    <w:multiLevelType w:val="hybridMultilevel"/>
    <w:tmpl w:val="678E22AE"/>
    <w:lvl w:ilvl="0" w:tplc="66924BB2">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EDF0A55"/>
    <w:multiLevelType w:val="hybridMultilevel"/>
    <w:tmpl w:val="1BCCCE12"/>
    <w:lvl w:ilvl="0" w:tplc="9B4ADB92">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32"/>
    <w:rsid w:val="00000621"/>
    <w:rsid w:val="000036C2"/>
    <w:rsid w:val="00033D3D"/>
    <w:rsid w:val="00041A05"/>
    <w:rsid w:val="00062F02"/>
    <w:rsid w:val="00071A7E"/>
    <w:rsid w:val="000746C0"/>
    <w:rsid w:val="00074D1D"/>
    <w:rsid w:val="00082E32"/>
    <w:rsid w:val="00092580"/>
    <w:rsid w:val="00093D4D"/>
    <w:rsid w:val="000A2820"/>
    <w:rsid w:val="000A383D"/>
    <w:rsid w:val="000C38E0"/>
    <w:rsid w:val="000D326A"/>
    <w:rsid w:val="000D5D94"/>
    <w:rsid w:val="000F1A0E"/>
    <w:rsid w:val="001165A7"/>
    <w:rsid w:val="00130B57"/>
    <w:rsid w:val="00152059"/>
    <w:rsid w:val="00167D3A"/>
    <w:rsid w:val="00173CC6"/>
    <w:rsid w:val="001A3082"/>
    <w:rsid w:val="001B186A"/>
    <w:rsid w:val="001B2F75"/>
    <w:rsid w:val="001D4DD2"/>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74FEB"/>
    <w:rsid w:val="003A7CF2"/>
    <w:rsid w:val="003C5CE5"/>
    <w:rsid w:val="003E267B"/>
    <w:rsid w:val="003E7CD1"/>
    <w:rsid w:val="003F367D"/>
    <w:rsid w:val="00402B9E"/>
    <w:rsid w:val="004249CB"/>
    <w:rsid w:val="00426616"/>
    <w:rsid w:val="0044127D"/>
    <w:rsid w:val="004448DB"/>
    <w:rsid w:val="00446C9A"/>
    <w:rsid w:val="00452F2B"/>
    <w:rsid w:val="00461B4A"/>
    <w:rsid w:val="00462EF0"/>
    <w:rsid w:val="0046454F"/>
    <w:rsid w:val="00471B09"/>
    <w:rsid w:val="00477193"/>
    <w:rsid w:val="00494AB8"/>
    <w:rsid w:val="004A1848"/>
    <w:rsid w:val="004A6F4A"/>
    <w:rsid w:val="004B5AEF"/>
    <w:rsid w:val="004E4717"/>
    <w:rsid w:val="00500E0C"/>
    <w:rsid w:val="005076C0"/>
    <w:rsid w:val="00507FEC"/>
    <w:rsid w:val="00510F0E"/>
    <w:rsid w:val="00524860"/>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A18EF"/>
    <w:rsid w:val="006B2B73"/>
    <w:rsid w:val="006C5560"/>
    <w:rsid w:val="006F2CF1"/>
    <w:rsid w:val="007003A6"/>
    <w:rsid w:val="00700CB3"/>
    <w:rsid w:val="007038ED"/>
    <w:rsid w:val="00703BC3"/>
    <w:rsid w:val="00704B61"/>
    <w:rsid w:val="00720D28"/>
    <w:rsid w:val="0073084D"/>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666DD"/>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D17CF"/>
    <w:rsid w:val="00B26AA2"/>
    <w:rsid w:val="00B3524D"/>
    <w:rsid w:val="00B40F69"/>
    <w:rsid w:val="00B448D5"/>
    <w:rsid w:val="00B46616"/>
    <w:rsid w:val="00B57A87"/>
    <w:rsid w:val="00B57D66"/>
    <w:rsid w:val="00B7040A"/>
    <w:rsid w:val="00B83391"/>
    <w:rsid w:val="00B95326"/>
    <w:rsid w:val="00BB45A9"/>
    <w:rsid w:val="00BC280D"/>
    <w:rsid w:val="00BD4196"/>
    <w:rsid w:val="00BE2F3A"/>
    <w:rsid w:val="00BF22CA"/>
    <w:rsid w:val="00BF23BB"/>
    <w:rsid w:val="00C2552E"/>
    <w:rsid w:val="00C26032"/>
    <w:rsid w:val="00C345E1"/>
    <w:rsid w:val="00C43BFD"/>
    <w:rsid w:val="00C816AD"/>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2C32"/>
    <w:rsid w:val="00E24E82"/>
    <w:rsid w:val="00E30683"/>
    <w:rsid w:val="00E4074F"/>
    <w:rsid w:val="00E41EAC"/>
    <w:rsid w:val="00E453D8"/>
    <w:rsid w:val="00E500B2"/>
    <w:rsid w:val="00E50BCE"/>
    <w:rsid w:val="00E556B8"/>
    <w:rsid w:val="00E574BF"/>
    <w:rsid w:val="00E61292"/>
    <w:rsid w:val="00E77C4D"/>
    <w:rsid w:val="00E81D01"/>
    <w:rsid w:val="00E82519"/>
    <w:rsid w:val="00ED6E0E"/>
    <w:rsid w:val="00EE075C"/>
    <w:rsid w:val="00EE45D8"/>
    <w:rsid w:val="00F17123"/>
    <w:rsid w:val="00F22EDA"/>
    <w:rsid w:val="00F26AEF"/>
    <w:rsid w:val="00F35C16"/>
    <w:rsid w:val="00F465D5"/>
    <w:rsid w:val="00F47952"/>
    <w:rsid w:val="00F93ABB"/>
    <w:rsid w:val="00F95BB7"/>
    <w:rsid w:val="00FA22C6"/>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94EB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62EF0"/>
    <w:pPr>
      <w:ind w:left="720"/>
      <w:contextualSpacing/>
    </w:pPr>
  </w:style>
  <w:style w:type="paragraph" w:styleId="FootnoteText">
    <w:name w:val="footnote text"/>
    <w:basedOn w:val="Normal"/>
    <w:link w:val="FootnoteTextChar"/>
    <w:rsid w:val="00461B4A"/>
    <w:rPr>
      <w:sz w:val="20"/>
      <w:szCs w:val="20"/>
    </w:rPr>
  </w:style>
  <w:style w:type="character" w:customStyle="1" w:styleId="FootnoteTextChar">
    <w:name w:val="Footnote Text Char"/>
    <w:basedOn w:val="DefaultParagraphFont"/>
    <w:link w:val="FootnoteText"/>
    <w:rsid w:val="00461B4A"/>
  </w:style>
  <w:style w:type="character" w:styleId="FootnoteReference">
    <w:name w:val="footnote reference"/>
    <w:basedOn w:val="DefaultParagraphFont"/>
    <w:rsid w:val="00461B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7122</Characters>
  <Application>Microsoft Office Word</Application>
  <DocSecurity>0</DocSecurity>
  <Lines>59</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2018-09-05T11:03:00Z</dcterms:created>
  <dcterms:modified xsi:type="dcterms:W3CDTF">2018-09-05T11:03:00Z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