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0320FB" w:rsidRDefault="00F81D1E" w:rsidP="008F0F55">
      <w:pPr>
        <w:jc w:val="center"/>
        <w:rPr>
          <w:rFonts w:ascii="Book Antiqua" w:hAnsi="Book Antiqua" w:cs="Arial"/>
          <w:sz w:val="16"/>
          <w:szCs w:val="16"/>
        </w:rPr>
      </w:pPr>
      <w:r w:rsidRPr="000320FB">
        <w:rPr>
          <w:rFonts w:ascii="Book Antiqua" w:hAnsi="Book Antiqua"/>
          <w:noProof/>
          <w:sz w:val="16"/>
          <w:szCs w:val="16"/>
        </w:rPr>
        <w:drawing>
          <wp:inline distT="0" distB="0" distL="0" distR="0" wp14:anchorId="5B3E18BB" wp14:editId="7847A75B">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2A7F7A91" w14:textId="77777777" w:rsidR="008F0F55" w:rsidRPr="000320FB" w:rsidRDefault="00355BD1">
      <w:pPr>
        <w:rPr>
          <w:rFonts w:ascii="Book Antiqua" w:hAnsi="Book Antiqua" w:cs="Arial"/>
          <w:sz w:val="16"/>
          <w:szCs w:val="16"/>
        </w:rPr>
      </w:pPr>
    </w:p>
    <w:p w14:paraId="778DE1A4"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19165009" w14:textId="346CA577"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r w:rsidR="0082373D">
        <w:rPr>
          <w:rFonts w:ascii="Book Antiqua" w:hAnsi="Book Antiqua" w:cs="Arial"/>
        </w:rPr>
        <w:t>PA/</w:t>
      </w:r>
      <w:r w:rsidR="00DE0594">
        <w:rPr>
          <w:rFonts w:ascii="Book Antiqua" w:hAnsi="Book Antiqua" w:cs="Arial"/>
        </w:rPr>
        <w:t>09862/2017</w:t>
      </w:r>
    </w:p>
    <w:p w14:paraId="08091BB3" w14:textId="77777777" w:rsidR="008F0F55" w:rsidRPr="00F146AE" w:rsidRDefault="00355BD1" w:rsidP="008F0F55">
      <w:pPr>
        <w:jc w:val="center"/>
        <w:rPr>
          <w:rFonts w:ascii="Book Antiqua" w:hAnsi="Book Antiqua" w:cs="Arial"/>
        </w:rPr>
      </w:pPr>
    </w:p>
    <w:p w14:paraId="60785EDE" w14:textId="77777777" w:rsidR="008F0F55" w:rsidRPr="00F146AE" w:rsidRDefault="00355BD1"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355BD1" w:rsidP="008F0F55">
      <w:pPr>
        <w:jc w:val="center"/>
        <w:rPr>
          <w:rFonts w:ascii="Book Antiqua" w:hAnsi="Book Antiqua" w:cs="Arial"/>
          <w:b/>
          <w:u w:val="single"/>
        </w:rPr>
      </w:pPr>
    </w:p>
    <w:p w14:paraId="5CE9D877" w14:textId="77777777" w:rsidR="008F0F55" w:rsidRPr="00F146AE" w:rsidRDefault="00355BD1" w:rsidP="008F0F55">
      <w:pPr>
        <w:jc w:val="center"/>
        <w:rPr>
          <w:rFonts w:ascii="Book Antiqua" w:hAnsi="Book Antiqua" w:cs="Arial"/>
          <w:b/>
          <w:u w:val="single"/>
        </w:rPr>
      </w:pPr>
    </w:p>
    <w:tbl>
      <w:tblPr>
        <w:tblW w:w="0" w:type="auto"/>
        <w:tblLook w:val="01E0" w:firstRow="1" w:lastRow="1" w:firstColumn="1" w:lastColumn="1" w:noHBand="0" w:noVBand="0"/>
      </w:tblPr>
      <w:tblGrid>
        <w:gridCol w:w="5098"/>
        <w:gridCol w:w="968"/>
        <w:gridCol w:w="3562"/>
      </w:tblGrid>
      <w:tr w:rsidR="008F0F55" w:rsidRPr="00035322" w14:paraId="2E330527" w14:textId="77777777" w:rsidTr="002A6A2C">
        <w:tc>
          <w:tcPr>
            <w:tcW w:w="5098" w:type="dxa"/>
          </w:tcPr>
          <w:p w14:paraId="12222D24" w14:textId="53BB726D"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DE0594">
              <w:rPr>
                <w:rFonts w:ascii="Book Antiqua" w:hAnsi="Book Antiqua" w:cs="Arial"/>
                <w:b/>
              </w:rPr>
              <w:t>Bradford</w:t>
            </w:r>
          </w:p>
        </w:tc>
        <w:tc>
          <w:tcPr>
            <w:tcW w:w="4530" w:type="dxa"/>
            <w:gridSpan w:val="2"/>
          </w:tcPr>
          <w:p w14:paraId="442A84BC" w14:textId="7C972E25" w:rsidR="008F0F55" w:rsidRPr="00035322" w:rsidRDefault="00F81D1E" w:rsidP="00F81D1E">
            <w:pPr>
              <w:jc w:val="both"/>
              <w:rPr>
                <w:rFonts w:ascii="Book Antiqua" w:hAnsi="Book Antiqua" w:cs="Arial"/>
                <w:b/>
              </w:rPr>
            </w:pPr>
            <w:r w:rsidRPr="00035322">
              <w:rPr>
                <w:rFonts w:ascii="Book Antiqua" w:hAnsi="Book Antiqua" w:cs="Arial"/>
                <w:b/>
              </w:rPr>
              <w:t>De</w:t>
            </w:r>
            <w:r>
              <w:rPr>
                <w:rFonts w:ascii="Book Antiqua" w:hAnsi="Book Antiqua" w:cs="Arial"/>
                <w:b/>
              </w:rPr>
              <w:t>cision</w:t>
            </w:r>
            <w:r w:rsidR="002A6A2C">
              <w:rPr>
                <w:rFonts w:ascii="Book Antiqua" w:hAnsi="Book Antiqua" w:cs="Arial"/>
                <w:b/>
              </w:rPr>
              <w:t xml:space="preserve"> and Reasons </w:t>
            </w:r>
            <w:r w:rsidR="002A6A2C" w:rsidRPr="00035322">
              <w:rPr>
                <w:rFonts w:ascii="Book Antiqua" w:hAnsi="Book Antiqua" w:cs="Arial"/>
                <w:b/>
              </w:rPr>
              <w:t>Promulgated</w:t>
            </w:r>
          </w:p>
        </w:tc>
      </w:tr>
      <w:tr w:rsidR="008F0F55" w:rsidRPr="00035322" w14:paraId="44428417" w14:textId="77777777" w:rsidTr="002A6A2C">
        <w:tc>
          <w:tcPr>
            <w:tcW w:w="5098" w:type="dxa"/>
          </w:tcPr>
          <w:p w14:paraId="76596F5F" w14:textId="4975C461"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DE0594">
              <w:rPr>
                <w:rFonts w:ascii="Book Antiqua" w:hAnsi="Book Antiqua" w:cs="Arial"/>
                <w:b/>
              </w:rPr>
              <w:t>5 July 2018</w:t>
            </w:r>
          </w:p>
        </w:tc>
        <w:tc>
          <w:tcPr>
            <w:tcW w:w="4530" w:type="dxa"/>
            <w:gridSpan w:val="2"/>
          </w:tcPr>
          <w:p w14:paraId="60129748" w14:textId="1372D2F7" w:rsidR="008F0F55" w:rsidRPr="00035322" w:rsidRDefault="002A6A2C" w:rsidP="008F0F55">
            <w:pPr>
              <w:jc w:val="both"/>
              <w:rPr>
                <w:rFonts w:ascii="Book Antiqua" w:hAnsi="Book Antiqua" w:cs="Arial"/>
                <w:b/>
              </w:rPr>
            </w:pPr>
            <w:r>
              <w:rPr>
                <w:rFonts w:ascii="Book Antiqua" w:hAnsi="Book Antiqua" w:cs="Arial"/>
                <w:b/>
              </w:rPr>
              <w:t xml:space="preserve">On </w:t>
            </w:r>
            <w:r w:rsidR="004B6A27">
              <w:rPr>
                <w:rFonts w:ascii="Book Antiqua" w:hAnsi="Book Antiqua" w:cs="Arial"/>
                <w:b/>
              </w:rPr>
              <w:t>9</w:t>
            </w:r>
            <w:r>
              <w:rPr>
                <w:rFonts w:ascii="Book Antiqua" w:hAnsi="Book Antiqua" w:cs="Arial"/>
                <w:b/>
              </w:rPr>
              <w:t xml:space="preserve"> July 2018 </w:t>
            </w:r>
          </w:p>
        </w:tc>
      </w:tr>
      <w:tr w:rsidR="008F0F55" w:rsidRPr="00035322" w14:paraId="1F233C5F" w14:textId="77777777" w:rsidTr="002A6A2C">
        <w:tc>
          <w:tcPr>
            <w:tcW w:w="6066" w:type="dxa"/>
            <w:gridSpan w:val="2"/>
          </w:tcPr>
          <w:p w14:paraId="46D24584" w14:textId="77777777" w:rsidR="008F0F55" w:rsidRPr="00035322" w:rsidRDefault="00355BD1" w:rsidP="008F0F55">
            <w:pPr>
              <w:jc w:val="both"/>
              <w:rPr>
                <w:rFonts w:ascii="Book Antiqua" w:hAnsi="Book Antiqua" w:cs="Arial"/>
                <w:b/>
              </w:rPr>
            </w:pPr>
          </w:p>
        </w:tc>
        <w:tc>
          <w:tcPr>
            <w:tcW w:w="3562" w:type="dxa"/>
          </w:tcPr>
          <w:p w14:paraId="0BC1A6A8" w14:textId="75D2D709" w:rsidR="008F0F55" w:rsidRPr="00035322" w:rsidRDefault="00355BD1" w:rsidP="008F0F55">
            <w:pPr>
              <w:jc w:val="both"/>
              <w:rPr>
                <w:rFonts w:ascii="Book Antiqua" w:hAnsi="Book Antiqua" w:cs="Arial"/>
                <w:b/>
              </w:rPr>
            </w:pPr>
          </w:p>
        </w:tc>
      </w:tr>
    </w:tbl>
    <w:p w14:paraId="2FAA90B8" w14:textId="77777777" w:rsidR="008F0F55" w:rsidRPr="00F146AE" w:rsidRDefault="00355BD1"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355BD1" w:rsidP="008F0F55">
      <w:pPr>
        <w:jc w:val="center"/>
        <w:rPr>
          <w:rFonts w:ascii="Book Antiqua" w:hAnsi="Book Antiqua" w:cs="Arial"/>
          <w:b/>
        </w:rPr>
      </w:pPr>
    </w:p>
    <w:p w14:paraId="7757D50B"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668F1F50" w14:textId="77777777" w:rsidR="000320FB" w:rsidRDefault="000320FB" w:rsidP="008F0F55">
      <w:pPr>
        <w:jc w:val="center"/>
        <w:rPr>
          <w:rFonts w:ascii="Book Antiqua" w:hAnsi="Book Antiqua" w:cs="Arial"/>
          <w:b/>
        </w:rPr>
      </w:pPr>
    </w:p>
    <w:p w14:paraId="78FE4DC1" w14:textId="77777777" w:rsidR="000320FB" w:rsidRDefault="000320FB" w:rsidP="008F0F55">
      <w:pPr>
        <w:jc w:val="center"/>
        <w:rPr>
          <w:rFonts w:ascii="Book Antiqua" w:hAnsi="Book Antiqua" w:cs="Arial"/>
          <w:b/>
        </w:rPr>
      </w:pPr>
    </w:p>
    <w:p w14:paraId="7F950F83" w14:textId="1BB139AC"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355BD1" w:rsidP="008F0F55">
      <w:pPr>
        <w:jc w:val="center"/>
        <w:rPr>
          <w:rFonts w:ascii="Book Antiqua" w:hAnsi="Book Antiqua" w:cs="Arial"/>
          <w:b/>
        </w:rPr>
      </w:pPr>
    </w:p>
    <w:p w14:paraId="36C28499" w14:textId="4E992BF9" w:rsidR="008F0F55" w:rsidRDefault="00F913EC" w:rsidP="008F0F55">
      <w:pPr>
        <w:jc w:val="center"/>
        <w:rPr>
          <w:rFonts w:ascii="Book Antiqua" w:hAnsi="Book Antiqua" w:cs="Arial"/>
          <w:b/>
        </w:rPr>
      </w:pPr>
      <w:r>
        <w:rPr>
          <w:rFonts w:ascii="Book Antiqua" w:hAnsi="Book Antiqua" w:cs="Arial"/>
          <w:b/>
        </w:rPr>
        <w:t xml:space="preserve">Hawker </w:t>
      </w:r>
      <w:r w:rsidR="00145949">
        <w:rPr>
          <w:rFonts w:ascii="Book Antiqua" w:hAnsi="Book Antiqua" w:cs="Arial"/>
          <w:b/>
        </w:rPr>
        <w:t>[</w:t>
      </w:r>
      <w:r>
        <w:rPr>
          <w:rFonts w:ascii="Book Antiqua" w:hAnsi="Book Antiqua" w:cs="Arial"/>
          <w:b/>
        </w:rPr>
        <w:t>I</w:t>
      </w:r>
      <w:r w:rsidR="00145949">
        <w:rPr>
          <w:rFonts w:ascii="Book Antiqua" w:hAnsi="Book Antiqua" w:cs="Arial"/>
          <w:b/>
        </w:rPr>
        <w:t>]</w:t>
      </w:r>
      <w:bookmarkStart w:id="0" w:name="_GoBack"/>
      <w:bookmarkEnd w:id="0"/>
    </w:p>
    <w:p w14:paraId="5F65B1C1" w14:textId="77777777" w:rsidR="008F0F55" w:rsidRDefault="00F81D1E" w:rsidP="008F0F55">
      <w:pPr>
        <w:jc w:val="center"/>
        <w:rPr>
          <w:rFonts w:ascii="Book Antiqua" w:hAnsi="Book Antiqua" w:cs="Arial"/>
          <w:b/>
        </w:rPr>
      </w:pPr>
      <w:r>
        <w:rPr>
          <w:rFonts w:ascii="Book Antiqua" w:hAnsi="Book Antiqua" w:cs="Arial"/>
          <w:b/>
        </w:rPr>
        <w:t>[No 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25DA8E"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355BD1" w:rsidP="008F0F55">
      <w:pPr>
        <w:jc w:val="center"/>
        <w:rPr>
          <w:rFonts w:ascii="Book Antiqua" w:hAnsi="Book Antiqua" w:cs="Arial"/>
          <w:b/>
        </w:rPr>
      </w:pPr>
    </w:p>
    <w:p w14:paraId="380E110F" w14:textId="737AC99A" w:rsidR="008F0F55" w:rsidRDefault="00A0095C"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4EF9CFE3" w:rsidR="008F0F55" w:rsidRDefault="00355BD1" w:rsidP="008F0F55">
      <w:pPr>
        <w:rPr>
          <w:rFonts w:ascii="Book Antiqua" w:hAnsi="Book Antiqua" w:cs="Arial"/>
          <w:u w:val="single"/>
        </w:rPr>
      </w:pPr>
    </w:p>
    <w:p w14:paraId="60A90B28" w14:textId="77777777" w:rsidR="000320FB" w:rsidRPr="00F146AE" w:rsidRDefault="000320FB"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07D2F409" w14:textId="0141127D"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987CE2">
        <w:rPr>
          <w:rFonts w:ascii="Book Antiqua" w:hAnsi="Book Antiqua" w:cs="Arial"/>
        </w:rPr>
        <w:t>Mr T Hussain</w:t>
      </w:r>
      <w:r>
        <w:rPr>
          <w:rFonts w:ascii="Book Antiqua" w:hAnsi="Book Antiqua" w:cs="Arial"/>
        </w:rPr>
        <w:t xml:space="preserve">, instructed by </w:t>
      </w:r>
      <w:proofErr w:type="spellStart"/>
      <w:r w:rsidR="00987CE2">
        <w:rPr>
          <w:rFonts w:ascii="Book Antiqua" w:hAnsi="Book Antiqua" w:cs="Arial"/>
        </w:rPr>
        <w:t>Bankfield</w:t>
      </w:r>
      <w:proofErr w:type="spellEnd"/>
      <w:r w:rsidR="00987CE2">
        <w:rPr>
          <w:rFonts w:ascii="Book Antiqua" w:hAnsi="Book Antiqua" w:cs="Arial"/>
        </w:rPr>
        <w:t xml:space="preserve"> Heath Solicitors</w:t>
      </w:r>
    </w:p>
    <w:p w14:paraId="42E8BC5C" w14:textId="1317396A"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987CE2">
        <w:rPr>
          <w:rFonts w:ascii="Book Antiqua" w:hAnsi="Book Antiqua" w:cs="Arial"/>
        </w:rPr>
        <w:t>Ms R Pettersen</w:t>
      </w:r>
      <w:r>
        <w:rPr>
          <w:rFonts w:ascii="Book Antiqua" w:hAnsi="Book Antiqua" w:cs="Arial"/>
        </w:rPr>
        <w:t>, Senior Home Office Presenting Officer</w:t>
      </w:r>
    </w:p>
    <w:p w14:paraId="758EED03" w14:textId="77777777" w:rsidR="008F0F55" w:rsidRPr="00F146AE" w:rsidRDefault="00355BD1" w:rsidP="008F0F55">
      <w:pPr>
        <w:tabs>
          <w:tab w:val="left" w:pos="2520"/>
        </w:tabs>
        <w:jc w:val="center"/>
        <w:rPr>
          <w:rFonts w:ascii="Book Antiqua" w:hAnsi="Book Antiqua" w:cs="Arial"/>
        </w:rPr>
      </w:pPr>
    </w:p>
    <w:p w14:paraId="28FDCE15" w14:textId="77777777" w:rsidR="000320FB" w:rsidRDefault="000320FB" w:rsidP="008F0F55">
      <w:pPr>
        <w:tabs>
          <w:tab w:val="left" w:pos="2520"/>
        </w:tabs>
        <w:jc w:val="center"/>
        <w:rPr>
          <w:rFonts w:ascii="Book Antiqua" w:hAnsi="Book Antiqua" w:cs="Arial"/>
          <w:b/>
          <w:u w:val="single"/>
        </w:rPr>
      </w:pPr>
    </w:p>
    <w:p w14:paraId="072772E5" w14:textId="501DF99D"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46B4A4C3" w14:textId="77777777" w:rsidR="004B392D" w:rsidRDefault="00F81D1E" w:rsidP="000320FB">
      <w:pPr>
        <w:numPr>
          <w:ilvl w:val="0"/>
          <w:numId w:val="3"/>
        </w:numPr>
        <w:spacing w:before="160"/>
        <w:jc w:val="both"/>
        <w:rPr>
          <w:rFonts w:ascii="Book Antiqua" w:hAnsi="Book Antiqua" w:cs="Arial"/>
        </w:rPr>
      </w:pPr>
      <w:r>
        <w:rPr>
          <w:rFonts w:ascii="Book Antiqua" w:hAnsi="Book Antiqua" w:cs="Arial"/>
        </w:rPr>
        <w:t xml:space="preserve">This is </w:t>
      </w:r>
      <w:r w:rsidR="003E7F7B">
        <w:rPr>
          <w:rFonts w:ascii="Book Antiqua" w:hAnsi="Book Antiqua" w:cs="Arial"/>
        </w:rPr>
        <w:t xml:space="preserve">the appellant’s </w:t>
      </w:r>
      <w:r>
        <w:rPr>
          <w:rFonts w:ascii="Book Antiqua" w:hAnsi="Book Antiqua" w:cs="Arial"/>
        </w:rPr>
        <w:t xml:space="preserve">appeal against the decision of First-tier Tribunal Judge </w:t>
      </w:r>
      <w:r w:rsidR="00A0095C">
        <w:rPr>
          <w:rFonts w:ascii="Book Antiqua" w:hAnsi="Book Antiqua" w:cs="Arial"/>
        </w:rPr>
        <w:t>O’Hanlon</w:t>
      </w:r>
      <w:r w:rsidR="00FC346C">
        <w:rPr>
          <w:rFonts w:ascii="Book Antiqua" w:hAnsi="Book Antiqua" w:cs="Arial"/>
        </w:rPr>
        <w:t xml:space="preserve"> promulgated </w:t>
      </w:r>
      <w:r w:rsidR="00A0095C">
        <w:rPr>
          <w:rFonts w:ascii="Book Antiqua" w:hAnsi="Book Antiqua" w:cs="Arial"/>
        </w:rPr>
        <w:t>6.12.17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A0095C">
        <w:rPr>
          <w:rFonts w:ascii="Book Antiqua" w:hAnsi="Book Antiqua" w:cs="Arial"/>
        </w:rPr>
        <w:t xml:space="preserve">on all grounds </w:t>
      </w:r>
      <w:r>
        <w:rPr>
          <w:rFonts w:ascii="Book Antiqua" w:hAnsi="Book Antiqua" w:cs="Arial"/>
        </w:rPr>
        <w:t xml:space="preserve">his appeal against the decision of the </w:t>
      </w:r>
      <w:r w:rsidR="00FC346C">
        <w:rPr>
          <w:rFonts w:ascii="Book Antiqua" w:hAnsi="Book Antiqua" w:cs="Arial"/>
        </w:rPr>
        <w:t xml:space="preserve">Secretary of State, dated </w:t>
      </w:r>
      <w:r w:rsidR="00A0095C">
        <w:rPr>
          <w:rFonts w:ascii="Book Antiqua" w:hAnsi="Book Antiqua" w:cs="Arial"/>
        </w:rPr>
        <w:t>20.9.17</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w:t>
      </w:r>
      <w:r w:rsidR="00A0095C">
        <w:rPr>
          <w:rFonts w:ascii="Book Antiqua" w:hAnsi="Book Antiqua" w:cs="Arial"/>
        </w:rPr>
        <w:t>protection claim</w:t>
      </w:r>
      <w:r w:rsidR="004B392D">
        <w:rPr>
          <w:rFonts w:ascii="Book Antiqua" w:hAnsi="Book Antiqua" w:cs="Arial"/>
        </w:rPr>
        <w:t>.</w:t>
      </w:r>
    </w:p>
    <w:p w14:paraId="50F2D2D7" w14:textId="161D4302" w:rsidR="008F0F55" w:rsidRDefault="00F81D1E" w:rsidP="000320FB">
      <w:pPr>
        <w:numPr>
          <w:ilvl w:val="0"/>
          <w:numId w:val="3"/>
        </w:numPr>
        <w:spacing w:before="160"/>
        <w:jc w:val="both"/>
        <w:rPr>
          <w:rFonts w:ascii="Book Antiqua" w:hAnsi="Book Antiqua" w:cs="Arial"/>
        </w:rPr>
      </w:pPr>
      <w:r>
        <w:rPr>
          <w:rFonts w:ascii="Book Antiqua" w:hAnsi="Book Antiqua" w:cs="Arial"/>
        </w:rPr>
        <w:t xml:space="preserve">First-tier Tribunal Judge </w:t>
      </w:r>
      <w:r w:rsidR="004B392D">
        <w:rPr>
          <w:rFonts w:ascii="Book Antiqua" w:hAnsi="Book Antiqua" w:cs="Arial"/>
        </w:rPr>
        <w:t>Adio</w:t>
      </w:r>
      <w:r>
        <w:rPr>
          <w:rFonts w:ascii="Book Antiqua" w:hAnsi="Book Antiqua" w:cs="Arial"/>
        </w:rPr>
        <w:t xml:space="preserve"> </w:t>
      </w:r>
      <w:r w:rsidRPr="00011203">
        <w:rPr>
          <w:rFonts w:ascii="Book Antiqua" w:hAnsi="Book Antiqua" w:cs="Arial"/>
        </w:rPr>
        <w:t xml:space="preserve">granted permission to appeal on </w:t>
      </w:r>
      <w:r w:rsidR="004B392D">
        <w:rPr>
          <w:rFonts w:ascii="Book Antiqua" w:hAnsi="Book Antiqua" w:cs="Arial"/>
        </w:rPr>
        <w:t>9.1.18</w:t>
      </w:r>
      <w:r>
        <w:rPr>
          <w:rFonts w:ascii="Book Antiqua" w:hAnsi="Book Antiqua" w:cs="Arial"/>
        </w:rPr>
        <w:t>.</w:t>
      </w:r>
    </w:p>
    <w:p w14:paraId="7745EB52" w14:textId="77777777" w:rsidR="000320FB" w:rsidRDefault="000320FB" w:rsidP="000320FB">
      <w:pPr>
        <w:spacing w:before="160"/>
        <w:jc w:val="both"/>
        <w:rPr>
          <w:rFonts w:ascii="Book Antiqua" w:hAnsi="Book Antiqua" w:cs="Arial"/>
          <w:i/>
        </w:rPr>
      </w:pPr>
    </w:p>
    <w:p w14:paraId="4EE77B39" w14:textId="77777777" w:rsidR="000320FB" w:rsidRDefault="000320FB" w:rsidP="000320FB">
      <w:pPr>
        <w:spacing w:before="160"/>
        <w:jc w:val="both"/>
        <w:rPr>
          <w:rFonts w:ascii="Book Antiqua" w:hAnsi="Book Antiqua" w:cs="Arial"/>
          <w:i/>
        </w:rPr>
      </w:pPr>
    </w:p>
    <w:p w14:paraId="2B293736" w14:textId="5061B19C" w:rsidR="008F0F55" w:rsidRPr="003E7F7B" w:rsidRDefault="00F81D1E" w:rsidP="000320FB">
      <w:pPr>
        <w:spacing w:before="160"/>
        <w:jc w:val="both"/>
        <w:rPr>
          <w:rFonts w:ascii="Book Antiqua" w:hAnsi="Book Antiqua" w:cs="Arial"/>
          <w:i/>
        </w:rPr>
      </w:pPr>
      <w:r w:rsidRPr="003E7F7B">
        <w:rPr>
          <w:rFonts w:ascii="Book Antiqua" w:hAnsi="Book Antiqua" w:cs="Arial"/>
          <w:i/>
        </w:rPr>
        <w:lastRenderedPageBreak/>
        <w:t>Error of Law</w:t>
      </w:r>
    </w:p>
    <w:p w14:paraId="7AFA8669" w14:textId="78036D0B" w:rsidR="001C6FDD" w:rsidRDefault="001C6FDD" w:rsidP="000320FB">
      <w:pPr>
        <w:numPr>
          <w:ilvl w:val="0"/>
          <w:numId w:val="3"/>
        </w:numPr>
        <w:spacing w:before="160"/>
        <w:jc w:val="both"/>
        <w:rPr>
          <w:rFonts w:ascii="Book Antiqua" w:hAnsi="Book Antiqua" w:cs="Arial"/>
        </w:rPr>
      </w:pPr>
      <w:r>
        <w:rPr>
          <w:rFonts w:ascii="Book Antiqua" w:hAnsi="Book Antiqua" w:cs="Arial"/>
        </w:rPr>
        <w:t xml:space="preserve">For the reasons summarised below I found no material </w:t>
      </w:r>
      <w:r w:rsidR="00F81D1E">
        <w:rPr>
          <w:rFonts w:ascii="Book Antiqua" w:hAnsi="Book Antiqua" w:cs="Arial"/>
        </w:rPr>
        <w:t xml:space="preserve">error of law in the making of the decision of the First-tier Tribunal such </w:t>
      </w:r>
      <w:r>
        <w:rPr>
          <w:rFonts w:ascii="Book Antiqua" w:hAnsi="Book Antiqua" w:cs="Arial"/>
        </w:rPr>
        <w:t>as to require it to be set aside.</w:t>
      </w:r>
    </w:p>
    <w:p w14:paraId="5B9B3FB2" w14:textId="77777777" w:rsidR="00F16C2F" w:rsidRDefault="00844642" w:rsidP="000320FB">
      <w:pPr>
        <w:numPr>
          <w:ilvl w:val="0"/>
          <w:numId w:val="3"/>
        </w:numPr>
        <w:spacing w:before="160"/>
        <w:jc w:val="both"/>
        <w:rPr>
          <w:rFonts w:ascii="Book Antiqua" w:hAnsi="Book Antiqua" w:cs="Arial"/>
        </w:rPr>
      </w:pPr>
      <w:r>
        <w:rPr>
          <w:rFonts w:ascii="Book Antiqua" w:hAnsi="Book Antiqua" w:cs="Arial"/>
        </w:rPr>
        <w:t>The basis of the appellant’s protection claim was that he engaged in an unapproved relationship with a young woman</w:t>
      </w:r>
      <w:r w:rsidR="00F16C2F">
        <w:rPr>
          <w:rFonts w:ascii="Book Antiqua" w:hAnsi="Book Antiqua" w:cs="Arial"/>
        </w:rPr>
        <w:t xml:space="preserve">. He also fears that the Pasdar will kill him. He claims to have left Iran on 12.12.15. However, the evidence suggested that he was fingerprinted in Bulgaria in September and October 2015. Judge O’Halon found the appellant’s factual claim not credible. </w:t>
      </w:r>
    </w:p>
    <w:p w14:paraId="4EEC08D7" w14:textId="091283D3" w:rsidR="00F16C2F" w:rsidRPr="00C20E78" w:rsidRDefault="00F16C2F" w:rsidP="000320FB">
      <w:pPr>
        <w:numPr>
          <w:ilvl w:val="0"/>
          <w:numId w:val="3"/>
        </w:numPr>
        <w:spacing w:before="160"/>
        <w:jc w:val="both"/>
        <w:rPr>
          <w:rFonts w:ascii="Book Antiqua" w:hAnsi="Book Antiqua" w:cs="Arial"/>
        </w:rPr>
      </w:pPr>
      <w:r>
        <w:rPr>
          <w:rFonts w:ascii="Book Antiqua" w:hAnsi="Book Antiqua" w:cs="Arial"/>
        </w:rPr>
        <w:t xml:space="preserve">The grounds assert that the judge failed to apply the correct standard of proof and failed to reconcile the expert report. </w:t>
      </w:r>
      <w:r w:rsidR="00C20E78">
        <w:rPr>
          <w:rFonts w:ascii="Book Antiqua" w:hAnsi="Book Antiqua" w:cs="Arial"/>
        </w:rPr>
        <w:t xml:space="preserve">It is asserted </w:t>
      </w:r>
      <w:r>
        <w:rPr>
          <w:rFonts w:ascii="Book Antiqua" w:hAnsi="Book Antiqua" w:cs="Arial"/>
        </w:rPr>
        <w:t xml:space="preserve">that the judge did not expressly direct himself in respect of the standard of proof and the incorrect standard of proof </w:t>
      </w:r>
      <w:r w:rsidR="00C20E78">
        <w:rPr>
          <w:rFonts w:ascii="Book Antiqua" w:hAnsi="Book Antiqua" w:cs="Arial"/>
        </w:rPr>
        <w:t xml:space="preserve">stated at [45] of a balance of probabilities </w:t>
      </w:r>
      <w:r>
        <w:rPr>
          <w:rFonts w:ascii="Book Antiqua" w:hAnsi="Book Antiqua" w:cs="Arial"/>
        </w:rPr>
        <w:t xml:space="preserve">is compounded by the judge’s statement that this finding impacts on the appellant’s credibility.  </w:t>
      </w:r>
    </w:p>
    <w:p w14:paraId="477E8342" w14:textId="36F1B3F2" w:rsidR="00785C4D" w:rsidRDefault="00F16C2F" w:rsidP="000320FB">
      <w:pPr>
        <w:numPr>
          <w:ilvl w:val="0"/>
          <w:numId w:val="3"/>
        </w:numPr>
        <w:spacing w:before="160"/>
        <w:jc w:val="both"/>
        <w:rPr>
          <w:rFonts w:ascii="Book Antiqua" w:hAnsi="Book Antiqua" w:cs="Arial"/>
        </w:rPr>
      </w:pPr>
      <w:r>
        <w:rPr>
          <w:rFonts w:ascii="Book Antiqua" w:hAnsi="Book Antiqua" w:cs="Arial"/>
        </w:rPr>
        <w:t xml:space="preserve">In granting permission to appeal, Judge Adio noted that the only express reference to the standard of proof was at [45] of the decision where the judge found on the balance of probabilities that the appellant had been fingerprinted in Bulgaria in September and October 2015, so that this cast doubt on the general credibility of his account. </w:t>
      </w:r>
      <w:r w:rsidR="00785C4D">
        <w:rPr>
          <w:rFonts w:ascii="Book Antiqua" w:hAnsi="Book Antiqua" w:cs="Arial"/>
        </w:rPr>
        <w:t xml:space="preserve">Despite the judge’s reference at [48] to </w:t>
      </w:r>
      <w:r w:rsidR="00767766">
        <w:rPr>
          <w:rFonts w:ascii="Book Antiqua" w:hAnsi="Book Antiqua" w:cs="Arial"/>
        </w:rPr>
        <w:t xml:space="preserve">not being satisfied that the appellant’s account was reasonably likely to be true, </w:t>
      </w:r>
      <w:r w:rsidR="00ED4EB3">
        <w:rPr>
          <w:rFonts w:ascii="Book Antiqua" w:hAnsi="Book Antiqua" w:cs="Arial"/>
        </w:rPr>
        <w:t>Judge Adio considered “</w:t>
      </w:r>
      <w:r w:rsidR="00ED4EB3" w:rsidRPr="00BF13A0">
        <w:rPr>
          <w:rFonts w:ascii="Book Antiqua" w:hAnsi="Book Antiqua" w:cs="Arial"/>
          <w:i/>
        </w:rPr>
        <w:t>on the whole bearing in mind the judge refers to what is clearly an incorrect standard of proof in an asylum claim, i.e. the balance of probabilities and used one finding to cast doubt on the appellant’s account generally it raises serious doubt as to the standard of proof applied on the rest of the credibility finding regardless of the judge’s finding at paragraph 48</w:t>
      </w:r>
      <w:r w:rsidR="00ED4EB3">
        <w:rPr>
          <w:rFonts w:ascii="Book Antiqua" w:hAnsi="Book Antiqua" w:cs="Arial"/>
        </w:rPr>
        <w:t>.</w:t>
      </w:r>
      <w:r w:rsidR="006342D8">
        <w:rPr>
          <w:rFonts w:ascii="Book Antiqua" w:hAnsi="Book Antiqua" w:cs="Arial"/>
        </w:rPr>
        <w:t>”</w:t>
      </w:r>
    </w:p>
    <w:p w14:paraId="71911A56" w14:textId="3D3A3BF2" w:rsidR="006342D8" w:rsidRDefault="006342D8" w:rsidP="000320FB">
      <w:pPr>
        <w:numPr>
          <w:ilvl w:val="0"/>
          <w:numId w:val="3"/>
        </w:numPr>
        <w:spacing w:before="160"/>
        <w:jc w:val="both"/>
        <w:rPr>
          <w:rFonts w:ascii="Book Antiqua" w:hAnsi="Book Antiqua" w:cs="Arial"/>
        </w:rPr>
      </w:pPr>
      <w:r>
        <w:rPr>
          <w:rFonts w:ascii="Book Antiqua" w:hAnsi="Book Antiqua" w:cs="Arial"/>
        </w:rPr>
        <w:t>The Rule 24 reply, dated 15.2.18, points out that that appellant accepted that he had been fingerprinted in Bulgaria in 2015</w:t>
      </w:r>
      <w:r w:rsidR="00935A93">
        <w:rPr>
          <w:rFonts w:ascii="Book Antiqua" w:hAnsi="Book Antiqua" w:cs="Arial"/>
        </w:rPr>
        <w:t>. “</w:t>
      </w:r>
      <w:r w:rsidR="00935A93" w:rsidRPr="005521A9">
        <w:rPr>
          <w:rFonts w:ascii="Book Antiqua" w:hAnsi="Book Antiqua" w:cs="Arial"/>
          <w:i/>
        </w:rPr>
        <w:t>The judge found that this was the case, applying the balance of probabilities test which would be the appropriate test. This does not suggest that the judge applied the incorrect standard of proof to the remainder of the asylum claim. The judge made adequate findings of fact at paragraph 46 and onwards</w:t>
      </w:r>
      <w:r w:rsidR="00935A93">
        <w:rPr>
          <w:rFonts w:ascii="Book Antiqua" w:hAnsi="Book Antiqua" w:cs="Arial"/>
        </w:rPr>
        <w:t>.” It is also asserted by the Secretary of State that the judge properly considered the expert report, as set out at [42] of the decision and made adequate findings in respect of it.</w:t>
      </w:r>
    </w:p>
    <w:p w14:paraId="7E1A8867" w14:textId="4201E713" w:rsidR="00935A93" w:rsidRDefault="00935A93" w:rsidP="000320FB">
      <w:pPr>
        <w:numPr>
          <w:ilvl w:val="0"/>
          <w:numId w:val="3"/>
        </w:numPr>
        <w:spacing w:before="160"/>
        <w:jc w:val="both"/>
        <w:rPr>
          <w:rFonts w:ascii="Book Antiqua" w:hAnsi="Book Antiqua" w:cs="Arial"/>
        </w:rPr>
      </w:pPr>
      <w:r>
        <w:rPr>
          <w:rFonts w:ascii="Book Antiqua" w:hAnsi="Book Antiqua" w:cs="Arial"/>
        </w:rPr>
        <w:t xml:space="preserve">I agree with the response of the Secretary of State. The judge did apply the correct standard of proof of a balance of probabilities, the burden being on the Secretary of State, in relation to the assertion by the respondent that the appellant had been fingerprinted in Bulgaria in September and October 2015. The </w:t>
      </w:r>
      <w:r w:rsidR="00A73F13">
        <w:rPr>
          <w:rFonts w:ascii="Book Antiqua" w:hAnsi="Book Antiqua" w:cs="Arial"/>
        </w:rPr>
        <w:t>judge considered the available evidence and the appellant’s admission to having been fingerprinted in Bulgaria and was entitled to reach the conclusion that this was in September and October 2015. The relevance is that the appellant claimed not to have left Iran until 12.12.15. The finding was</w:t>
      </w:r>
      <w:r w:rsidR="000216A1">
        <w:rPr>
          <w:rFonts w:ascii="Book Antiqua" w:hAnsi="Book Antiqua" w:cs="Arial"/>
        </w:rPr>
        <w:t>, therefore,</w:t>
      </w:r>
      <w:r w:rsidR="00A73F13">
        <w:rPr>
          <w:rFonts w:ascii="Book Antiqua" w:hAnsi="Book Antiqua" w:cs="Arial"/>
        </w:rPr>
        <w:t xml:space="preserve"> clearly relevant to and undermined the appellant’s general credibility. </w:t>
      </w:r>
    </w:p>
    <w:p w14:paraId="19B14B09" w14:textId="1D1956A7" w:rsidR="00A73F13" w:rsidRDefault="00A73F13" w:rsidP="000320FB">
      <w:pPr>
        <w:numPr>
          <w:ilvl w:val="0"/>
          <w:numId w:val="3"/>
        </w:numPr>
        <w:spacing w:before="160"/>
        <w:jc w:val="both"/>
        <w:rPr>
          <w:rFonts w:ascii="Book Antiqua" w:hAnsi="Book Antiqua" w:cs="Arial"/>
        </w:rPr>
      </w:pPr>
      <w:r>
        <w:rPr>
          <w:rFonts w:ascii="Book Antiqua" w:hAnsi="Book Antiqua" w:cs="Arial"/>
        </w:rPr>
        <w:t>The judge set out the correct standard of proof when explaining the law at [5], [6] and [7] of the decision, and was clearly applying the correct standard of reasonable likelihood at [48] of the decision, stating, “</w:t>
      </w:r>
      <w:r w:rsidRPr="001C088D">
        <w:rPr>
          <w:rFonts w:ascii="Book Antiqua" w:hAnsi="Book Antiqua" w:cs="Arial"/>
          <w:i/>
        </w:rPr>
        <w:t xml:space="preserve">Having considered all of the evidence before me </w:t>
      </w:r>
      <w:r w:rsidRPr="001C088D">
        <w:rPr>
          <w:rFonts w:ascii="Book Antiqua" w:hAnsi="Book Antiqua" w:cs="Arial"/>
          <w:i/>
        </w:rPr>
        <w:lastRenderedPageBreak/>
        <w:t>in the round, I am not satisfied that the appellant’s account is reasonably likely to be true and I therefore reject it in its entirety</w:t>
      </w:r>
      <w:r>
        <w:rPr>
          <w:rFonts w:ascii="Book Antiqua" w:hAnsi="Book Antiqua" w:cs="Arial"/>
        </w:rPr>
        <w:t xml:space="preserve">.” </w:t>
      </w:r>
    </w:p>
    <w:p w14:paraId="701E045B" w14:textId="3E1581B9" w:rsidR="00A73F13" w:rsidRDefault="00A73F13" w:rsidP="000320FB">
      <w:pPr>
        <w:numPr>
          <w:ilvl w:val="0"/>
          <w:numId w:val="3"/>
        </w:numPr>
        <w:spacing w:before="160"/>
        <w:jc w:val="both"/>
        <w:rPr>
          <w:rFonts w:ascii="Book Antiqua" w:hAnsi="Book Antiqua" w:cs="Arial"/>
        </w:rPr>
      </w:pPr>
      <w:r>
        <w:rPr>
          <w:rFonts w:ascii="Book Antiqua" w:hAnsi="Book Antiqua" w:cs="Arial"/>
        </w:rPr>
        <w:t>In the circumstances, there is no merit in this ground of appeal.</w:t>
      </w:r>
    </w:p>
    <w:p w14:paraId="5F2A7118" w14:textId="5CE3251F" w:rsidR="0086221E" w:rsidRDefault="00A73F13" w:rsidP="000320FB">
      <w:pPr>
        <w:numPr>
          <w:ilvl w:val="0"/>
          <w:numId w:val="3"/>
        </w:numPr>
        <w:spacing w:before="160"/>
        <w:jc w:val="both"/>
        <w:rPr>
          <w:rFonts w:ascii="Book Antiqua" w:hAnsi="Book Antiqua" w:cs="Arial"/>
        </w:rPr>
      </w:pPr>
      <w:r>
        <w:rPr>
          <w:rFonts w:ascii="Book Antiqua" w:hAnsi="Book Antiqua" w:cs="Arial"/>
        </w:rPr>
        <w:t xml:space="preserve">In relation to </w:t>
      </w:r>
      <w:r w:rsidR="001B7972">
        <w:rPr>
          <w:rFonts w:ascii="Book Antiqua" w:hAnsi="Book Antiqua" w:cs="Arial"/>
        </w:rPr>
        <w:t xml:space="preserve">the issue of the tribunal’s </w:t>
      </w:r>
      <w:r>
        <w:rPr>
          <w:rFonts w:ascii="Book Antiqua" w:hAnsi="Book Antiqua" w:cs="Arial"/>
        </w:rPr>
        <w:t xml:space="preserve">consideration of the expert report, </w:t>
      </w:r>
      <w:r w:rsidR="00881D23">
        <w:rPr>
          <w:rFonts w:ascii="Book Antiqua" w:hAnsi="Book Antiqua" w:cs="Arial"/>
        </w:rPr>
        <w:t xml:space="preserve">the judge </w:t>
      </w:r>
      <w:r w:rsidR="00391149">
        <w:rPr>
          <w:rFonts w:ascii="Book Antiqua" w:hAnsi="Book Antiqua" w:cs="Arial"/>
        </w:rPr>
        <w:t xml:space="preserve">specifically </w:t>
      </w:r>
      <w:r w:rsidR="00B132D5">
        <w:rPr>
          <w:rFonts w:ascii="Book Antiqua" w:hAnsi="Book Antiqua" w:cs="Arial"/>
        </w:rPr>
        <w:t>stated that this had been considered in the round,</w:t>
      </w:r>
      <w:r w:rsidR="00024A35">
        <w:rPr>
          <w:rFonts w:ascii="Book Antiqua" w:hAnsi="Book Antiqua" w:cs="Arial"/>
        </w:rPr>
        <w:t xml:space="preserve"> in other words in the context of the evidence as a whole, and </w:t>
      </w:r>
      <w:r w:rsidR="00881D23">
        <w:rPr>
          <w:rFonts w:ascii="Book Antiqua" w:hAnsi="Book Antiqua" w:cs="Arial"/>
        </w:rPr>
        <w:t>noted at [42] that the expert considered the appellant’s account was plausible</w:t>
      </w:r>
      <w:r w:rsidR="002E5ED0">
        <w:rPr>
          <w:rFonts w:ascii="Book Antiqua" w:hAnsi="Book Antiqua" w:cs="Arial"/>
        </w:rPr>
        <w:t xml:space="preserve"> and that his life would be in danger. </w:t>
      </w:r>
      <w:r w:rsidR="002E5ED0" w:rsidRPr="00391149">
        <w:rPr>
          <w:rFonts w:ascii="Book Antiqua" w:hAnsi="Book Antiqua" w:cs="Arial"/>
        </w:rPr>
        <w:t>However, the judge also noted that there was little direct analysis of the appellant’s claim</w:t>
      </w:r>
      <w:r w:rsidR="00C24420">
        <w:rPr>
          <w:rFonts w:ascii="Book Antiqua" w:hAnsi="Book Antiqua" w:cs="Arial"/>
        </w:rPr>
        <w:t xml:space="preserve"> and</w:t>
      </w:r>
      <w:r w:rsidR="00391149">
        <w:rPr>
          <w:rFonts w:ascii="Book Antiqua" w:hAnsi="Book Antiqua" w:cs="Arial"/>
        </w:rPr>
        <w:t xml:space="preserve"> little direct reference to </w:t>
      </w:r>
      <w:r w:rsidR="0086221E">
        <w:rPr>
          <w:rFonts w:ascii="Book Antiqua" w:hAnsi="Book Antiqua" w:cs="Arial"/>
        </w:rPr>
        <w:t xml:space="preserve">the appellant or </w:t>
      </w:r>
      <w:proofErr w:type="gramStart"/>
      <w:r w:rsidR="0086221E">
        <w:rPr>
          <w:rFonts w:ascii="Book Antiqua" w:hAnsi="Book Antiqua" w:cs="Arial"/>
        </w:rPr>
        <w:t>his</w:t>
      </w:r>
      <w:r w:rsidR="004D1BD1">
        <w:rPr>
          <w:rFonts w:ascii="Book Antiqua" w:hAnsi="Book Antiqua" w:cs="Arial"/>
        </w:rPr>
        <w:t xml:space="preserve"> the</w:t>
      </w:r>
      <w:proofErr w:type="gramEnd"/>
      <w:r w:rsidR="004D1BD1">
        <w:rPr>
          <w:rFonts w:ascii="Book Antiqua" w:hAnsi="Book Antiqua" w:cs="Arial"/>
        </w:rPr>
        <w:t xml:space="preserve"> claim in the body of the report. </w:t>
      </w:r>
    </w:p>
    <w:p w14:paraId="1C93AC83" w14:textId="631F7E18" w:rsidR="00C217D5" w:rsidRDefault="004D1BD1" w:rsidP="000320FB">
      <w:pPr>
        <w:numPr>
          <w:ilvl w:val="0"/>
          <w:numId w:val="3"/>
        </w:numPr>
        <w:spacing w:before="160"/>
        <w:jc w:val="both"/>
        <w:rPr>
          <w:rFonts w:ascii="Book Antiqua" w:hAnsi="Book Antiqua" w:cs="Arial"/>
        </w:rPr>
      </w:pPr>
      <w:r>
        <w:rPr>
          <w:rFonts w:ascii="Book Antiqua" w:hAnsi="Book Antiqua" w:cs="Arial"/>
        </w:rPr>
        <w:t>Whilst the judge considered the report</w:t>
      </w:r>
      <w:r w:rsidR="002E5ED0" w:rsidRPr="00391149">
        <w:rPr>
          <w:rFonts w:ascii="Book Antiqua" w:hAnsi="Book Antiqua" w:cs="Arial"/>
        </w:rPr>
        <w:t xml:space="preserve"> was helpful in setting out background information, </w:t>
      </w:r>
      <w:r w:rsidR="008F4A4B">
        <w:rPr>
          <w:rFonts w:ascii="Book Antiqua" w:hAnsi="Book Antiqua" w:cs="Arial"/>
        </w:rPr>
        <w:t>and did rely on it at [44] in accepting the danger the appellant would face</w:t>
      </w:r>
      <w:r w:rsidR="00A5191D">
        <w:rPr>
          <w:rFonts w:ascii="Book Antiqua" w:hAnsi="Book Antiqua" w:cs="Arial"/>
        </w:rPr>
        <w:t xml:space="preserve"> if the relationship had been discovered, the judge concluded that </w:t>
      </w:r>
      <w:r w:rsidR="002E5ED0" w:rsidRPr="00391149">
        <w:rPr>
          <w:rFonts w:ascii="Book Antiqua" w:hAnsi="Book Antiqua" w:cs="Arial"/>
        </w:rPr>
        <w:t xml:space="preserve">it was </w:t>
      </w:r>
      <w:r w:rsidR="00A5191D">
        <w:rPr>
          <w:rFonts w:ascii="Book Antiqua" w:hAnsi="Book Antiqua" w:cs="Arial"/>
        </w:rPr>
        <w:t xml:space="preserve">of </w:t>
      </w:r>
      <w:r w:rsidR="002E5ED0" w:rsidRPr="00391149">
        <w:rPr>
          <w:rFonts w:ascii="Book Antiqua" w:hAnsi="Book Antiqua" w:cs="Arial"/>
        </w:rPr>
        <w:t xml:space="preserve">little assistance in reaching conclusions on the plausibility or otherwise of the appellant’s claim. </w:t>
      </w:r>
      <w:r w:rsidR="00C217D5">
        <w:rPr>
          <w:rFonts w:ascii="Book Antiqua" w:hAnsi="Book Antiqua" w:cs="Arial"/>
        </w:rPr>
        <w:t xml:space="preserve">Mr Hussain’s submission is that the report was relevant to the overall assessment of credibility and should have been considered in the context of the evidence as a whole. Whilst that </w:t>
      </w:r>
      <w:r w:rsidR="003F0C34">
        <w:rPr>
          <w:rFonts w:ascii="Book Antiqua" w:hAnsi="Book Antiqua" w:cs="Arial"/>
        </w:rPr>
        <w:t xml:space="preserve">proposition </w:t>
      </w:r>
      <w:r w:rsidR="00C217D5">
        <w:rPr>
          <w:rFonts w:ascii="Book Antiqua" w:hAnsi="Book Antiqua" w:cs="Arial"/>
        </w:rPr>
        <w:t>is right</w:t>
      </w:r>
      <w:r w:rsidR="003F0C34">
        <w:rPr>
          <w:rFonts w:ascii="Book Antiqua" w:hAnsi="Book Antiqua" w:cs="Arial"/>
        </w:rPr>
        <w:t xml:space="preserve"> in principle</w:t>
      </w:r>
      <w:r w:rsidR="00C217D5">
        <w:rPr>
          <w:rFonts w:ascii="Book Antiqua" w:hAnsi="Book Antiqua" w:cs="Arial"/>
        </w:rPr>
        <w:t xml:space="preserve">, </w:t>
      </w:r>
      <w:r w:rsidR="003F0C34">
        <w:rPr>
          <w:rFonts w:ascii="Book Antiqua" w:hAnsi="Book Antiqua" w:cs="Arial"/>
        </w:rPr>
        <w:t xml:space="preserve">in reality the </w:t>
      </w:r>
      <w:r w:rsidR="004B52AB">
        <w:rPr>
          <w:rFonts w:ascii="Book Antiqua" w:hAnsi="Book Antiqua" w:cs="Arial"/>
        </w:rPr>
        <w:t xml:space="preserve">point the judge was making was that </w:t>
      </w:r>
      <w:r w:rsidR="00571C5C">
        <w:rPr>
          <w:rFonts w:ascii="Book Antiqua" w:hAnsi="Book Antiqua" w:cs="Arial"/>
        </w:rPr>
        <w:t xml:space="preserve">the </w:t>
      </w:r>
      <w:r w:rsidR="002E2DC9">
        <w:rPr>
          <w:rFonts w:ascii="Book Antiqua" w:hAnsi="Book Antiqua" w:cs="Arial"/>
        </w:rPr>
        <w:t xml:space="preserve">theoretical </w:t>
      </w:r>
      <w:r w:rsidR="00571C5C">
        <w:rPr>
          <w:rFonts w:ascii="Book Antiqua" w:hAnsi="Book Antiqua" w:cs="Arial"/>
        </w:rPr>
        <w:t xml:space="preserve">plausibility of </w:t>
      </w:r>
      <w:r w:rsidR="002E2DC9">
        <w:rPr>
          <w:rFonts w:ascii="Book Antiqua" w:hAnsi="Book Antiqua" w:cs="Arial"/>
        </w:rPr>
        <w:t>the</w:t>
      </w:r>
      <w:r w:rsidR="00571C5C">
        <w:rPr>
          <w:rFonts w:ascii="Book Antiqua" w:hAnsi="Book Antiqua" w:cs="Arial"/>
        </w:rPr>
        <w:t xml:space="preserve"> alleged account</w:t>
      </w:r>
      <w:r w:rsidR="002E2DC9">
        <w:rPr>
          <w:rFonts w:ascii="Book Antiqua" w:hAnsi="Book Antiqua" w:cs="Arial"/>
        </w:rPr>
        <w:t xml:space="preserve"> </w:t>
      </w:r>
      <w:r w:rsidR="00A53C74">
        <w:rPr>
          <w:rFonts w:ascii="Book Antiqua" w:hAnsi="Book Antiqua" w:cs="Arial"/>
        </w:rPr>
        <w:t xml:space="preserve">was of limited value in assessing the credibility of the claim. </w:t>
      </w:r>
      <w:r w:rsidR="00A10284">
        <w:rPr>
          <w:rFonts w:ascii="Book Antiqua" w:hAnsi="Book Antiqua" w:cs="Arial"/>
        </w:rPr>
        <w:t xml:space="preserve">“Little assistance” does not mean that it was of no assistance or was rejected outright. </w:t>
      </w:r>
    </w:p>
    <w:p w14:paraId="5A1E6E2C" w14:textId="1E267728" w:rsidR="00A73F13" w:rsidRDefault="00A53C74" w:rsidP="000320FB">
      <w:pPr>
        <w:numPr>
          <w:ilvl w:val="0"/>
          <w:numId w:val="3"/>
        </w:numPr>
        <w:spacing w:before="160"/>
        <w:jc w:val="both"/>
        <w:rPr>
          <w:rFonts w:ascii="Book Antiqua" w:hAnsi="Book Antiqua" w:cs="Arial"/>
        </w:rPr>
      </w:pPr>
      <w:r>
        <w:rPr>
          <w:rFonts w:ascii="Book Antiqua" w:hAnsi="Book Antiqua" w:cs="Arial"/>
        </w:rPr>
        <w:t>I note that t</w:t>
      </w:r>
      <w:r w:rsidR="002E5ED0" w:rsidRPr="00391149">
        <w:rPr>
          <w:rFonts w:ascii="Book Antiqua" w:hAnsi="Book Antiqua" w:cs="Arial"/>
        </w:rPr>
        <w:t xml:space="preserve">he judge went on to assess the credibility of the specific claim applying paragraph 339L of the Immigration Rules and giving cogent reason as to why the claim was rejected on credibility grounds. </w:t>
      </w:r>
      <w:r w:rsidR="00DA0E24">
        <w:rPr>
          <w:rFonts w:ascii="Book Antiqua" w:hAnsi="Book Antiqua" w:cs="Arial"/>
        </w:rPr>
        <w:t xml:space="preserve">The judge made some findings in the appellant’s favour but noted how the claim was vague and lacking in detail, and was concerned about inconsistencies in the account. That he was fingerprinted at a date when he claimed to be still in Iran cast further doubt on his credibility. </w:t>
      </w:r>
      <w:r w:rsidR="002E5ED0" w:rsidRPr="00391149">
        <w:rPr>
          <w:rFonts w:ascii="Book Antiqua" w:hAnsi="Book Antiqua" w:cs="Arial"/>
        </w:rPr>
        <w:t xml:space="preserve">In reality, </w:t>
      </w:r>
      <w:r w:rsidR="000D5BA5">
        <w:rPr>
          <w:rFonts w:ascii="Book Antiqua" w:hAnsi="Book Antiqua" w:cs="Arial"/>
        </w:rPr>
        <w:t xml:space="preserve">in the light of </w:t>
      </w:r>
      <w:r w:rsidR="001B2C5E">
        <w:rPr>
          <w:rFonts w:ascii="Book Antiqua" w:hAnsi="Book Antiqua" w:cs="Arial"/>
        </w:rPr>
        <w:t xml:space="preserve">the judge’s specific findings in relation to credibility, </w:t>
      </w:r>
      <w:r w:rsidR="00403DA8">
        <w:rPr>
          <w:rFonts w:ascii="Book Antiqua" w:hAnsi="Book Antiqua" w:cs="Arial"/>
        </w:rPr>
        <w:t xml:space="preserve">an expert’s opinion as to the </w:t>
      </w:r>
      <w:r w:rsidR="000E3B33">
        <w:rPr>
          <w:rFonts w:ascii="Book Antiqua" w:hAnsi="Book Antiqua" w:cs="Arial"/>
        </w:rPr>
        <w:t xml:space="preserve">general </w:t>
      </w:r>
      <w:r w:rsidR="002E5ED0" w:rsidRPr="00391149">
        <w:rPr>
          <w:rFonts w:ascii="Book Antiqua" w:hAnsi="Book Antiqua" w:cs="Arial"/>
        </w:rPr>
        <w:t>plausibility or otherwise of a claim to risk based on pre-marital sex, honour violence or killings in Iran</w:t>
      </w:r>
      <w:r w:rsidR="000E3B33">
        <w:rPr>
          <w:rFonts w:ascii="Book Antiqua" w:hAnsi="Book Antiqua" w:cs="Arial"/>
        </w:rPr>
        <w:t xml:space="preserve"> based on country background information was of little </w:t>
      </w:r>
      <w:r w:rsidR="000D5BA5">
        <w:rPr>
          <w:rFonts w:ascii="Book Antiqua" w:hAnsi="Book Antiqua" w:cs="Arial"/>
        </w:rPr>
        <w:t xml:space="preserve">ultimate </w:t>
      </w:r>
      <w:r w:rsidR="00C8172D">
        <w:rPr>
          <w:rFonts w:ascii="Book Antiqua" w:hAnsi="Book Antiqua" w:cs="Arial"/>
        </w:rPr>
        <w:t>value, even if it</w:t>
      </w:r>
      <w:r w:rsidR="00834166">
        <w:rPr>
          <w:rFonts w:ascii="Book Antiqua" w:hAnsi="Book Antiqua" w:cs="Arial"/>
        </w:rPr>
        <w:t xml:space="preserve"> confirmed that the basis of the claim was plausible. </w:t>
      </w:r>
    </w:p>
    <w:p w14:paraId="44B5F77F" w14:textId="6AD930D7" w:rsidR="00834166" w:rsidRDefault="00834166" w:rsidP="000320FB">
      <w:pPr>
        <w:numPr>
          <w:ilvl w:val="0"/>
          <w:numId w:val="3"/>
        </w:numPr>
        <w:spacing w:before="160"/>
        <w:jc w:val="both"/>
        <w:rPr>
          <w:rFonts w:ascii="Book Antiqua" w:hAnsi="Book Antiqua" w:cs="Arial"/>
        </w:rPr>
      </w:pPr>
      <w:r>
        <w:rPr>
          <w:rFonts w:ascii="Book Antiqua" w:hAnsi="Book Antiqua" w:cs="Arial"/>
        </w:rPr>
        <w:t xml:space="preserve">I am satisfied that even if the judge should have indicated </w:t>
      </w:r>
      <w:r w:rsidR="00760B20">
        <w:rPr>
          <w:rFonts w:ascii="Book Antiqua" w:hAnsi="Book Antiqua" w:cs="Arial"/>
        </w:rPr>
        <w:t xml:space="preserve">in a </w:t>
      </w:r>
      <w:proofErr w:type="gramStart"/>
      <w:r w:rsidR="00760B20">
        <w:rPr>
          <w:rFonts w:ascii="Book Antiqua" w:hAnsi="Book Antiqua" w:cs="Arial"/>
        </w:rPr>
        <w:t>more clear</w:t>
      </w:r>
      <w:proofErr w:type="gramEnd"/>
      <w:r w:rsidR="00760B20">
        <w:rPr>
          <w:rFonts w:ascii="Book Antiqua" w:hAnsi="Book Antiqua" w:cs="Arial"/>
        </w:rPr>
        <w:t xml:space="preserve"> way that the fact that the claim was plausible when set against country background information and expertise</w:t>
      </w:r>
      <w:r w:rsidR="00C21EB5">
        <w:rPr>
          <w:rFonts w:ascii="Book Antiqua" w:hAnsi="Book Antiqua" w:cs="Arial"/>
        </w:rPr>
        <w:t xml:space="preserve"> had been taken into account in the overall credibility assessment,</w:t>
      </w:r>
      <w:r w:rsidR="00465647">
        <w:rPr>
          <w:rFonts w:ascii="Book Antiqua" w:hAnsi="Book Antiqua" w:cs="Arial"/>
        </w:rPr>
        <w:t xml:space="preserve"> on the facts of this case of </w:t>
      </w:r>
      <w:r w:rsidR="00C21EB5">
        <w:rPr>
          <w:rFonts w:ascii="Book Antiqua" w:hAnsi="Book Antiqua" w:cs="Arial"/>
        </w:rPr>
        <w:t xml:space="preserve">the outcome would undoubtedly have been the same. The weight an </w:t>
      </w:r>
      <w:r w:rsidR="00465647">
        <w:rPr>
          <w:rFonts w:ascii="Book Antiqua" w:hAnsi="Book Antiqua" w:cs="Arial"/>
        </w:rPr>
        <w:t xml:space="preserve">abstract </w:t>
      </w:r>
      <w:r w:rsidR="00C21EB5">
        <w:rPr>
          <w:rFonts w:ascii="Book Antiqua" w:hAnsi="Book Antiqua" w:cs="Arial"/>
        </w:rPr>
        <w:t xml:space="preserve">opinion as to plausibility </w:t>
      </w:r>
      <w:r w:rsidR="003C56F7">
        <w:rPr>
          <w:rFonts w:ascii="Book Antiqua" w:hAnsi="Book Antiqua" w:cs="Arial"/>
        </w:rPr>
        <w:t xml:space="preserve">of an asserted scenario </w:t>
      </w:r>
      <w:r w:rsidR="00C21EB5">
        <w:rPr>
          <w:rFonts w:ascii="Book Antiqua" w:hAnsi="Book Antiqua" w:cs="Arial"/>
        </w:rPr>
        <w:t>can have when considered in the context of vagueness, inconsistency and untruths</w:t>
      </w:r>
      <w:r w:rsidR="003C56F7">
        <w:rPr>
          <w:rFonts w:ascii="Book Antiqua" w:hAnsi="Book Antiqua" w:cs="Arial"/>
        </w:rPr>
        <w:t xml:space="preserve"> has to be very limited. </w:t>
      </w:r>
      <w:r w:rsidR="00CF1EE3">
        <w:rPr>
          <w:rFonts w:ascii="Book Antiqua" w:hAnsi="Book Antiqua" w:cs="Arial"/>
        </w:rPr>
        <w:t xml:space="preserve">If there was an error in the decision in this regard, I am satisfied that it was not material. Nit-picking at the </w:t>
      </w:r>
      <w:r w:rsidR="002774B4">
        <w:rPr>
          <w:rFonts w:ascii="Book Antiqua" w:hAnsi="Book Antiqua" w:cs="Arial"/>
        </w:rPr>
        <w:t xml:space="preserve">way in which the decision is worded in this way fails to appreciate the overall assessment that was made of the facts with findings cogently reasoned. </w:t>
      </w:r>
    </w:p>
    <w:p w14:paraId="37B64A87" w14:textId="10A43BB1" w:rsidR="00403DA8" w:rsidRPr="00391149" w:rsidRDefault="00403DA8" w:rsidP="000320FB">
      <w:pPr>
        <w:numPr>
          <w:ilvl w:val="0"/>
          <w:numId w:val="3"/>
        </w:numPr>
        <w:spacing w:before="160"/>
        <w:jc w:val="both"/>
        <w:rPr>
          <w:rFonts w:ascii="Book Antiqua" w:hAnsi="Book Antiqua" w:cs="Arial"/>
        </w:rPr>
      </w:pPr>
      <w:r>
        <w:rPr>
          <w:rFonts w:ascii="Book Antiqua" w:hAnsi="Book Antiqua" w:cs="Arial"/>
        </w:rPr>
        <w:t>I</w:t>
      </w:r>
      <w:r w:rsidR="009D3FF9">
        <w:rPr>
          <w:rFonts w:ascii="Book Antiqua" w:hAnsi="Book Antiqua" w:cs="Arial"/>
        </w:rPr>
        <w:t xml:space="preserve">n the circumstances, I </w:t>
      </w:r>
      <w:r>
        <w:rPr>
          <w:rFonts w:ascii="Book Antiqua" w:hAnsi="Book Antiqua" w:cs="Arial"/>
        </w:rPr>
        <w:t>find no material error</w:t>
      </w:r>
      <w:r w:rsidR="009D3FF9">
        <w:rPr>
          <w:rFonts w:ascii="Book Antiqua" w:hAnsi="Book Antiqua" w:cs="Arial"/>
        </w:rPr>
        <w:t xml:space="preserve"> in the decision of the First-tier Tribunal</w:t>
      </w:r>
      <w:r w:rsidR="00CF1EE3">
        <w:rPr>
          <w:rFonts w:ascii="Book Antiqua" w:hAnsi="Book Antiqua" w:cs="Arial"/>
        </w:rPr>
        <w:t xml:space="preserve"> sufficient to require the decision to be set aside</w:t>
      </w:r>
      <w:r w:rsidR="009D3FF9">
        <w:rPr>
          <w:rFonts w:ascii="Book Antiqua" w:hAnsi="Book Antiqua" w:cs="Arial"/>
        </w:rPr>
        <w:t>.</w:t>
      </w:r>
    </w:p>
    <w:p w14:paraId="3D4AD3A9" w14:textId="77777777" w:rsidR="000320FB" w:rsidRDefault="000320FB" w:rsidP="000320FB">
      <w:pPr>
        <w:tabs>
          <w:tab w:val="left" w:pos="2520"/>
        </w:tabs>
        <w:spacing w:before="160"/>
        <w:jc w:val="both"/>
        <w:rPr>
          <w:rFonts w:ascii="Book Antiqua" w:hAnsi="Book Antiqua" w:cs="Arial"/>
          <w:i/>
        </w:rPr>
      </w:pPr>
    </w:p>
    <w:p w14:paraId="6DB5AD21" w14:textId="77777777" w:rsidR="000320FB" w:rsidRDefault="000320FB" w:rsidP="000320FB">
      <w:pPr>
        <w:tabs>
          <w:tab w:val="left" w:pos="2520"/>
        </w:tabs>
        <w:spacing w:before="160"/>
        <w:jc w:val="both"/>
        <w:rPr>
          <w:rFonts w:ascii="Book Antiqua" w:hAnsi="Book Antiqua" w:cs="Arial"/>
          <w:i/>
        </w:rPr>
      </w:pPr>
    </w:p>
    <w:p w14:paraId="73958CA2" w14:textId="7AA6D7E7" w:rsidR="008F0F55" w:rsidRPr="003E7F7B" w:rsidRDefault="003E7F7B" w:rsidP="000320FB">
      <w:pPr>
        <w:tabs>
          <w:tab w:val="left" w:pos="2520"/>
        </w:tabs>
        <w:spacing w:before="160"/>
        <w:jc w:val="both"/>
        <w:rPr>
          <w:rFonts w:ascii="Book Antiqua" w:hAnsi="Book Antiqua" w:cs="Arial"/>
          <w:i/>
        </w:rPr>
      </w:pPr>
      <w:r w:rsidRPr="003E7F7B">
        <w:rPr>
          <w:rFonts w:ascii="Book Antiqua" w:hAnsi="Book Antiqua" w:cs="Arial"/>
          <w:i/>
        </w:rPr>
        <w:lastRenderedPageBreak/>
        <w:t>Decision</w:t>
      </w:r>
    </w:p>
    <w:p w14:paraId="4B412155" w14:textId="15DD74A4" w:rsidR="008F0F55" w:rsidRPr="003A0DFB" w:rsidRDefault="00F81D1E" w:rsidP="000320FB">
      <w:pPr>
        <w:numPr>
          <w:ilvl w:val="0"/>
          <w:numId w:val="3"/>
        </w:numPr>
        <w:tabs>
          <w:tab w:val="left" w:pos="2520"/>
        </w:tabs>
        <w:spacing w:before="160"/>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 </w:t>
      </w:r>
      <w:r w:rsidRPr="003A0DFB">
        <w:rPr>
          <w:rFonts w:ascii="Book Antiqua" w:hAnsi="Book Antiqua" w:cs="Arial"/>
        </w:rPr>
        <w:t>not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1CA884BC" w14:textId="13B830DC" w:rsidR="008F0F55" w:rsidRPr="003A0DFB" w:rsidRDefault="00F81D1E" w:rsidP="000320FB">
      <w:pPr>
        <w:spacing w:before="160"/>
        <w:ind w:left="2552"/>
        <w:jc w:val="both"/>
        <w:rPr>
          <w:rFonts w:ascii="Book Antiqua" w:hAnsi="Book Antiqua" w:cs="Arial"/>
        </w:rPr>
      </w:pPr>
      <w:r w:rsidRPr="003A0DFB">
        <w:rPr>
          <w:rFonts w:ascii="Book Antiqua" w:hAnsi="Book Antiqua" w:cs="Arial"/>
        </w:rPr>
        <w:t>I do not set aside the decision</w:t>
      </w:r>
      <w:r>
        <w:rPr>
          <w:rFonts w:ascii="Book Antiqua" w:hAnsi="Book Antiqua" w:cs="Arial"/>
        </w:rPr>
        <w:t>.</w:t>
      </w:r>
      <w:r w:rsidRPr="003A0DFB">
        <w:rPr>
          <w:rFonts w:ascii="Book Antiqua" w:hAnsi="Book Antiqua" w:cs="Arial"/>
        </w:rPr>
        <w:t xml:space="preserve"> </w:t>
      </w:r>
    </w:p>
    <w:p w14:paraId="5937C084" w14:textId="1C371EEC" w:rsidR="009D3FF9" w:rsidRDefault="009D3FF9" w:rsidP="000320FB">
      <w:pPr>
        <w:spacing w:before="160"/>
        <w:ind w:left="2552"/>
        <w:jc w:val="both"/>
        <w:rPr>
          <w:rFonts w:ascii="Book Antiqua" w:hAnsi="Book Antiqua" w:cs="Arial"/>
        </w:rPr>
      </w:pPr>
      <w:r>
        <w:rPr>
          <w:rFonts w:ascii="Book Antiqua" w:hAnsi="Book Antiqua" w:cs="Arial"/>
        </w:rPr>
        <w:t xml:space="preserve">The decision of the First-tier Tribunal stands and the appeal of the appellant remains dismissed on all grounds. </w:t>
      </w:r>
    </w:p>
    <w:p w14:paraId="379AE902" w14:textId="77777777" w:rsidR="000320FB" w:rsidRDefault="000320FB" w:rsidP="008F0F55">
      <w:pPr>
        <w:tabs>
          <w:tab w:val="left" w:pos="2268"/>
          <w:tab w:val="left" w:pos="5103"/>
        </w:tabs>
        <w:rPr>
          <w:rFonts w:ascii="Book Antiqua" w:hAnsi="Book Antiqua" w:cs="Arial"/>
          <w:b/>
          <w:bCs/>
        </w:rPr>
      </w:pPr>
    </w:p>
    <w:p w14:paraId="65E935A3" w14:textId="420666B1" w:rsidR="008F0F55" w:rsidRDefault="00F81D1E" w:rsidP="000320FB">
      <w:pPr>
        <w:ind w:left="2552"/>
        <w:rPr>
          <w:rFonts w:ascii="Book Antiqua" w:hAnsi="Book Antiqua" w:cs="Arial"/>
          <w:b/>
          <w:bCs/>
        </w:rPr>
      </w:pP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649EB63" w:rsidR="008F0F55" w:rsidRPr="006E1B05" w:rsidRDefault="00F81D1E" w:rsidP="000320FB">
      <w:pPr>
        <w:ind w:left="2552"/>
        <w:rPr>
          <w:rFonts w:ascii="Book Antiqua" w:hAnsi="Book Antiqua" w:cs="Arial"/>
          <w:b/>
          <w:bCs/>
        </w:rPr>
      </w:pPr>
      <w:r w:rsidRPr="006E1B05">
        <w:rPr>
          <w:rFonts w:ascii="Book Antiqua" w:hAnsi="Book Antiqua" w:cs="Arial"/>
          <w:b/>
          <w:bCs/>
        </w:rPr>
        <w:t>Signed</w:t>
      </w:r>
    </w:p>
    <w:p w14:paraId="1D399D48" w14:textId="77777777" w:rsidR="005331DB" w:rsidRDefault="005331DB" w:rsidP="000320FB">
      <w:pPr>
        <w:ind w:left="2552"/>
        <w:rPr>
          <w:rFonts w:ascii="Book Antiqua" w:hAnsi="Book Antiqua" w:cs="Arial"/>
          <w:b/>
          <w:bCs/>
        </w:rPr>
      </w:pPr>
    </w:p>
    <w:p w14:paraId="26B0D653" w14:textId="0CD82BF4" w:rsidR="008F0F55" w:rsidRPr="006E1B05" w:rsidRDefault="00F81D1E" w:rsidP="000320FB">
      <w:pPr>
        <w:ind w:left="2552"/>
        <w:rPr>
          <w:rFonts w:ascii="Book Antiqua" w:hAnsi="Book Antiqua" w:cs="Arial"/>
          <w:b/>
          <w:bCs/>
        </w:rPr>
      </w:pPr>
      <w:r>
        <w:rPr>
          <w:rFonts w:ascii="Book Antiqua" w:hAnsi="Book Antiqua" w:cs="Arial"/>
          <w:b/>
          <w:bCs/>
        </w:rPr>
        <w:t>Deputy Upper Tribunal Judge Pickup</w:t>
      </w:r>
    </w:p>
    <w:p w14:paraId="691AFAE0" w14:textId="77777777" w:rsidR="008F0F55" w:rsidRPr="006E1B05" w:rsidRDefault="00355BD1" w:rsidP="000320FB">
      <w:pPr>
        <w:ind w:left="2552"/>
        <w:rPr>
          <w:rFonts w:ascii="Book Antiqua" w:hAnsi="Book Antiqua" w:cs="Arial"/>
          <w:b/>
          <w:bCs/>
        </w:rPr>
      </w:pPr>
    </w:p>
    <w:p w14:paraId="4B176394" w14:textId="5C1AF433" w:rsidR="008F0F55" w:rsidRDefault="00F81D1E" w:rsidP="000320FB">
      <w:pPr>
        <w:ind w:left="2552"/>
        <w:rPr>
          <w:rFonts w:ascii="Arial" w:hAnsi="Arial" w:cs="Arial"/>
          <w:b/>
          <w:bCs/>
        </w:rPr>
      </w:pPr>
      <w:r w:rsidRPr="006E1B05">
        <w:rPr>
          <w:rFonts w:ascii="Book Antiqua" w:hAnsi="Book Antiqua" w:cs="Arial"/>
          <w:b/>
          <w:bCs/>
        </w:rPr>
        <w:t>Dated</w:t>
      </w:r>
    </w:p>
    <w:p w14:paraId="5B53F670" w14:textId="77777777" w:rsidR="008F0F55" w:rsidRPr="0083585F" w:rsidRDefault="00355BD1" w:rsidP="008F0F55">
      <w:pPr>
        <w:tabs>
          <w:tab w:val="left" w:pos="2520"/>
        </w:tabs>
        <w:jc w:val="both"/>
        <w:rPr>
          <w:rFonts w:ascii="Book Antiqua" w:hAnsi="Book Antiqua" w:cs="Arial"/>
        </w:rPr>
      </w:pPr>
    </w:p>
    <w:p w14:paraId="02B7F256" w14:textId="77777777" w:rsidR="008F0F55" w:rsidRPr="003A0DFB" w:rsidRDefault="00F81D1E" w:rsidP="000320FB">
      <w:pPr>
        <w:tabs>
          <w:tab w:val="left" w:pos="2520"/>
        </w:tabs>
        <w:spacing w:before="160"/>
        <w:jc w:val="both"/>
        <w:rPr>
          <w:rFonts w:ascii="Book Antiqua" w:hAnsi="Book Antiqua" w:cs="Arial"/>
          <w:b/>
        </w:rPr>
      </w:pPr>
      <w:r w:rsidRPr="003A0DFB">
        <w:rPr>
          <w:rFonts w:ascii="Book Antiqua" w:hAnsi="Book Antiqua" w:cs="Arial"/>
          <w:b/>
        </w:rPr>
        <w:t>Anonymity</w:t>
      </w:r>
    </w:p>
    <w:p w14:paraId="65D8842A" w14:textId="77777777" w:rsidR="008F0F55" w:rsidRPr="003A0DFB" w:rsidRDefault="00F81D1E" w:rsidP="000320FB">
      <w:pPr>
        <w:tabs>
          <w:tab w:val="left" w:pos="2520"/>
        </w:tabs>
        <w:spacing w:before="160"/>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77777777" w:rsidR="008F0F55" w:rsidRPr="00177DBD" w:rsidRDefault="00F81D1E" w:rsidP="000320FB">
      <w:pPr>
        <w:tabs>
          <w:tab w:val="left" w:pos="0"/>
          <w:tab w:val="left" w:pos="360"/>
        </w:tabs>
        <w:overflowPunct w:val="0"/>
        <w:autoSpaceDE w:val="0"/>
        <w:autoSpaceDN w:val="0"/>
        <w:adjustRightInd w:val="0"/>
        <w:spacing w:before="160"/>
        <w:jc w:val="both"/>
        <w:textAlignment w:val="baseline"/>
        <w:rPr>
          <w:rFonts w:ascii="Book Antiqua" w:hAnsi="Book Antiqua"/>
        </w:rPr>
      </w:pPr>
      <w:r>
        <w:rPr>
          <w:rFonts w:ascii="Book Antiqua" w:hAnsi="Book Antiqua"/>
        </w:rPr>
        <w:t>Given the circumstances, I make no anonymity order.</w:t>
      </w:r>
    </w:p>
    <w:p w14:paraId="15C89352" w14:textId="7CCAA628" w:rsidR="008F0F55" w:rsidRPr="003A0DFB" w:rsidRDefault="00F81D1E" w:rsidP="000320FB">
      <w:pPr>
        <w:tabs>
          <w:tab w:val="left" w:pos="2552"/>
        </w:tabs>
        <w:spacing w:before="160"/>
        <w:jc w:val="both"/>
        <w:rPr>
          <w:rFonts w:ascii="Book Antiqua" w:hAnsi="Book Antiqua" w:cs="Arial"/>
          <w:b/>
        </w:rPr>
      </w:pPr>
      <w:r w:rsidRPr="003A0DFB">
        <w:rPr>
          <w:rFonts w:ascii="Book Antiqua" w:hAnsi="Book Antiqua" w:cs="Arial"/>
          <w:b/>
        </w:rPr>
        <w:t>Fee Award</w:t>
      </w:r>
      <w:r w:rsidR="000320FB">
        <w:rPr>
          <w:rFonts w:ascii="Book Antiqua" w:hAnsi="Book Antiqua" w:cs="Arial"/>
          <w:b/>
        </w:rPr>
        <w:tab/>
      </w:r>
      <w:r w:rsidRPr="003A0DFB">
        <w:rPr>
          <w:rFonts w:ascii="Book Antiqua" w:hAnsi="Book Antiqua" w:cs="Arial"/>
          <w:b/>
        </w:rPr>
        <w:t>Note: this is not part of the determination.</w:t>
      </w:r>
    </w:p>
    <w:p w14:paraId="04371C54" w14:textId="77777777" w:rsidR="008F0F55" w:rsidRPr="003A0DFB" w:rsidRDefault="00F81D1E" w:rsidP="000320FB">
      <w:pPr>
        <w:tabs>
          <w:tab w:val="left" w:pos="2520"/>
        </w:tabs>
        <w:spacing w:before="160"/>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5146734B" w14:textId="0F3864B6" w:rsidR="008F0F55" w:rsidRPr="003A0DFB" w:rsidRDefault="00F81D1E" w:rsidP="000320FB">
      <w:pPr>
        <w:tabs>
          <w:tab w:val="left" w:pos="2520"/>
        </w:tabs>
        <w:spacing w:before="160"/>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16C1E79B" w14:textId="45C1F0C8" w:rsidR="008F0F55" w:rsidRPr="003A0DFB" w:rsidRDefault="00F81D1E" w:rsidP="000320FB">
      <w:pPr>
        <w:tabs>
          <w:tab w:val="left" w:pos="2520"/>
        </w:tabs>
        <w:spacing w:before="160"/>
        <w:jc w:val="both"/>
        <w:rPr>
          <w:rFonts w:ascii="Book Antiqua" w:hAnsi="Book Antiqua" w:cs="Arial"/>
        </w:rPr>
      </w:pPr>
      <w:r w:rsidRPr="003A0DFB">
        <w:rPr>
          <w:rFonts w:ascii="Book Antiqua" w:hAnsi="Book Antiqua" w:cs="Arial"/>
        </w:rPr>
        <w:t xml:space="preserve">Reasons: </w:t>
      </w:r>
      <w:r w:rsidR="00837A8B">
        <w:rPr>
          <w:rFonts w:ascii="Book Antiqua" w:hAnsi="Book Antiqua" w:cs="Arial"/>
        </w:rPr>
        <w:t>No fee is payable and</w:t>
      </w:r>
      <w:r w:rsidR="005331DB">
        <w:rPr>
          <w:rFonts w:ascii="Book Antiqua" w:hAnsi="Book Antiqua" w:cs="Arial"/>
        </w:rPr>
        <w:t xml:space="preserve"> </w:t>
      </w:r>
      <w:r w:rsidR="00837A8B">
        <w:rPr>
          <w:rFonts w:ascii="Book Antiqua" w:hAnsi="Book Antiqua" w:cs="Arial"/>
        </w:rPr>
        <w:t>the appeal has been dismissed so there can be no fee award.</w:t>
      </w:r>
    </w:p>
    <w:p w14:paraId="70507AA7" w14:textId="77777777" w:rsidR="000320FB" w:rsidRDefault="000320FB" w:rsidP="008F0F55">
      <w:pPr>
        <w:tabs>
          <w:tab w:val="left" w:pos="2268"/>
          <w:tab w:val="left" w:pos="5103"/>
        </w:tabs>
        <w:rPr>
          <w:rFonts w:ascii="Book Antiqua" w:hAnsi="Book Antiqua" w:cs="Arial"/>
          <w:b/>
          <w:bCs/>
        </w:rPr>
      </w:pPr>
    </w:p>
    <w:p w14:paraId="7707ACD1" w14:textId="77777777" w:rsidR="000320FB" w:rsidRDefault="000320FB" w:rsidP="000320FB">
      <w:pPr>
        <w:ind w:left="2552"/>
        <w:rPr>
          <w:rFonts w:ascii="Book Antiqua" w:hAnsi="Book Antiqua" w:cs="Arial"/>
          <w:b/>
          <w:bCs/>
        </w:rPr>
      </w:pPr>
      <w:r>
        <w:rPr>
          <w:noProof/>
        </w:rPr>
        <w:drawing>
          <wp:inline distT="0" distB="0" distL="0" distR="0" wp14:anchorId="1CFF2F17" wp14:editId="04BE35B0">
            <wp:extent cx="1979295" cy="1027430"/>
            <wp:effectExtent l="25400" t="0" r="1905" b="0"/>
            <wp:docPr id="4" name="Picture 4"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C7DB7A5" w14:textId="77777777" w:rsidR="000320FB" w:rsidRPr="006E1B05" w:rsidRDefault="000320FB" w:rsidP="000320FB">
      <w:pPr>
        <w:ind w:left="2552"/>
        <w:rPr>
          <w:rFonts w:ascii="Book Antiqua" w:hAnsi="Book Antiqua" w:cs="Arial"/>
          <w:b/>
          <w:bCs/>
        </w:rPr>
      </w:pPr>
      <w:r w:rsidRPr="006E1B05">
        <w:rPr>
          <w:rFonts w:ascii="Book Antiqua" w:hAnsi="Book Antiqua" w:cs="Arial"/>
          <w:b/>
          <w:bCs/>
        </w:rPr>
        <w:t>Signed</w:t>
      </w:r>
    </w:p>
    <w:p w14:paraId="7DFB4088" w14:textId="77777777" w:rsidR="000320FB" w:rsidRDefault="000320FB" w:rsidP="000320FB">
      <w:pPr>
        <w:ind w:left="2552"/>
        <w:rPr>
          <w:rFonts w:ascii="Book Antiqua" w:hAnsi="Book Antiqua" w:cs="Arial"/>
          <w:b/>
          <w:bCs/>
        </w:rPr>
      </w:pPr>
    </w:p>
    <w:p w14:paraId="2AE78A88" w14:textId="77777777" w:rsidR="000320FB" w:rsidRPr="006E1B05" w:rsidRDefault="000320FB" w:rsidP="000320FB">
      <w:pPr>
        <w:ind w:left="2552"/>
        <w:rPr>
          <w:rFonts w:ascii="Book Antiqua" w:hAnsi="Book Antiqua" w:cs="Arial"/>
          <w:b/>
          <w:bCs/>
        </w:rPr>
      </w:pPr>
      <w:r>
        <w:rPr>
          <w:rFonts w:ascii="Book Antiqua" w:hAnsi="Book Antiqua" w:cs="Arial"/>
          <w:b/>
          <w:bCs/>
        </w:rPr>
        <w:t>Deputy Upper Tribunal Judge Pickup</w:t>
      </w:r>
    </w:p>
    <w:p w14:paraId="0FBA5741" w14:textId="77777777" w:rsidR="000320FB" w:rsidRPr="006E1B05" w:rsidRDefault="000320FB" w:rsidP="000320FB">
      <w:pPr>
        <w:ind w:left="2552"/>
        <w:rPr>
          <w:rFonts w:ascii="Book Antiqua" w:hAnsi="Book Antiqua" w:cs="Arial"/>
          <w:b/>
          <w:bCs/>
        </w:rPr>
      </w:pPr>
    </w:p>
    <w:p w14:paraId="7AB215E7" w14:textId="77777777" w:rsidR="000320FB" w:rsidRDefault="000320FB" w:rsidP="000320FB">
      <w:pPr>
        <w:ind w:left="2552"/>
        <w:rPr>
          <w:rFonts w:ascii="Arial" w:hAnsi="Arial" w:cs="Arial"/>
          <w:b/>
          <w:bCs/>
        </w:rPr>
      </w:pPr>
      <w:r w:rsidRPr="006E1B05">
        <w:rPr>
          <w:rFonts w:ascii="Book Antiqua" w:hAnsi="Book Antiqua" w:cs="Arial"/>
          <w:b/>
          <w:bCs/>
        </w:rPr>
        <w:t>Dated</w:t>
      </w:r>
    </w:p>
    <w:p w14:paraId="35B3CC3A" w14:textId="227ED6EB" w:rsidR="008F0F55" w:rsidRDefault="00355BD1" w:rsidP="000320FB">
      <w:pPr>
        <w:tabs>
          <w:tab w:val="left" w:pos="2268"/>
          <w:tab w:val="left" w:pos="5103"/>
        </w:tabs>
        <w:rPr>
          <w:rFonts w:ascii="Arial" w:hAnsi="Arial" w:cs="Arial"/>
          <w:b/>
          <w:bCs/>
        </w:rPr>
      </w:pPr>
    </w:p>
    <w:sectPr w:rsidR="008F0F55"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D1625" w14:textId="77777777" w:rsidR="00CA573B" w:rsidRDefault="00CA573B">
      <w:r>
        <w:separator/>
      </w:r>
    </w:p>
  </w:endnote>
  <w:endnote w:type="continuationSeparator" w:id="0">
    <w:p w14:paraId="3AC0E7B9" w14:textId="77777777" w:rsidR="00CA573B" w:rsidRDefault="00CA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Times New Roman"/>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19DFE356"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5331DB">
      <w:rPr>
        <w:rStyle w:val="PageNumber"/>
        <w:rFonts w:ascii="Book Antiqua" w:hAnsi="Book Antiqua" w:cs="Arial"/>
        <w:noProof/>
        <w:sz w:val="16"/>
        <w:szCs w:val="16"/>
      </w:rPr>
      <w:t>4</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FAA6A" w14:textId="77777777" w:rsidR="00CA573B" w:rsidRDefault="00CA573B">
      <w:r>
        <w:separator/>
      </w:r>
    </w:p>
  </w:footnote>
  <w:footnote w:type="continuationSeparator" w:id="0">
    <w:p w14:paraId="7A66315D" w14:textId="77777777" w:rsidR="00CA573B" w:rsidRDefault="00CA5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C239" w14:textId="580890A9"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4B392D">
      <w:rPr>
        <w:rFonts w:ascii="Book Antiqua" w:hAnsi="Book Antiqua" w:cs="Arial"/>
        <w:sz w:val="20"/>
        <w:szCs w:val="16"/>
      </w:rPr>
      <w:t>PA/09862/2017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3F2A7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46C"/>
    <w:rsid w:val="000216A1"/>
    <w:rsid w:val="00024A35"/>
    <w:rsid w:val="000320FB"/>
    <w:rsid w:val="000D531F"/>
    <w:rsid w:val="000D5BA5"/>
    <w:rsid w:val="000E3B33"/>
    <w:rsid w:val="00145949"/>
    <w:rsid w:val="001B2C5E"/>
    <w:rsid w:val="001B7972"/>
    <w:rsid w:val="001C088D"/>
    <w:rsid w:val="001C6FDD"/>
    <w:rsid w:val="002774B4"/>
    <w:rsid w:val="002A6A2C"/>
    <w:rsid w:val="002E2DC9"/>
    <w:rsid w:val="002E5ED0"/>
    <w:rsid w:val="00304CCE"/>
    <w:rsid w:val="00355BD1"/>
    <w:rsid w:val="00391149"/>
    <w:rsid w:val="003C56F7"/>
    <w:rsid w:val="003E7F7B"/>
    <w:rsid w:val="003F0C34"/>
    <w:rsid w:val="00403DA8"/>
    <w:rsid w:val="00437C34"/>
    <w:rsid w:val="00465647"/>
    <w:rsid w:val="004B392D"/>
    <w:rsid w:val="004B52AB"/>
    <w:rsid w:val="004B6A27"/>
    <w:rsid w:val="004D1BD1"/>
    <w:rsid w:val="005331DB"/>
    <w:rsid w:val="005521A9"/>
    <w:rsid w:val="00555FFD"/>
    <w:rsid w:val="00571C5C"/>
    <w:rsid w:val="006342D8"/>
    <w:rsid w:val="00760B20"/>
    <w:rsid w:val="00767766"/>
    <w:rsid w:val="00785C4D"/>
    <w:rsid w:val="007B0A98"/>
    <w:rsid w:val="007E14F2"/>
    <w:rsid w:val="0082373D"/>
    <w:rsid w:val="00834166"/>
    <w:rsid w:val="00837A8B"/>
    <w:rsid w:val="00844642"/>
    <w:rsid w:val="0086221E"/>
    <w:rsid w:val="00881D23"/>
    <w:rsid w:val="008F4A4B"/>
    <w:rsid w:val="00935A93"/>
    <w:rsid w:val="00987CE2"/>
    <w:rsid w:val="009D3FF9"/>
    <w:rsid w:val="00A0095C"/>
    <w:rsid w:val="00A10284"/>
    <w:rsid w:val="00A5191D"/>
    <w:rsid w:val="00A53C74"/>
    <w:rsid w:val="00A73F13"/>
    <w:rsid w:val="00A87F50"/>
    <w:rsid w:val="00B132D5"/>
    <w:rsid w:val="00BF13A0"/>
    <w:rsid w:val="00C20E78"/>
    <w:rsid w:val="00C217D5"/>
    <w:rsid w:val="00C21EB5"/>
    <w:rsid w:val="00C24420"/>
    <w:rsid w:val="00C8172D"/>
    <w:rsid w:val="00CA573B"/>
    <w:rsid w:val="00CF1EE3"/>
    <w:rsid w:val="00D1687F"/>
    <w:rsid w:val="00DA0E24"/>
    <w:rsid w:val="00DD6E28"/>
    <w:rsid w:val="00DE0594"/>
    <w:rsid w:val="00E366C9"/>
    <w:rsid w:val="00ED4EB3"/>
    <w:rsid w:val="00F16C2F"/>
    <w:rsid w:val="00F81D1E"/>
    <w:rsid w:val="00F913EC"/>
    <w:rsid w:val="00FC346C"/>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2018-07-24T11:02:00Z</dcterms:created>
  <dcterms:modified xsi:type="dcterms:W3CDTF">2018-07-24T11:03:00Z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