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2804D" w14:textId="77777777" w:rsidR="00CB7FD7" w:rsidRPr="001338C1" w:rsidRDefault="00850BBF" w:rsidP="00CB7FD7">
      <w:pPr>
        <w:jc w:val="center"/>
        <w:rPr>
          <w:rFonts w:ascii="Book Antiqua" w:hAnsi="Book Antiqua" w:cs="Arial"/>
          <w:sz w:val="16"/>
          <w:szCs w:val="16"/>
        </w:rPr>
      </w:pPr>
      <w:r w:rsidRPr="001338C1">
        <w:rPr>
          <w:noProof/>
          <w:sz w:val="16"/>
          <w:szCs w:val="16"/>
        </w:rPr>
        <w:drawing>
          <wp:inline distT="0" distB="0" distL="0" distR="0" wp14:anchorId="44D0BAC3" wp14:editId="169997A5">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14:paraId="401109F3" w14:textId="77777777" w:rsidR="00D94AFC" w:rsidRPr="001338C1" w:rsidRDefault="00CE6902">
      <w:pPr>
        <w:rPr>
          <w:rFonts w:ascii="Book Antiqua" w:hAnsi="Book Antiqua" w:cs="Arial"/>
          <w:sz w:val="16"/>
          <w:szCs w:val="16"/>
        </w:rPr>
      </w:pPr>
      <w:r w:rsidRPr="001338C1">
        <w:rPr>
          <w:rFonts w:ascii="Book Antiqua" w:hAnsi="Book Antiqua" w:cs="Arial"/>
          <w:sz w:val="16"/>
          <w:szCs w:val="16"/>
        </w:rPr>
        <w:t>IAC</w:t>
      </w:r>
      <w:r w:rsidR="006E3C90" w:rsidRPr="001338C1">
        <w:rPr>
          <w:rFonts w:ascii="Book Antiqua" w:hAnsi="Book Antiqua" w:cs="Arial"/>
          <w:sz w:val="16"/>
          <w:szCs w:val="16"/>
        </w:rPr>
        <w:t>-</w:t>
      </w:r>
      <w:r w:rsidR="00966ECF" w:rsidRPr="001338C1">
        <w:rPr>
          <w:rFonts w:ascii="Book Antiqua" w:hAnsi="Book Antiqua" w:cs="Arial"/>
          <w:sz w:val="16"/>
          <w:szCs w:val="16"/>
        </w:rPr>
        <w:t>A</w:t>
      </w:r>
      <w:r w:rsidR="00D94AFC" w:rsidRPr="001338C1">
        <w:rPr>
          <w:rFonts w:ascii="Book Antiqua" w:hAnsi="Book Antiqua" w:cs="Arial"/>
          <w:sz w:val="16"/>
          <w:szCs w:val="16"/>
        </w:rPr>
        <w:t>H-</w:t>
      </w:r>
      <w:r w:rsidR="000B787F" w:rsidRPr="001338C1">
        <w:rPr>
          <w:rFonts w:ascii="Book Antiqua" w:hAnsi="Book Antiqua" w:cs="Arial"/>
          <w:caps/>
          <w:sz w:val="16"/>
          <w:szCs w:val="16"/>
        </w:rPr>
        <w:t>DN</w:t>
      </w:r>
      <w:r w:rsidR="00D94AFC" w:rsidRPr="001338C1">
        <w:rPr>
          <w:rFonts w:ascii="Book Antiqua" w:hAnsi="Book Antiqua" w:cs="Arial"/>
          <w:sz w:val="16"/>
          <w:szCs w:val="16"/>
        </w:rPr>
        <w:t>-V1</w:t>
      </w:r>
    </w:p>
    <w:p w14:paraId="68B79268" w14:textId="77777777" w:rsidR="00D94AFC" w:rsidRPr="001338C1" w:rsidRDefault="00D94AFC">
      <w:pPr>
        <w:rPr>
          <w:rFonts w:ascii="Book Antiqua" w:hAnsi="Book Antiqua" w:cs="Arial"/>
          <w:sz w:val="16"/>
          <w:szCs w:val="16"/>
        </w:rPr>
      </w:pPr>
    </w:p>
    <w:p w14:paraId="65788588" w14:textId="77777777"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14:paraId="5BA7A5DF" w14:textId="77777777" w:rsidR="007B0824" w:rsidRPr="00CE6902" w:rsidRDefault="00CB7FD7" w:rsidP="00B626FA">
      <w:pPr>
        <w:tabs>
          <w:tab w:val="right" w:pos="9639"/>
        </w:tabs>
        <w:rPr>
          <w:rFonts w:ascii="Book Antiqua" w:hAnsi="Book Antiqua" w:cs="Arial"/>
        </w:rPr>
      </w:pPr>
      <w:r w:rsidRPr="00CE6902">
        <w:rPr>
          <w:rFonts w:ascii="Book Antiqua" w:hAnsi="Book Antiqua" w:cs="Arial"/>
          <w:b/>
        </w:rPr>
        <w:t>(Immigration and Asylum Chamber)</w:t>
      </w:r>
      <w:r w:rsidR="00B626FA" w:rsidRPr="00CE6902">
        <w:rPr>
          <w:rFonts w:ascii="Book Antiqua" w:hAnsi="Book Antiqua" w:cs="Arial"/>
          <w:b/>
        </w:rPr>
        <w:tab/>
      </w:r>
      <w:r w:rsidR="00B3524D" w:rsidRPr="00CE6902">
        <w:rPr>
          <w:rFonts w:ascii="Book Antiqua" w:hAnsi="Book Antiqua" w:cs="Arial"/>
        </w:rPr>
        <w:t>Appeal Number</w:t>
      </w:r>
      <w:r w:rsidR="00D53769" w:rsidRPr="00CE6902">
        <w:rPr>
          <w:rFonts w:ascii="Book Antiqua" w:hAnsi="Book Antiqua" w:cs="Arial"/>
        </w:rPr>
        <w:t>:</w:t>
      </w:r>
      <w:r w:rsidR="00B3524D" w:rsidRPr="00CE6902">
        <w:rPr>
          <w:rFonts w:ascii="Book Antiqua" w:hAnsi="Book Antiqua" w:cs="Arial"/>
        </w:rPr>
        <w:t xml:space="preserve"> </w:t>
      </w:r>
      <w:bookmarkStart w:id="0" w:name="_GoBack"/>
      <w:r w:rsidR="000B787F">
        <w:rPr>
          <w:rFonts w:ascii="Book Antiqua" w:hAnsi="Book Antiqua" w:cs="Arial"/>
          <w:caps/>
        </w:rPr>
        <w:t>PA/09902/2017</w:t>
      </w:r>
      <w:bookmarkEnd w:id="0"/>
    </w:p>
    <w:p w14:paraId="49933254" w14:textId="77777777" w:rsidR="00C345E1" w:rsidRPr="00CE6902" w:rsidRDefault="00C345E1" w:rsidP="00C345E1">
      <w:pPr>
        <w:jc w:val="center"/>
        <w:rPr>
          <w:rFonts w:ascii="Book Antiqua" w:hAnsi="Book Antiqua" w:cs="Arial"/>
        </w:rPr>
      </w:pPr>
    </w:p>
    <w:p w14:paraId="2EFEA3F2" w14:textId="77777777" w:rsidR="00C345E1" w:rsidRPr="00CE6902" w:rsidRDefault="00C345E1" w:rsidP="00C345E1">
      <w:pPr>
        <w:jc w:val="center"/>
        <w:rPr>
          <w:rFonts w:ascii="Book Antiqua" w:hAnsi="Book Antiqua" w:cs="Arial"/>
        </w:rPr>
      </w:pPr>
    </w:p>
    <w:p w14:paraId="79E4562C" w14:textId="77777777"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14:paraId="47CADF54" w14:textId="77777777" w:rsidR="00C345E1" w:rsidRPr="00CE6902" w:rsidRDefault="00C345E1" w:rsidP="00C345E1">
      <w:pPr>
        <w:jc w:val="center"/>
        <w:rPr>
          <w:rFonts w:ascii="Book Antiqua" w:hAnsi="Book Antiqua" w:cs="Arial"/>
          <w:b/>
          <w:u w:val="single"/>
        </w:rPr>
      </w:pPr>
    </w:p>
    <w:p w14:paraId="4CE67168" w14:textId="77777777" w:rsidR="00C345E1" w:rsidRPr="00CE690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CE6902" w14:paraId="630D6F1B" w14:textId="77777777" w:rsidTr="00BF3B8C">
        <w:tc>
          <w:tcPr>
            <w:tcW w:w="6048" w:type="dxa"/>
          </w:tcPr>
          <w:p w14:paraId="3F997F18"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Heard at </w:t>
            </w:r>
            <w:r w:rsidR="000B787F">
              <w:rPr>
                <w:rFonts w:ascii="Book Antiqua" w:hAnsi="Book Antiqua" w:cs="Arial"/>
                <w:b/>
              </w:rPr>
              <w:t>Field House</w:t>
            </w:r>
          </w:p>
        </w:tc>
        <w:tc>
          <w:tcPr>
            <w:tcW w:w="3960" w:type="dxa"/>
          </w:tcPr>
          <w:p w14:paraId="7EAD8D2A" w14:textId="77777777" w:rsidR="00D22636" w:rsidRPr="00CE6902" w:rsidRDefault="00BF3B8C" w:rsidP="004A1848">
            <w:pPr>
              <w:jc w:val="both"/>
              <w:rPr>
                <w:rFonts w:ascii="Book Antiqua" w:hAnsi="Book Antiqua" w:cs="Arial"/>
                <w:b/>
              </w:rPr>
            </w:pPr>
            <w:r>
              <w:rPr>
                <w:rFonts w:ascii="Book Antiqua" w:hAnsi="Book Antiqua" w:cs="Arial"/>
                <w:b/>
              </w:rPr>
              <w:t>Decision &amp; Reasons</w:t>
            </w:r>
            <w:r w:rsidR="00283659" w:rsidRPr="00CE6902">
              <w:rPr>
                <w:rFonts w:ascii="Book Antiqua" w:hAnsi="Book Antiqua" w:cs="Arial"/>
                <w:b/>
              </w:rPr>
              <w:t xml:space="preserve"> Promulgated</w:t>
            </w:r>
          </w:p>
        </w:tc>
      </w:tr>
      <w:tr w:rsidR="00D22636" w:rsidRPr="00CE6902" w14:paraId="3AC68BE6" w14:textId="77777777" w:rsidTr="00BF3B8C">
        <w:tc>
          <w:tcPr>
            <w:tcW w:w="6048" w:type="dxa"/>
          </w:tcPr>
          <w:p w14:paraId="156C398D"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On </w:t>
            </w:r>
            <w:r w:rsidR="000B787F">
              <w:rPr>
                <w:rFonts w:ascii="Book Antiqua" w:hAnsi="Book Antiqua" w:cs="Arial"/>
                <w:b/>
              </w:rPr>
              <w:t>16</w:t>
            </w:r>
            <w:r w:rsidR="000B787F" w:rsidRPr="000B787F">
              <w:rPr>
                <w:rFonts w:ascii="Book Antiqua" w:hAnsi="Book Antiqua" w:cs="Arial"/>
                <w:b/>
                <w:vertAlign w:val="superscript"/>
              </w:rPr>
              <w:t>th</w:t>
            </w:r>
            <w:r w:rsidR="000B787F">
              <w:rPr>
                <w:rFonts w:ascii="Book Antiqua" w:hAnsi="Book Antiqua" w:cs="Arial"/>
                <w:b/>
              </w:rPr>
              <w:t xml:space="preserve"> August 2018</w:t>
            </w:r>
          </w:p>
        </w:tc>
        <w:tc>
          <w:tcPr>
            <w:tcW w:w="3960" w:type="dxa"/>
          </w:tcPr>
          <w:p w14:paraId="73E8886C" w14:textId="77777777" w:rsidR="00D22636" w:rsidRPr="00CE6902" w:rsidRDefault="004E354F" w:rsidP="004A1848">
            <w:pPr>
              <w:jc w:val="both"/>
              <w:rPr>
                <w:rFonts w:ascii="Book Antiqua" w:hAnsi="Book Antiqua" w:cs="Arial"/>
                <w:b/>
              </w:rPr>
            </w:pPr>
            <w:r>
              <w:rPr>
                <w:rFonts w:ascii="Book Antiqua" w:hAnsi="Book Antiqua" w:cs="Arial"/>
                <w:b/>
              </w:rPr>
              <w:t>On 03</w:t>
            </w:r>
            <w:r w:rsidRPr="004E354F">
              <w:rPr>
                <w:rFonts w:ascii="Book Antiqua" w:hAnsi="Book Antiqua" w:cs="Arial"/>
                <w:b/>
                <w:vertAlign w:val="superscript"/>
              </w:rPr>
              <w:t>rd</w:t>
            </w:r>
            <w:r>
              <w:rPr>
                <w:rFonts w:ascii="Book Antiqua" w:hAnsi="Book Antiqua" w:cs="Arial"/>
                <w:b/>
              </w:rPr>
              <w:t xml:space="preserve"> September 2018</w:t>
            </w:r>
          </w:p>
        </w:tc>
      </w:tr>
      <w:tr w:rsidR="00D22636" w:rsidRPr="00CE6902" w14:paraId="260BDB74" w14:textId="77777777" w:rsidTr="00BF3B8C">
        <w:tc>
          <w:tcPr>
            <w:tcW w:w="6048" w:type="dxa"/>
          </w:tcPr>
          <w:p w14:paraId="6DF1C959" w14:textId="77777777" w:rsidR="00D22636" w:rsidRPr="00CE6902" w:rsidRDefault="00D22636" w:rsidP="004A1848">
            <w:pPr>
              <w:jc w:val="both"/>
              <w:rPr>
                <w:rFonts w:ascii="Book Antiqua" w:hAnsi="Book Antiqua" w:cs="Arial"/>
                <w:b/>
              </w:rPr>
            </w:pPr>
          </w:p>
        </w:tc>
        <w:tc>
          <w:tcPr>
            <w:tcW w:w="3960" w:type="dxa"/>
          </w:tcPr>
          <w:p w14:paraId="6FC65084" w14:textId="77777777" w:rsidR="00D22636" w:rsidRPr="00CE6902" w:rsidRDefault="00D22636" w:rsidP="004A1848">
            <w:pPr>
              <w:jc w:val="both"/>
              <w:rPr>
                <w:rFonts w:ascii="Book Antiqua" w:hAnsi="Book Antiqua" w:cs="Arial"/>
                <w:b/>
              </w:rPr>
            </w:pPr>
          </w:p>
        </w:tc>
      </w:tr>
    </w:tbl>
    <w:p w14:paraId="2FEEC297" w14:textId="77777777" w:rsidR="00A15234" w:rsidRDefault="00A15234" w:rsidP="004E354F">
      <w:pPr>
        <w:rPr>
          <w:rFonts w:ascii="Book Antiqua" w:hAnsi="Book Antiqua" w:cs="Arial"/>
        </w:rPr>
      </w:pPr>
    </w:p>
    <w:p w14:paraId="5DA3E731" w14:textId="77777777"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14:paraId="73E933DD" w14:textId="77777777" w:rsidR="00A15234" w:rsidRPr="00CE6902" w:rsidRDefault="00A15234" w:rsidP="00A15234">
      <w:pPr>
        <w:jc w:val="center"/>
        <w:rPr>
          <w:rFonts w:ascii="Book Antiqua" w:hAnsi="Book Antiqua" w:cs="Arial"/>
          <w:b/>
        </w:rPr>
      </w:pPr>
    </w:p>
    <w:p w14:paraId="5477A928" w14:textId="77777777"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14:paraId="0DA157C0" w14:textId="2224D4FA" w:rsidR="00A845DC" w:rsidRDefault="00A845DC" w:rsidP="00A15234">
      <w:pPr>
        <w:jc w:val="center"/>
        <w:rPr>
          <w:rFonts w:ascii="Book Antiqua" w:hAnsi="Book Antiqua" w:cs="Arial"/>
          <w:b/>
        </w:rPr>
      </w:pPr>
    </w:p>
    <w:p w14:paraId="7A0B2EAB" w14:textId="77777777" w:rsidR="001338C1" w:rsidRPr="00CE6902" w:rsidRDefault="001338C1" w:rsidP="00A15234">
      <w:pPr>
        <w:jc w:val="center"/>
        <w:rPr>
          <w:rFonts w:ascii="Book Antiqua" w:hAnsi="Book Antiqua" w:cs="Arial"/>
          <w:b/>
        </w:rPr>
      </w:pPr>
    </w:p>
    <w:p w14:paraId="01B009AA" w14:textId="77777777" w:rsidR="00A845DC" w:rsidRPr="00CE6902" w:rsidRDefault="00A845DC" w:rsidP="00A15234">
      <w:pPr>
        <w:jc w:val="center"/>
        <w:rPr>
          <w:rFonts w:ascii="Book Antiqua" w:hAnsi="Book Antiqua" w:cs="Arial"/>
          <w:b/>
        </w:rPr>
      </w:pPr>
      <w:r w:rsidRPr="00CE6902">
        <w:rPr>
          <w:rFonts w:ascii="Book Antiqua" w:hAnsi="Book Antiqua" w:cs="Arial"/>
          <w:b/>
        </w:rPr>
        <w:t>Between</w:t>
      </w:r>
    </w:p>
    <w:p w14:paraId="596F78FA" w14:textId="77777777" w:rsidR="00A845DC" w:rsidRPr="00CE6902" w:rsidRDefault="00A845DC" w:rsidP="00A15234">
      <w:pPr>
        <w:jc w:val="center"/>
        <w:rPr>
          <w:rFonts w:ascii="Book Antiqua" w:hAnsi="Book Antiqua" w:cs="Arial"/>
          <w:b/>
        </w:rPr>
      </w:pPr>
    </w:p>
    <w:p w14:paraId="2480EDD5" w14:textId="799D6CA7" w:rsidR="00742A8D" w:rsidRDefault="000B787F" w:rsidP="00742A8D">
      <w:pPr>
        <w:jc w:val="center"/>
        <w:rPr>
          <w:rFonts w:ascii="Book Antiqua" w:hAnsi="Book Antiqua" w:cs="Arial"/>
          <w:b/>
          <w:caps/>
        </w:rPr>
      </w:pPr>
      <w:r>
        <w:rPr>
          <w:rFonts w:ascii="Book Antiqua" w:hAnsi="Book Antiqua" w:cs="Arial"/>
          <w:b/>
          <w:caps/>
        </w:rPr>
        <w:t xml:space="preserve">tharanga </w:t>
      </w:r>
      <w:r w:rsidR="001338C1">
        <w:rPr>
          <w:rFonts w:ascii="Book Antiqua" w:hAnsi="Book Antiqua" w:cs="Arial"/>
          <w:b/>
          <w:caps/>
        </w:rPr>
        <w:t>[</w:t>
      </w:r>
      <w:r>
        <w:rPr>
          <w:rFonts w:ascii="Book Antiqua" w:hAnsi="Book Antiqua" w:cs="Arial"/>
          <w:b/>
          <w:caps/>
        </w:rPr>
        <w:t>a</w:t>
      </w:r>
      <w:r w:rsidR="001338C1">
        <w:rPr>
          <w:rFonts w:ascii="Book Antiqua" w:hAnsi="Book Antiqua" w:cs="Arial"/>
          <w:b/>
          <w:caps/>
        </w:rPr>
        <w:t>]</w:t>
      </w:r>
    </w:p>
    <w:p w14:paraId="0130DB26" w14:textId="77777777" w:rsidR="00BF3B8C" w:rsidRPr="001338C1" w:rsidRDefault="00BF3B8C" w:rsidP="00BF3B8C">
      <w:pPr>
        <w:jc w:val="center"/>
        <w:rPr>
          <w:rFonts w:ascii="Book Antiqua" w:hAnsi="Book Antiqua" w:cs="Arial"/>
          <w:b/>
          <w:caps/>
          <w:sz w:val="22"/>
        </w:rPr>
      </w:pPr>
      <w:r w:rsidRPr="001338C1">
        <w:rPr>
          <w:rFonts w:ascii="Book Antiqua" w:hAnsi="Book Antiqua" w:cs="Arial"/>
          <w:b/>
          <w:caps/>
          <w:sz w:val="22"/>
        </w:rPr>
        <w:t>(ANONYMITY DIRECTION</w:t>
      </w:r>
      <w:r w:rsidR="00C44AA1" w:rsidRPr="001338C1">
        <w:rPr>
          <w:rFonts w:ascii="Book Antiqua" w:hAnsi="Book Antiqua" w:cs="Arial"/>
          <w:b/>
          <w:caps/>
          <w:sz w:val="22"/>
        </w:rPr>
        <w:t xml:space="preserve"> NOT MADE</w:t>
      </w:r>
      <w:r w:rsidRPr="001338C1">
        <w:rPr>
          <w:rFonts w:ascii="Book Antiqua" w:hAnsi="Book Antiqua" w:cs="Arial"/>
          <w:b/>
          <w:caps/>
          <w:sz w:val="22"/>
        </w:rPr>
        <w:t>)</w:t>
      </w:r>
    </w:p>
    <w:p w14:paraId="4A540151" w14:textId="77777777"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14:paraId="4AAC85D8" w14:textId="77777777" w:rsidR="00704B61" w:rsidRPr="00CE6902" w:rsidRDefault="00DD5071" w:rsidP="00704B61">
      <w:pPr>
        <w:jc w:val="center"/>
        <w:rPr>
          <w:rFonts w:ascii="Book Antiqua" w:hAnsi="Book Antiqua" w:cs="Arial"/>
          <w:b/>
        </w:rPr>
      </w:pPr>
      <w:r w:rsidRPr="00CE6902">
        <w:rPr>
          <w:rFonts w:ascii="Book Antiqua" w:hAnsi="Book Antiqua" w:cs="Arial"/>
          <w:b/>
        </w:rPr>
        <w:t>and</w:t>
      </w:r>
    </w:p>
    <w:p w14:paraId="57979080" w14:textId="77777777" w:rsidR="00DD5071" w:rsidRPr="00CE6902" w:rsidRDefault="00DD5071" w:rsidP="00704B61">
      <w:pPr>
        <w:jc w:val="center"/>
        <w:rPr>
          <w:rFonts w:ascii="Book Antiqua" w:hAnsi="Book Antiqua" w:cs="Arial"/>
          <w:b/>
        </w:rPr>
      </w:pPr>
    </w:p>
    <w:p w14:paraId="6C8F60F4" w14:textId="77777777" w:rsidR="00DD5071" w:rsidRPr="00CE6902" w:rsidRDefault="00DD5071" w:rsidP="00704B61">
      <w:pPr>
        <w:jc w:val="center"/>
        <w:rPr>
          <w:rFonts w:ascii="Book Antiqua" w:hAnsi="Book Antiqua" w:cs="Arial"/>
          <w:b/>
          <w:caps/>
        </w:rPr>
      </w:pPr>
      <w:r w:rsidRPr="00CE690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CE6902">
        <w:rPr>
          <w:rFonts w:ascii="Book Antiqua" w:hAnsi="Book Antiqua" w:cs="Arial"/>
          <w:b/>
          <w:caps/>
        </w:rPr>
        <w:instrText xml:space="preserve"> FORMTEXT </w:instrText>
      </w:r>
      <w:r w:rsidRPr="00CE6902">
        <w:rPr>
          <w:rFonts w:ascii="Book Antiqua" w:hAnsi="Book Antiqua" w:cs="Arial"/>
          <w:b/>
          <w:caps/>
        </w:rPr>
      </w:r>
      <w:r w:rsidRPr="00CE6902">
        <w:rPr>
          <w:rFonts w:ascii="Book Antiqua" w:hAnsi="Book Antiqua" w:cs="Arial"/>
          <w:b/>
          <w:caps/>
        </w:rPr>
        <w:fldChar w:fldCharType="separate"/>
      </w:r>
      <w:r w:rsidRPr="00CE6902">
        <w:rPr>
          <w:rFonts w:ascii="Book Antiqua" w:hAnsi="Book Antiqua" w:cs="Arial"/>
          <w:b/>
          <w:caps/>
          <w:noProof/>
        </w:rPr>
        <w:t>THE SECRETARY OF STATE FOR THE HOME DEPARTMENT</w:t>
      </w:r>
      <w:r w:rsidRPr="00CE6902">
        <w:rPr>
          <w:rFonts w:ascii="Book Antiqua" w:hAnsi="Book Antiqua" w:cs="Arial"/>
          <w:b/>
          <w:caps/>
        </w:rPr>
        <w:fldChar w:fldCharType="end"/>
      </w:r>
      <w:bookmarkEnd w:id="1"/>
    </w:p>
    <w:p w14:paraId="53876467" w14:textId="77777777"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14:paraId="0C23B5B0" w14:textId="77777777" w:rsidR="00DD5071" w:rsidRPr="00CE6902" w:rsidRDefault="00DD5071" w:rsidP="00DD5071">
      <w:pPr>
        <w:rPr>
          <w:rFonts w:ascii="Book Antiqua" w:hAnsi="Book Antiqua" w:cs="Arial"/>
          <w:u w:val="single"/>
        </w:rPr>
      </w:pPr>
    </w:p>
    <w:p w14:paraId="50FDD47D" w14:textId="77777777" w:rsidR="00DD5071" w:rsidRPr="00CE6902" w:rsidRDefault="00DD5071" w:rsidP="00DD5071">
      <w:pPr>
        <w:rPr>
          <w:rFonts w:ascii="Book Antiqua" w:hAnsi="Book Antiqua" w:cs="Arial"/>
          <w:u w:val="single"/>
        </w:rPr>
      </w:pPr>
    </w:p>
    <w:p w14:paraId="34CD980D" w14:textId="77777777"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14:paraId="47BF81E0" w14:textId="77777777" w:rsidR="00DE7DB7" w:rsidRPr="00CE6902" w:rsidRDefault="00DE7DB7" w:rsidP="001338C1">
      <w:pPr>
        <w:tabs>
          <w:tab w:val="left" w:pos="2552"/>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0B787F">
        <w:rPr>
          <w:rFonts w:ascii="Book Antiqua" w:hAnsi="Book Antiqua" w:cs="Arial"/>
        </w:rPr>
        <w:t xml:space="preserve">Mr D Coleman instructed by S </w:t>
      </w:r>
      <w:proofErr w:type="spellStart"/>
      <w:r w:rsidR="000B787F">
        <w:rPr>
          <w:rFonts w:ascii="Book Antiqua" w:hAnsi="Book Antiqua" w:cs="Arial"/>
        </w:rPr>
        <w:t>Satha</w:t>
      </w:r>
      <w:proofErr w:type="spellEnd"/>
      <w:r w:rsidR="000B787F">
        <w:rPr>
          <w:rFonts w:ascii="Book Antiqua" w:hAnsi="Book Antiqua" w:cs="Arial"/>
        </w:rPr>
        <w:t xml:space="preserve"> &amp; Company</w:t>
      </w:r>
    </w:p>
    <w:p w14:paraId="18E6369C" w14:textId="77777777" w:rsidR="00DE7DB7" w:rsidRPr="00CE6902" w:rsidRDefault="00DE7DB7" w:rsidP="001338C1">
      <w:pPr>
        <w:tabs>
          <w:tab w:val="left" w:pos="2552"/>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0B787F">
        <w:rPr>
          <w:rFonts w:ascii="Book Antiqua" w:hAnsi="Book Antiqua" w:cs="Arial"/>
        </w:rPr>
        <w:t xml:space="preserve">Mr S Walker, Home Office Presenting Officer </w:t>
      </w:r>
    </w:p>
    <w:p w14:paraId="52C9B60B" w14:textId="77777777" w:rsidR="00DE7DB7" w:rsidRPr="00CE6902" w:rsidRDefault="00DE7DB7" w:rsidP="00402B9E">
      <w:pPr>
        <w:tabs>
          <w:tab w:val="left" w:pos="2520"/>
        </w:tabs>
        <w:jc w:val="center"/>
        <w:rPr>
          <w:rFonts w:ascii="Book Antiqua" w:hAnsi="Book Antiqua" w:cs="Arial"/>
        </w:rPr>
      </w:pPr>
    </w:p>
    <w:p w14:paraId="1F59A6C1" w14:textId="77777777" w:rsidR="00DE7DB7" w:rsidRPr="00CE6902" w:rsidRDefault="00DE7DB7" w:rsidP="00402B9E">
      <w:pPr>
        <w:tabs>
          <w:tab w:val="left" w:pos="2520"/>
        </w:tabs>
        <w:jc w:val="center"/>
        <w:rPr>
          <w:rFonts w:ascii="Book Antiqua" w:hAnsi="Book Antiqua" w:cs="Arial"/>
        </w:rPr>
      </w:pPr>
    </w:p>
    <w:p w14:paraId="4D5EFD06" w14:textId="77777777" w:rsidR="00B626FA" w:rsidRDefault="00BF3B8C" w:rsidP="004E354F">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14:paraId="501DB0E3" w14:textId="77777777" w:rsidR="00C665DF" w:rsidRDefault="000B787F" w:rsidP="00C665DF">
      <w:pPr>
        <w:numPr>
          <w:ilvl w:val="0"/>
          <w:numId w:val="3"/>
        </w:numPr>
        <w:spacing w:before="240"/>
        <w:jc w:val="both"/>
        <w:rPr>
          <w:rFonts w:ascii="Book Antiqua" w:hAnsi="Book Antiqua" w:cs="Arial"/>
        </w:rPr>
      </w:pPr>
      <w:r>
        <w:rPr>
          <w:rFonts w:ascii="Book Antiqua" w:hAnsi="Book Antiqua" w:cs="Arial"/>
        </w:rPr>
        <w:t xml:space="preserve">This is the appellant’s appeal against the decision of Judge </w:t>
      </w:r>
      <w:proofErr w:type="spellStart"/>
      <w:r>
        <w:rPr>
          <w:rFonts w:ascii="Book Antiqua" w:hAnsi="Book Antiqua" w:cs="Arial"/>
        </w:rPr>
        <w:t>Swinnerton</w:t>
      </w:r>
      <w:proofErr w:type="spellEnd"/>
      <w:r>
        <w:rPr>
          <w:rFonts w:ascii="Book Antiqua" w:hAnsi="Book Antiqua" w:cs="Arial"/>
        </w:rPr>
        <w:t xml:space="preserve"> made following a hearing at Hatton Cross on 9</w:t>
      </w:r>
      <w:r w:rsidRPr="000B787F">
        <w:rPr>
          <w:rFonts w:ascii="Book Antiqua" w:hAnsi="Book Antiqua" w:cs="Arial"/>
          <w:vertAlign w:val="superscript"/>
        </w:rPr>
        <w:t>th</w:t>
      </w:r>
      <w:r>
        <w:rPr>
          <w:rFonts w:ascii="Book Antiqua" w:hAnsi="Book Antiqua" w:cs="Arial"/>
        </w:rPr>
        <w:t xml:space="preserve"> February 2018.</w:t>
      </w:r>
    </w:p>
    <w:p w14:paraId="11836153" w14:textId="77777777" w:rsidR="000B787F" w:rsidRDefault="000B787F" w:rsidP="0018262F">
      <w:pPr>
        <w:spacing w:before="240"/>
        <w:jc w:val="both"/>
        <w:rPr>
          <w:rFonts w:ascii="Book Antiqua" w:hAnsi="Book Antiqua" w:cs="Arial"/>
        </w:rPr>
      </w:pPr>
      <w:r>
        <w:rPr>
          <w:rFonts w:ascii="Book Antiqua" w:hAnsi="Book Antiqua" w:cs="Arial"/>
          <w:b/>
          <w:u w:val="single"/>
        </w:rPr>
        <w:t>Background</w:t>
      </w:r>
    </w:p>
    <w:p w14:paraId="783955FC" w14:textId="77777777" w:rsidR="00857CB2" w:rsidRDefault="000B787F" w:rsidP="00C665DF">
      <w:pPr>
        <w:numPr>
          <w:ilvl w:val="0"/>
          <w:numId w:val="3"/>
        </w:numPr>
        <w:spacing w:before="240"/>
        <w:jc w:val="both"/>
        <w:rPr>
          <w:rFonts w:ascii="Book Antiqua" w:hAnsi="Book Antiqua" w:cs="Arial"/>
        </w:rPr>
      </w:pPr>
      <w:r>
        <w:rPr>
          <w:rFonts w:ascii="Book Antiqua" w:hAnsi="Book Antiqua" w:cs="Arial"/>
        </w:rPr>
        <w:t>The appellant is a citizen of Sri Lanka born on 14</w:t>
      </w:r>
      <w:r w:rsidRPr="000B787F">
        <w:rPr>
          <w:rFonts w:ascii="Book Antiqua" w:hAnsi="Book Antiqua" w:cs="Arial"/>
          <w:vertAlign w:val="superscript"/>
        </w:rPr>
        <w:t>th</w:t>
      </w:r>
      <w:r>
        <w:rPr>
          <w:rFonts w:ascii="Book Antiqua" w:hAnsi="Book Antiqua" w:cs="Arial"/>
        </w:rPr>
        <w:t xml:space="preserve"> May 1976.  He arrived in the UK in February 2005 and claimed asylum some twelve years later in March 2017.  He was refused and his appeal came before Judge </w:t>
      </w:r>
      <w:proofErr w:type="spellStart"/>
      <w:r>
        <w:rPr>
          <w:rFonts w:ascii="Book Antiqua" w:hAnsi="Book Antiqua" w:cs="Arial"/>
        </w:rPr>
        <w:t>Swinnerton</w:t>
      </w:r>
      <w:proofErr w:type="spellEnd"/>
      <w:r>
        <w:rPr>
          <w:rFonts w:ascii="Book Antiqua" w:hAnsi="Book Antiqua" w:cs="Arial"/>
        </w:rPr>
        <w:t xml:space="preserve"> who dismissed his claim that he would be at risk on return to Sri Lanka.  </w:t>
      </w:r>
    </w:p>
    <w:p w14:paraId="4AA4A486" w14:textId="77777777" w:rsidR="000B787F" w:rsidRDefault="000B787F" w:rsidP="00C665DF">
      <w:pPr>
        <w:numPr>
          <w:ilvl w:val="0"/>
          <w:numId w:val="3"/>
        </w:numPr>
        <w:spacing w:before="240"/>
        <w:jc w:val="both"/>
        <w:rPr>
          <w:rFonts w:ascii="Book Antiqua" w:hAnsi="Book Antiqua" w:cs="Arial"/>
        </w:rPr>
      </w:pPr>
      <w:r>
        <w:rPr>
          <w:rFonts w:ascii="Book Antiqua" w:hAnsi="Book Antiqua" w:cs="Arial"/>
        </w:rPr>
        <w:lastRenderedPageBreak/>
        <w:t>He sought permission to appeal against that decision but permission was not granted</w:t>
      </w:r>
      <w:r w:rsidR="00857CB2">
        <w:rPr>
          <w:rFonts w:ascii="Book Antiqua" w:hAnsi="Book Antiqua" w:cs="Arial"/>
        </w:rPr>
        <w:t>,</w:t>
      </w:r>
      <w:r w:rsidR="00C619C8">
        <w:rPr>
          <w:rFonts w:ascii="Book Antiqua" w:hAnsi="Book Antiqua" w:cs="Arial"/>
        </w:rPr>
        <w:t xml:space="preserve"> the Immigration Judge concluding that proper reasons had been given for finding inconsistencies in the appellant’s account</w:t>
      </w:r>
      <w:r w:rsidR="00857CB2">
        <w:rPr>
          <w:rFonts w:ascii="Book Antiqua" w:hAnsi="Book Antiqua" w:cs="Arial"/>
        </w:rPr>
        <w:t>.  T</w:t>
      </w:r>
      <w:r w:rsidR="00C619C8">
        <w:rPr>
          <w:rFonts w:ascii="Book Antiqua" w:hAnsi="Book Antiqua" w:cs="Arial"/>
        </w:rPr>
        <w:t>he conclusion that he would not be at risk upon return was properly reasoned and sustainable.</w:t>
      </w:r>
    </w:p>
    <w:p w14:paraId="29488BD0" w14:textId="77777777" w:rsidR="00857CB2" w:rsidRDefault="00C619C8" w:rsidP="00C665DF">
      <w:pPr>
        <w:numPr>
          <w:ilvl w:val="0"/>
          <w:numId w:val="3"/>
        </w:numPr>
        <w:spacing w:before="240"/>
        <w:jc w:val="both"/>
        <w:rPr>
          <w:rFonts w:ascii="Book Antiqua" w:hAnsi="Book Antiqua" w:cs="Arial"/>
        </w:rPr>
      </w:pPr>
      <w:r>
        <w:rPr>
          <w:rFonts w:ascii="Book Antiqua" w:hAnsi="Book Antiqua" w:cs="Arial"/>
        </w:rPr>
        <w:t>However</w:t>
      </w:r>
      <w:r w:rsidR="0018262F">
        <w:rPr>
          <w:rFonts w:ascii="Book Antiqua" w:hAnsi="Book Antiqua" w:cs="Arial"/>
        </w:rPr>
        <w:t>,</w:t>
      </w:r>
      <w:r>
        <w:rPr>
          <w:rFonts w:ascii="Book Antiqua" w:hAnsi="Book Antiqua" w:cs="Arial"/>
        </w:rPr>
        <w:t xml:space="preserve"> the appellant also sought to argue that his removal would breach his Article 8 rights.  He met his present partner in 2014 and they began living together in May 2015.  They went through a </w:t>
      </w:r>
      <w:r w:rsidR="00857CB2">
        <w:rPr>
          <w:rFonts w:ascii="Book Antiqua" w:hAnsi="Book Antiqua" w:cs="Arial"/>
        </w:rPr>
        <w:t xml:space="preserve">religious </w:t>
      </w:r>
      <w:r>
        <w:rPr>
          <w:rFonts w:ascii="Book Antiqua" w:hAnsi="Book Antiqua" w:cs="Arial"/>
        </w:rPr>
        <w:t xml:space="preserve">ceremony in June 2017 and the judge accepted that the appellant was in a genuine relationship with his partner.  </w:t>
      </w:r>
    </w:p>
    <w:p w14:paraId="5F2869F3" w14:textId="77777777" w:rsidR="00C619C8" w:rsidRDefault="00C619C8" w:rsidP="00C665DF">
      <w:pPr>
        <w:numPr>
          <w:ilvl w:val="0"/>
          <w:numId w:val="3"/>
        </w:numPr>
        <w:spacing w:before="240"/>
        <w:jc w:val="both"/>
        <w:rPr>
          <w:rFonts w:ascii="Book Antiqua" w:hAnsi="Book Antiqua" w:cs="Arial"/>
        </w:rPr>
      </w:pPr>
      <w:r>
        <w:rPr>
          <w:rFonts w:ascii="Book Antiqua" w:hAnsi="Book Antiqua" w:cs="Arial"/>
        </w:rPr>
        <w:t>She has a daughter who is now 16.  The judge said that he took into account the Section 55 duty to ensure that immigration decisions were made having regard to the need to safeguard and promote the welfare of children</w:t>
      </w:r>
      <w:r w:rsidR="00857CB2">
        <w:rPr>
          <w:rFonts w:ascii="Book Antiqua" w:hAnsi="Book Antiqua" w:cs="Arial"/>
        </w:rPr>
        <w:t>,</w:t>
      </w:r>
      <w:r>
        <w:rPr>
          <w:rFonts w:ascii="Book Antiqua" w:hAnsi="Book Antiqua" w:cs="Arial"/>
        </w:rPr>
        <w:t xml:space="preserve"> and that it was generally in the best interests of children to have stability and continuity in their social situation and education.  He accepted that the appellant was in a genuine parental relationship with J and that his removal would have a disruptive effect upon her life and family.  However</w:t>
      </w:r>
      <w:r w:rsidR="0018262F">
        <w:rPr>
          <w:rFonts w:ascii="Book Antiqua" w:hAnsi="Book Antiqua" w:cs="Arial"/>
        </w:rPr>
        <w:t>,</w:t>
      </w:r>
      <w:r>
        <w:rPr>
          <w:rFonts w:ascii="Book Antiqua" w:hAnsi="Book Antiqua" w:cs="Arial"/>
        </w:rPr>
        <w:t xml:space="preserve"> a balance had to be struck between allowing the appellant to remain and the respondent’s requirement to maintain effective immigration control</w:t>
      </w:r>
      <w:r w:rsidR="00857CB2">
        <w:rPr>
          <w:rFonts w:ascii="Book Antiqua" w:hAnsi="Book Antiqua" w:cs="Arial"/>
        </w:rPr>
        <w:t>,</w:t>
      </w:r>
      <w:r>
        <w:rPr>
          <w:rFonts w:ascii="Book Antiqua" w:hAnsi="Book Antiqua" w:cs="Arial"/>
        </w:rPr>
        <w:t xml:space="preserve"> and in the circumstances of this case he decided that the balance of the argument lay with the respondent.</w:t>
      </w:r>
    </w:p>
    <w:p w14:paraId="2C7582BE" w14:textId="77777777" w:rsidR="00857CB2" w:rsidRDefault="00C619C8" w:rsidP="00C665DF">
      <w:pPr>
        <w:numPr>
          <w:ilvl w:val="0"/>
          <w:numId w:val="3"/>
        </w:numPr>
        <w:spacing w:before="240"/>
        <w:jc w:val="both"/>
        <w:rPr>
          <w:rFonts w:ascii="Book Antiqua" w:hAnsi="Book Antiqua" w:cs="Arial"/>
        </w:rPr>
      </w:pPr>
      <w:r>
        <w:rPr>
          <w:rFonts w:ascii="Book Antiqua" w:hAnsi="Book Antiqua" w:cs="Arial"/>
        </w:rPr>
        <w:t>Permission to appeal was sought on the grounds that the judge had adopted a flawed approach to Section 117</w:t>
      </w:r>
      <w:proofErr w:type="gramStart"/>
      <w:r>
        <w:rPr>
          <w:rFonts w:ascii="Book Antiqua" w:hAnsi="Book Antiqua" w:cs="Arial"/>
        </w:rPr>
        <w:t>B(</w:t>
      </w:r>
      <w:proofErr w:type="gramEnd"/>
      <w:r>
        <w:rPr>
          <w:rFonts w:ascii="Book Antiqua" w:hAnsi="Book Antiqua" w:cs="Arial"/>
        </w:rPr>
        <w:t xml:space="preserve">6) of the 2002 Act to which he did not refer. </w:t>
      </w:r>
    </w:p>
    <w:p w14:paraId="33258958" w14:textId="77777777" w:rsidR="00C619C8" w:rsidRDefault="00C619C8" w:rsidP="00C665DF">
      <w:pPr>
        <w:numPr>
          <w:ilvl w:val="0"/>
          <w:numId w:val="3"/>
        </w:numPr>
        <w:spacing w:before="240"/>
        <w:jc w:val="both"/>
        <w:rPr>
          <w:rFonts w:ascii="Book Antiqua" w:hAnsi="Book Antiqua" w:cs="Arial"/>
        </w:rPr>
      </w:pPr>
      <w:r>
        <w:rPr>
          <w:rFonts w:ascii="Book Antiqua" w:hAnsi="Book Antiqua" w:cs="Arial"/>
        </w:rPr>
        <w:t>Permission to appeal was granted by Upper Tribunal Judge Rintoul on 27</w:t>
      </w:r>
      <w:r w:rsidRPr="00C619C8">
        <w:rPr>
          <w:rFonts w:ascii="Book Antiqua" w:hAnsi="Book Antiqua" w:cs="Arial"/>
          <w:vertAlign w:val="superscript"/>
        </w:rPr>
        <w:t>th</w:t>
      </w:r>
      <w:r>
        <w:rPr>
          <w:rFonts w:ascii="Book Antiqua" w:hAnsi="Book Antiqua" w:cs="Arial"/>
        </w:rPr>
        <w:t xml:space="preserve"> June 2018 on that ground.</w:t>
      </w:r>
    </w:p>
    <w:p w14:paraId="4212B209" w14:textId="77777777" w:rsidR="00C619C8" w:rsidRDefault="00C619C8" w:rsidP="0018262F">
      <w:pPr>
        <w:spacing w:before="240"/>
        <w:jc w:val="both"/>
        <w:rPr>
          <w:rFonts w:ascii="Book Antiqua" w:hAnsi="Book Antiqua" w:cs="Arial"/>
        </w:rPr>
      </w:pPr>
      <w:r>
        <w:rPr>
          <w:rFonts w:ascii="Book Antiqua" w:hAnsi="Book Antiqua" w:cs="Arial"/>
          <w:b/>
          <w:u w:val="single"/>
        </w:rPr>
        <w:t>Consideration as to Whether There is a Material Error of Law</w:t>
      </w:r>
    </w:p>
    <w:p w14:paraId="6244DE88" w14:textId="77777777" w:rsidR="00793D54" w:rsidRDefault="00C619C8" w:rsidP="00C665DF">
      <w:pPr>
        <w:numPr>
          <w:ilvl w:val="0"/>
          <w:numId w:val="3"/>
        </w:numPr>
        <w:spacing w:before="240"/>
        <w:jc w:val="both"/>
        <w:rPr>
          <w:rFonts w:ascii="Book Antiqua" w:hAnsi="Book Antiqua" w:cs="Arial"/>
        </w:rPr>
      </w:pPr>
      <w:r>
        <w:rPr>
          <w:rFonts w:ascii="Book Antiqua" w:hAnsi="Book Antiqua" w:cs="Arial"/>
        </w:rPr>
        <w:t>Mr Walker accepted that the judge’s failure to refer to or to apply Section 117</w:t>
      </w:r>
      <w:proofErr w:type="gramStart"/>
      <w:r>
        <w:rPr>
          <w:rFonts w:ascii="Book Antiqua" w:hAnsi="Book Antiqua" w:cs="Arial"/>
        </w:rPr>
        <w:t>B(</w:t>
      </w:r>
      <w:proofErr w:type="gramEnd"/>
      <w:r>
        <w:rPr>
          <w:rFonts w:ascii="Book Antiqua" w:hAnsi="Book Antiqua" w:cs="Arial"/>
        </w:rPr>
        <w:t>6) amounted to an error of law such that the decision would have to be remade</w:t>
      </w:r>
      <w:r w:rsidR="00154147">
        <w:rPr>
          <w:rFonts w:ascii="Book Antiqua" w:hAnsi="Book Antiqua" w:cs="Arial"/>
        </w:rPr>
        <w:t xml:space="preserve">.  </w:t>
      </w:r>
    </w:p>
    <w:p w14:paraId="0719EA64" w14:textId="77777777" w:rsidR="00C619C8" w:rsidRDefault="00154147" w:rsidP="00C665DF">
      <w:pPr>
        <w:numPr>
          <w:ilvl w:val="0"/>
          <w:numId w:val="3"/>
        </w:numPr>
        <w:spacing w:before="240"/>
        <w:jc w:val="both"/>
        <w:rPr>
          <w:rFonts w:ascii="Book Antiqua" w:hAnsi="Book Antiqua" w:cs="Arial"/>
        </w:rPr>
      </w:pPr>
      <w:r>
        <w:rPr>
          <w:rFonts w:ascii="Book Antiqua" w:hAnsi="Book Antiqua" w:cs="Arial"/>
        </w:rPr>
        <w:t>O</w:t>
      </w:r>
      <w:r w:rsidR="00C619C8">
        <w:rPr>
          <w:rFonts w:ascii="Book Antiqua" w:hAnsi="Book Antiqua" w:cs="Arial"/>
        </w:rPr>
        <w:t>n the substance of the decision</w:t>
      </w:r>
      <w:r w:rsidR="00793D54">
        <w:rPr>
          <w:rFonts w:ascii="Book Antiqua" w:hAnsi="Book Antiqua" w:cs="Arial"/>
        </w:rPr>
        <w:t>,</w:t>
      </w:r>
      <w:r w:rsidR="00C619C8">
        <w:rPr>
          <w:rFonts w:ascii="Book Antiqua" w:hAnsi="Book Antiqua" w:cs="Arial"/>
        </w:rPr>
        <w:t xml:space="preserve"> h</w:t>
      </w:r>
      <w:r w:rsidR="00793D54">
        <w:rPr>
          <w:rFonts w:ascii="Book Antiqua" w:hAnsi="Book Antiqua" w:cs="Arial"/>
        </w:rPr>
        <w:t>e made no arguments and acknowledged,</w:t>
      </w:r>
      <w:r w:rsidR="00C619C8">
        <w:rPr>
          <w:rFonts w:ascii="Book Antiqua" w:hAnsi="Book Antiqua" w:cs="Arial"/>
        </w:rPr>
        <w:t xml:space="preserve"> given the facts as found by the Immigration Judge</w:t>
      </w:r>
      <w:r w:rsidR="00793D54">
        <w:rPr>
          <w:rFonts w:ascii="Book Antiqua" w:hAnsi="Book Antiqua" w:cs="Arial"/>
        </w:rPr>
        <w:t>,</w:t>
      </w:r>
      <w:r w:rsidR="00C619C8">
        <w:rPr>
          <w:rFonts w:ascii="Book Antiqua" w:hAnsi="Book Antiqua" w:cs="Arial"/>
        </w:rPr>
        <w:t xml:space="preserve"> that the case law pointed to the appeal being allowed.</w:t>
      </w:r>
    </w:p>
    <w:p w14:paraId="0841AFC9" w14:textId="77777777" w:rsidR="00C619C8" w:rsidRDefault="00C619C8" w:rsidP="0018262F">
      <w:pPr>
        <w:spacing w:before="240"/>
        <w:jc w:val="both"/>
        <w:rPr>
          <w:rFonts w:ascii="Book Antiqua" w:hAnsi="Book Antiqua" w:cs="Arial"/>
        </w:rPr>
      </w:pPr>
      <w:r>
        <w:rPr>
          <w:rFonts w:ascii="Book Antiqua" w:hAnsi="Book Antiqua" w:cs="Arial"/>
          <w:b/>
          <w:u w:val="single"/>
        </w:rPr>
        <w:t>Findings and Conclusions</w:t>
      </w:r>
    </w:p>
    <w:p w14:paraId="5B016100" w14:textId="77777777" w:rsidR="00C619C8" w:rsidRDefault="00C619C8" w:rsidP="00C665DF">
      <w:pPr>
        <w:numPr>
          <w:ilvl w:val="0"/>
          <w:numId w:val="3"/>
        </w:numPr>
        <w:spacing w:before="240"/>
        <w:jc w:val="both"/>
        <w:rPr>
          <w:rFonts w:ascii="Book Antiqua" w:hAnsi="Book Antiqua" w:cs="Arial"/>
        </w:rPr>
      </w:pPr>
      <w:r>
        <w:rPr>
          <w:rFonts w:ascii="Book Antiqua" w:hAnsi="Book Antiqua" w:cs="Arial"/>
        </w:rPr>
        <w:t>Mr Coleman</w:t>
      </w:r>
      <w:r w:rsidR="00793D54">
        <w:rPr>
          <w:rFonts w:ascii="Book Antiqua" w:hAnsi="Book Antiqua" w:cs="Arial"/>
        </w:rPr>
        <w:t xml:space="preserve"> helpfully provided the latest Family M</w:t>
      </w:r>
      <w:r>
        <w:rPr>
          <w:rFonts w:ascii="Book Antiqua" w:hAnsi="Book Antiqua" w:cs="Arial"/>
        </w:rPr>
        <w:t xml:space="preserve">igration Appendix FM Section 1.0(b) family life as a partner or parent and private life: </w:t>
      </w:r>
      <w:proofErr w:type="gramStart"/>
      <w:r>
        <w:rPr>
          <w:rFonts w:ascii="Book Antiqua" w:hAnsi="Book Antiqua" w:cs="Arial"/>
        </w:rPr>
        <w:t>ten year</w:t>
      </w:r>
      <w:proofErr w:type="gramEnd"/>
      <w:r>
        <w:rPr>
          <w:rFonts w:ascii="Book Antiqua" w:hAnsi="Book Antiqua" w:cs="Arial"/>
        </w:rPr>
        <w:t xml:space="preserve"> route published by the Home Office on 22</w:t>
      </w:r>
      <w:r w:rsidRPr="00C619C8">
        <w:rPr>
          <w:rFonts w:ascii="Book Antiqua" w:hAnsi="Book Antiqua" w:cs="Arial"/>
          <w:vertAlign w:val="superscript"/>
        </w:rPr>
        <w:t>nd</w:t>
      </w:r>
      <w:r>
        <w:rPr>
          <w:rFonts w:ascii="Book Antiqua" w:hAnsi="Book Antiqua" w:cs="Arial"/>
        </w:rPr>
        <w:t xml:space="preserve"> February 2018 together with the decisions in </w:t>
      </w:r>
      <w:r w:rsidRPr="0018262F">
        <w:rPr>
          <w:rFonts w:ascii="Book Antiqua" w:hAnsi="Book Antiqua" w:cs="Arial"/>
          <w:u w:val="single"/>
        </w:rPr>
        <w:t>PD and Others</w:t>
      </w:r>
      <w:r w:rsidR="00154147">
        <w:rPr>
          <w:rFonts w:ascii="Book Antiqua" w:hAnsi="Book Antiqua" w:cs="Arial"/>
        </w:rPr>
        <w:t xml:space="preserve"> (Article 8 – con</w:t>
      </w:r>
      <w:r>
        <w:rPr>
          <w:rFonts w:ascii="Book Antiqua" w:hAnsi="Book Antiqua" w:cs="Arial"/>
        </w:rPr>
        <w:t xml:space="preserve">joined family claims) Sri Lanka [2016] UKUT 00108 and </w:t>
      </w:r>
      <w:r w:rsidRPr="0018262F">
        <w:rPr>
          <w:rFonts w:ascii="Book Antiqua" w:hAnsi="Book Antiqua" w:cs="Arial"/>
          <w:u w:val="single"/>
        </w:rPr>
        <w:t>MT and ET</w:t>
      </w:r>
      <w:r>
        <w:rPr>
          <w:rFonts w:ascii="Book Antiqua" w:hAnsi="Book Antiqua" w:cs="Arial"/>
        </w:rPr>
        <w:t xml:space="preserve"> (child’s best interests</w:t>
      </w:r>
      <w:r w:rsidR="00154147">
        <w:rPr>
          <w:rFonts w:ascii="Book Antiqua" w:hAnsi="Book Antiqua" w:cs="Arial"/>
        </w:rPr>
        <w:t>;</w:t>
      </w:r>
      <w:r>
        <w:rPr>
          <w:rFonts w:ascii="Book Antiqua" w:hAnsi="Book Antiqua" w:cs="Arial"/>
        </w:rPr>
        <w:t xml:space="preserve"> ex tempore pilot) Nigeria [2018] UKUT 00088.</w:t>
      </w:r>
    </w:p>
    <w:p w14:paraId="5EF31291" w14:textId="77777777" w:rsidR="00C619C8" w:rsidRDefault="00C619C8" w:rsidP="00C665DF">
      <w:pPr>
        <w:numPr>
          <w:ilvl w:val="0"/>
          <w:numId w:val="3"/>
        </w:numPr>
        <w:spacing w:before="240"/>
        <w:jc w:val="both"/>
        <w:rPr>
          <w:rFonts w:ascii="Book Antiqua" w:hAnsi="Book Antiqua" w:cs="Arial"/>
        </w:rPr>
      </w:pPr>
      <w:r>
        <w:rPr>
          <w:rFonts w:ascii="Book Antiqua" w:hAnsi="Book Antiqua" w:cs="Arial"/>
        </w:rPr>
        <w:t>Section 117</w:t>
      </w:r>
      <w:proofErr w:type="gramStart"/>
      <w:r>
        <w:rPr>
          <w:rFonts w:ascii="Book Antiqua" w:hAnsi="Book Antiqua" w:cs="Arial"/>
        </w:rPr>
        <w:t>B(</w:t>
      </w:r>
      <w:proofErr w:type="gramEnd"/>
      <w:r>
        <w:rPr>
          <w:rFonts w:ascii="Book Antiqua" w:hAnsi="Book Antiqua" w:cs="Arial"/>
        </w:rPr>
        <w:t>6) reads:</w:t>
      </w:r>
    </w:p>
    <w:p w14:paraId="2E1C2F26" w14:textId="77777777" w:rsidR="0018262F" w:rsidRDefault="0018262F" w:rsidP="001338C1">
      <w:pPr>
        <w:spacing w:before="120"/>
        <w:ind w:left="1701" w:hanging="567"/>
        <w:jc w:val="both"/>
        <w:rPr>
          <w:rFonts w:ascii="Book Antiqua" w:hAnsi="Book Antiqua" w:cs="Arial"/>
        </w:rPr>
      </w:pPr>
      <w:r>
        <w:rPr>
          <w:rFonts w:ascii="Book Antiqua" w:hAnsi="Book Antiqua" w:cs="Arial"/>
        </w:rPr>
        <w:t>“</w:t>
      </w:r>
      <w:r w:rsidR="00C619C8">
        <w:rPr>
          <w:rFonts w:ascii="Book Antiqua" w:hAnsi="Book Antiqua" w:cs="Arial"/>
        </w:rPr>
        <w:t>(</w:t>
      </w:r>
      <w:r w:rsidR="00154147">
        <w:rPr>
          <w:rFonts w:ascii="Book Antiqua" w:hAnsi="Book Antiqua" w:cs="Arial"/>
        </w:rPr>
        <w:t>6</w:t>
      </w:r>
      <w:r w:rsidR="00C619C8">
        <w:rPr>
          <w:rFonts w:ascii="Book Antiqua" w:hAnsi="Book Antiqua" w:cs="Arial"/>
        </w:rPr>
        <w:t>)</w:t>
      </w:r>
      <w:r>
        <w:rPr>
          <w:rFonts w:ascii="Book Antiqua" w:hAnsi="Book Antiqua" w:cs="Arial"/>
        </w:rPr>
        <w:t xml:space="preserve"> </w:t>
      </w:r>
      <w:r>
        <w:rPr>
          <w:rFonts w:ascii="Book Antiqua" w:hAnsi="Book Antiqua" w:cs="Arial"/>
        </w:rPr>
        <w:tab/>
      </w:r>
      <w:r w:rsidR="00C619C8">
        <w:rPr>
          <w:rFonts w:ascii="Book Antiqua" w:hAnsi="Book Antiqua" w:cs="Arial"/>
        </w:rPr>
        <w:t xml:space="preserve">In the case of a person who is not liable to deportation the public interest does not require the person’s removal where – </w:t>
      </w:r>
    </w:p>
    <w:p w14:paraId="0A49A2EB" w14:textId="77777777" w:rsidR="0018262F" w:rsidRDefault="00C619C8" w:rsidP="001338C1">
      <w:pPr>
        <w:spacing w:before="120"/>
        <w:ind w:left="2268" w:hanging="567"/>
        <w:jc w:val="both"/>
        <w:rPr>
          <w:rFonts w:ascii="Book Antiqua" w:hAnsi="Book Antiqua" w:cs="Arial"/>
        </w:rPr>
      </w:pPr>
      <w:r>
        <w:rPr>
          <w:rFonts w:ascii="Book Antiqua" w:hAnsi="Book Antiqua" w:cs="Arial"/>
        </w:rPr>
        <w:t xml:space="preserve">(a) </w:t>
      </w:r>
      <w:r w:rsidR="0018262F">
        <w:rPr>
          <w:rFonts w:ascii="Book Antiqua" w:hAnsi="Book Antiqua" w:cs="Arial"/>
        </w:rPr>
        <w:tab/>
      </w:r>
      <w:r>
        <w:rPr>
          <w:rFonts w:ascii="Book Antiqua" w:hAnsi="Book Antiqua" w:cs="Arial"/>
        </w:rPr>
        <w:t>the person has a genuine and subsisting parental relationship with a qualifying child</w:t>
      </w:r>
      <w:r w:rsidR="00154147">
        <w:rPr>
          <w:rFonts w:ascii="Book Antiqua" w:hAnsi="Book Antiqua" w:cs="Arial"/>
        </w:rPr>
        <w:t>;</w:t>
      </w:r>
      <w:r>
        <w:rPr>
          <w:rFonts w:ascii="Book Antiqua" w:hAnsi="Book Antiqua" w:cs="Arial"/>
        </w:rPr>
        <w:t xml:space="preserve"> and </w:t>
      </w:r>
    </w:p>
    <w:p w14:paraId="45FBCA3E" w14:textId="77777777" w:rsidR="00C619C8" w:rsidRDefault="00C619C8" w:rsidP="001338C1">
      <w:pPr>
        <w:spacing w:before="120"/>
        <w:ind w:left="2268" w:hanging="567"/>
        <w:jc w:val="both"/>
        <w:rPr>
          <w:rFonts w:ascii="Book Antiqua" w:hAnsi="Book Antiqua" w:cs="Arial"/>
        </w:rPr>
      </w:pPr>
      <w:r>
        <w:rPr>
          <w:rFonts w:ascii="Book Antiqua" w:hAnsi="Book Antiqua" w:cs="Arial"/>
        </w:rPr>
        <w:lastRenderedPageBreak/>
        <w:t>(b)</w:t>
      </w:r>
      <w:r w:rsidR="0018262F">
        <w:rPr>
          <w:rFonts w:ascii="Book Antiqua" w:hAnsi="Book Antiqua" w:cs="Arial"/>
        </w:rPr>
        <w:tab/>
      </w:r>
      <w:r>
        <w:rPr>
          <w:rFonts w:ascii="Book Antiqua" w:hAnsi="Book Antiqua" w:cs="Arial"/>
        </w:rPr>
        <w:t>it would not be reasonable to expect the child to leave the UK.</w:t>
      </w:r>
      <w:r w:rsidR="0018262F">
        <w:rPr>
          <w:rFonts w:ascii="Book Antiqua" w:hAnsi="Book Antiqua" w:cs="Arial"/>
        </w:rPr>
        <w:t>”</w:t>
      </w:r>
    </w:p>
    <w:p w14:paraId="678A8131" w14:textId="77777777" w:rsidR="00C619C8" w:rsidRDefault="00526DC7" w:rsidP="00C665DF">
      <w:pPr>
        <w:numPr>
          <w:ilvl w:val="0"/>
          <w:numId w:val="3"/>
        </w:numPr>
        <w:spacing w:before="240"/>
        <w:jc w:val="both"/>
        <w:rPr>
          <w:rFonts w:ascii="Book Antiqua" w:hAnsi="Book Antiqua" w:cs="Arial"/>
        </w:rPr>
      </w:pPr>
      <w:r>
        <w:rPr>
          <w:rFonts w:ascii="Book Antiqua" w:hAnsi="Book Antiqua" w:cs="Arial"/>
        </w:rPr>
        <w:t>The sole issue here relates to reasonableness.</w:t>
      </w:r>
    </w:p>
    <w:p w14:paraId="478B1861" w14:textId="77777777" w:rsidR="00793D54" w:rsidRDefault="00006D7A" w:rsidP="00C665DF">
      <w:pPr>
        <w:numPr>
          <w:ilvl w:val="0"/>
          <w:numId w:val="3"/>
        </w:numPr>
        <w:spacing w:before="240"/>
        <w:jc w:val="both"/>
        <w:rPr>
          <w:rFonts w:ascii="Book Antiqua" w:hAnsi="Book Antiqua" w:cs="Arial"/>
        </w:rPr>
      </w:pPr>
      <w:r>
        <w:rPr>
          <w:rFonts w:ascii="Book Antiqua" w:hAnsi="Book Antiqua" w:cs="Arial"/>
        </w:rPr>
        <w:t>At</w:t>
      </w:r>
      <w:r w:rsidR="00526DC7">
        <w:rPr>
          <w:rFonts w:ascii="Book Antiqua" w:hAnsi="Book Antiqua" w:cs="Arial"/>
        </w:rPr>
        <w:t xml:space="preserve"> paragraph 30 of the decision in </w:t>
      </w:r>
      <w:r w:rsidR="00526DC7" w:rsidRPr="00154147">
        <w:rPr>
          <w:rFonts w:ascii="Book Antiqua" w:hAnsi="Book Antiqua" w:cs="Arial"/>
          <w:u w:val="single"/>
        </w:rPr>
        <w:t>MT and ET</w:t>
      </w:r>
      <w:r w:rsidR="00526DC7">
        <w:rPr>
          <w:rFonts w:ascii="Book Antiqua" w:hAnsi="Book Antiqua" w:cs="Arial"/>
        </w:rPr>
        <w:t xml:space="preserve">, the Tribunal considered the question of the best interests of the children in that case.  The Tribunal said that both the age of the child and the amount of time spent by the child in the UK will be relevant in determining where the best interests lie.  </w:t>
      </w:r>
    </w:p>
    <w:p w14:paraId="3E332A70" w14:textId="77777777" w:rsidR="00526DC7" w:rsidRDefault="00526DC7" w:rsidP="00C665DF">
      <w:pPr>
        <w:numPr>
          <w:ilvl w:val="0"/>
          <w:numId w:val="3"/>
        </w:numPr>
        <w:spacing w:before="240"/>
        <w:jc w:val="both"/>
        <w:rPr>
          <w:rFonts w:ascii="Book Antiqua" w:hAnsi="Book Antiqua" w:cs="Arial"/>
        </w:rPr>
      </w:pPr>
      <w:r>
        <w:rPr>
          <w:rFonts w:ascii="Book Antiqua" w:hAnsi="Book Antiqua" w:cs="Arial"/>
        </w:rPr>
        <w:t>A</w:t>
      </w:r>
      <w:r w:rsidR="0018262F">
        <w:rPr>
          <w:rFonts w:ascii="Book Antiqua" w:hAnsi="Book Antiqua" w:cs="Arial"/>
        </w:rPr>
        <w:t>t</w:t>
      </w:r>
      <w:r>
        <w:rPr>
          <w:rFonts w:ascii="Book Antiqua" w:hAnsi="Book Antiqua" w:cs="Arial"/>
        </w:rPr>
        <w:t xml:space="preserve"> paragraph 33 they said:</w:t>
      </w:r>
    </w:p>
    <w:p w14:paraId="4BEFE56D" w14:textId="77777777" w:rsidR="0018262F" w:rsidRPr="001338C1" w:rsidRDefault="00526DC7" w:rsidP="001338C1">
      <w:pPr>
        <w:spacing w:before="120"/>
        <w:ind w:left="1134" w:right="567"/>
        <w:jc w:val="both"/>
        <w:rPr>
          <w:rFonts w:ascii="Book Antiqua" w:hAnsi="Book Antiqua" w:cs="Arial"/>
          <w:sz w:val="22"/>
        </w:rPr>
      </w:pPr>
      <w:r w:rsidRPr="001338C1">
        <w:rPr>
          <w:rFonts w:ascii="Book Antiqua" w:hAnsi="Book Antiqua" w:cs="Arial"/>
          <w:sz w:val="22"/>
        </w:rPr>
        <w:t>“O</w:t>
      </w:r>
      <w:r w:rsidR="00793D54" w:rsidRPr="001338C1">
        <w:rPr>
          <w:rFonts w:ascii="Book Antiqua" w:hAnsi="Book Antiqua" w:cs="Arial"/>
          <w:sz w:val="22"/>
        </w:rPr>
        <w:t>n the present state of the law as</w:t>
      </w:r>
      <w:r w:rsidRPr="001338C1">
        <w:rPr>
          <w:rFonts w:ascii="Book Antiqua" w:hAnsi="Book Antiqua" w:cs="Arial"/>
          <w:sz w:val="22"/>
        </w:rPr>
        <w:t xml:space="preserve"> set out in </w:t>
      </w:r>
      <w:r w:rsidRPr="001338C1">
        <w:rPr>
          <w:rFonts w:ascii="Book Antiqua" w:hAnsi="Book Antiqua" w:cs="Arial"/>
          <w:sz w:val="22"/>
          <w:u w:val="single"/>
        </w:rPr>
        <w:t>MA</w:t>
      </w:r>
      <w:r w:rsidRPr="001338C1">
        <w:rPr>
          <w:rFonts w:ascii="Book Antiqua" w:hAnsi="Book Antiqua" w:cs="Arial"/>
          <w:sz w:val="22"/>
        </w:rPr>
        <w:t xml:space="preserve"> we need to look for powerful reasons why a child who has been in the UK for over ten years should be removed.</w:t>
      </w:r>
    </w:p>
    <w:p w14:paraId="4D415F2A" w14:textId="77777777" w:rsidR="00526DC7" w:rsidRPr="001338C1" w:rsidRDefault="00526DC7" w:rsidP="001338C1">
      <w:pPr>
        <w:spacing w:before="120"/>
        <w:ind w:left="1134" w:right="567"/>
        <w:jc w:val="both"/>
        <w:rPr>
          <w:rFonts w:ascii="Book Antiqua" w:hAnsi="Book Antiqua" w:cs="Arial"/>
          <w:sz w:val="22"/>
        </w:rPr>
      </w:pPr>
      <w:r w:rsidRPr="001338C1">
        <w:rPr>
          <w:rFonts w:ascii="Book Antiqua" w:hAnsi="Book Antiqua" w:cs="Arial"/>
          <w:sz w:val="22"/>
        </w:rPr>
        <w:t>In the present case there are no such powerful reasons.  Of course</w:t>
      </w:r>
      <w:r w:rsidR="00006D7A" w:rsidRPr="001338C1">
        <w:rPr>
          <w:rFonts w:ascii="Book Antiqua" w:hAnsi="Book Antiqua" w:cs="Arial"/>
          <w:sz w:val="22"/>
        </w:rPr>
        <w:t>,</w:t>
      </w:r>
      <w:r w:rsidRPr="001338C1">
        <w:rPr>
          <w:rFonts w:ascii="Book Antiqua" w:hAnsi="Book Antiqua" w:cs="Arial"/>
          <w:sz w:val="22"/>
        </w:rPr>
        <w:t xml:space="preserve"> the public interest lies in removing a person such as </w:t>
      </w:r>
      <w:r w:rsidRPr="001338C1">
        <w:rPr>
          <w:rFonts w:ascii="Book Antiqua" w:hAnsi="Book Antiqua" w:cs="Arial"/>
          <w:sz w:val="22"/>
          <w:u w:val="single"/>
        </w:rPr>
        <w:t>MT</w:t>
      </w:r>
      <w:r w:rsidRPr="001338C1">
        <w:rPr>
          <w:rFonts w:ascii="Book Antiqua" w:hAnsi="Book Antiqua" w:cs="Arial"/>
          <w:sz w:val="22"/>
        </w:rPr>
        <w:t xml:space="preserve"> who has abused the immigration laws of the United Kingdom.  Although Mr Deller did not seek to rely on it, we take account of the fact that, as recorded in Judge Bird’s decision, </w:t>
      </w:r>
      <w:r w:rsidRPr="001338C1">
        <w:rPr>
          <w:rFonts w:ascii="Book Antiqua" w:hAnsi="Book Antiqua" w:cs="Arial"/>
          <w:sz w:val="22"/>
          <w:u w:val="single"/>
        </w:rPr>
        <w:t>MT</w:t>
      </w:r>
      <w:r w:rsidRPr="001338C1">
        <w:rPr>
          <w:rFonts w:ascii="Book Antiqua" w:hAnsi="Book Antiqua" w:cs="Arial"/>
          <w:sz w:val="22"/>
        </w:rPr>
        <w:t xml:space="preserve"> had, at some stage, received a community order for using a false document to obtain employment.  But, given the strength of </w:t>
      </w:r>
      <w:r w:rsidRPr="001338C1">
        <w:rPr>
          <w:rFonts w:ascii="Book Antiqua" w:hAnsi="Book Antiqua" w:cs="Arial"/>
          <w:sz w:val="22"/>
          <w:u w:val="single"/>
        </w:rPr>
        <w:t>ET</w:t>
      </w:r>
      <w:r w:rsidRPr="001338C1">
        <w:rPr>
          <w:rFonts w:ascii="Book Antiqua" w:hAnsi="Book Antiqua" w:cs="Arial"/>
          <w:sz w:val="22"/>
        </w:rPr>
        <w:t xml:space="preserve">’s case, </w:t>
      </w:r>
      <w:r w:rsidRPr="001338C1">
        <w:rPr>
          <w:rFonts w:ascii="Book Antiqua" w:hAnsi="Book Antiqua" w:cs="Arial"/>
          <w:sz w:val="22"/>
          <w:u w:val="single"/>
        </w:rPr>
        <w:t>MT</w:t>
      </w:r>
      <w:r w:rsidRPr="001338C1">
        <w:rPr>
          <w:rFonts w:ascii="Book Antiqua" w:hAnsi="Book Antiqua" w:cs="Arial"/>
          <w:sz w:val="22"/>
        </w:rPr>
        <w:t xml:space="preserve">’s conduct in our view comes nowhere close to requiring the respondent to succeed and Mr Deller did not strongly urge us to so find.  Mr Nicholson submitted that, even on the findings of Judge Martin, </w:t>
      </w:r>
      <w:r w:rsidRPr="001338C1">
        <w:rPr>
          <w:rFonts w:ascii="Book Antiqua" w:hAnsi="Book Antiqua" w:cs="Arial"/>
          <w:sz w:val="22"/>
          <w:u w:val="single"/>
        </w:rPr>
        <w:t>MT</w:t>
      </w:r>
      <w:r w:rsidRPr="001338C1">
        <w:rPr>
          <w:rFonts w:ascii="Book Antiqua" w:hAnsi="Book Antiqua" w:cs="Arial"/>
          <w:sz w:val="22"/>
        </w:rPr>
        <w:t xml:space="preserve"> was what might be described as a somewhat run of the mill immigration offender who came to the UK on a visit visa</w:t>
      </w:r>
      <w:r w:rsidR="00006D7A" w:rsidRPr="001338C1">
        <w:rPr>
          <w:rFonts w:ascii="Book Antiqua" w:hAnsi="Book Antiqua" w:cs="Arial"/>
          <w:sz w:val="22"/>
        </w:rPr>
        <w:t>,</w:t>
      </w:r>
      <w:r w:rsidRPr="001338C1">
        <w:rPr>
          <w:rFonts w:ascii="Book Antiqua" w:hAnsi="Book Antiqua" w:cs="Arial"/>
          <w:sz w:val="22"/>
        </w:rPr>
        <w:t xml:space="preserve"> overstayed</w:t>
      </w:r>
      <w:r w:rsidR="00006D7A" w:rsidRPr="001338C1">
        <w:rPr>
          <w:rFonts w:ascii="Book Antiqua" w:hAnsi="Book Antiqua" w:cs="Arial"/>
          <w:sz w:val="22"/>
        </w:rPr>
        <w:t>,</w:t>
      </w:r>
      <w:r w:rsidRPr="001338C1">
        <w:rPr>
          <w:rFonts w:ascii="Book Antiqua" w:hAnsi="Book Antiqua" w:cs="Arial"/>
          <w:sz w:val="22"/>
        </w:rPr>
        <w:t xml:space="preserve"> made a claim for asylum that was found to be false and who has pursued various legal means of remaining in the UK.  None of this is to be taken in any way as excusing or downplaying </w:t>
      </w:r>
      <w:r w:rsidRPr="001338C1">
        <w:rPr>
          <w:rFonts w:ascii="Book Antiqua" w:hAnsi="Book Antiqua" w:cs="Arial"/>
          <w:sz w:val="22"/>
          <w:u w:val="single"/>
        </w:rPr>
        <w:t>MT</w:t>
      </w:r>
      <w:r w:rsidRPr="001338C1">
        <w:rPr>
          <w:rFonts w:ascii="Book Antiqua" w:hAnsi="Book Antiqua" w:cs="Arial"/>
          <w:sz w:val="22"/>
        </w:rPr>
        <w:t xml:space="preserve">’s unlawful behaviour.  The point is that her immigration history is not so bad as to constitute the kind of powerful reason that would render reasonable the removal of </w:t>
      </w:r>
      <w:r w:rsidRPr="001338C1">
        <w:rPr>
          <w:rFonts w:ascii="Book Antiqua" w:hAnsi="Book Antiqua" w:cs="Arial"/>
          <w:sz w:val="22"/>
          <w:u w:val="single"/>
        </w:rPr>
        <w:t>ET</w:t>
      </w:r>
      <w:r w:rsidRPr="001338C1">
        <w:rPr>
          <w:rFonts w:ascii="Book Antiqua" w:hAnsi="Book Antiqua" w:cs="Arial"/>
          <w:sz w:val="22"/>
        </w:rPr>
        <w:t xml:space="preserve"> to</w:t>
      </w:r>
      <w:r w:rsidR="0018262F" w:rsidRPr="001338C1">
        <w:rPr>
          <w:rFonts w:ascii="Book Antiqua" w:hAnsi="Book Antiqua" w:cs="Arial"/>
          <w:sz w:val="22"/>
        </w:rPr>
        <w:t xml:space="preserve"> </w:t>
      </w:r>
      <w:r w:rsidRPr="001338C1">
        <w:rPr>
          <w:rFonts w:ascii="Book Antiqua" w:hAnsi="Book Antiqua" w:cs="Arial"/>
          <w:sz w:val="22"/>
        </w:rPr>
        <w:t>Nigeria.”</w:t>
      </w:r>
    </w:p>
    <w:p w14:paraId="5FEC9C8E" w14:textId="77777777" w:rsidR="00526DC7" w:rsidRDefault="00526DC7" w:rsidP="00C665DF">
      <w:pPr>
        <w:numPr>
          <w:ilvl w:val="0"/>
          <w:numId w:val="3"/>
        </w:numPr>
        <w:spacing w:before="240"/>
        <w:jc w:val="both"/>
        <w:rPr>
          <w:rFonts w:ascii="Book Antiqua" w:hAnsi="Book Antiqua" w:cs="Arial"/>
        </w:rPr>
      </w:pPr>
      <w:r>
        <w:rPr>
          <w:rFonts w:ascii="Book Antiqua" w:hAnsi="Book Antiqua" w:cs="Arial"/>
        </w:rPr>
        <w:t xml:space="preserve">At paragraph 38 of the decision in </w:t>
      </w:r>
      <w:r w:rsidRPr="0018262F">
        <w:rPr>
          <w:rFonts w:ascii="Book Antiqua" w:hAnsi="Book Antiqua" w:cs="Arial"/>
          <w:u w:val="single"/>
        </w:rPr>
        <w:t>PD</w:t>
      </w:r>
      <w:r w:rsidR="000C15FB">
        <w:rPr>
          <w:rFonts w:ascii="Book Antiqua" w:hAnsi="Book Antiqua" w:cs="Arial"/>
          <w:u w:val="single"/>
        </w:rPr>
        <w:t>,</w:t>
      </w:r>
      <w:r>
        <w:rPr>
          <w:rFonts w:ascii="Book Antiqua" w:hAnsi="Book Antiqua" w:cs="Arial"/>
        </w:rPr>
        <w:t xml:space="preserve"> the Tribunal con</w:t>
      </w:r>
      <w:r w:rsidR="000C15FB">
        <w:rPr>
          <w:rFonts w:ascii="Book Antiqua" w:hAnsi="Book Antiqua" w:cs="Arial"/>
        </w:rPr>
        <w:t>sidered the same question</w:t>
      </w:r>
      <w:r>
        <w:rPr>
          <w:rFonts w:ascii="Book Antiqua" w:hAnsi="Book Antiqua" w:cs="Arial"/>
        </w:rPr>
        <w:t>.  At paragraph 39 they said:</w:t>
      </w:r>
    </w:p>
    <w:p w14:paraId="133EECAC" w14:textId="77777777" w:rsidR="00526DC7" w:rsidRPr="001338C1" w:rsidRDefault="00526DC7" w:rsidP="001338C1">
      <w:pPr>
        <w:spacing w:before="120"/>
        <w:ind w:left="1134" w:right="567"/>
        <w:jc w:val="both"/>
        <w:rPr>
          <w:rFonts w:ascii="Book Antiqua" w:hAnsi="Book Antiqua" w:cs="Arial"/>
          <w:sz w:val="22"/>
        </w:rPr>
      </w:pPr>
      <w:r w:rsidRPr="001338C1">
        <w:rPr>
          <w:rFonts w:ascii="Book Antiqua" w:hAnsi="Book Antiqua" w:cs="Arial"/>
          <w:sz w:val="22"/>
        </w:rPr>
        <w:t>“We remind ourselves that the test to be applied is that of reasonableness.  Although legal tests which have gained much currency in this sphere during recent years – insurmountable obstacles</w:t>
      </w:r>
      <w:r w:rsidR="00006D7A" w:rsidRPr="001338C1">
        <w:rPr>
          <w:rFonts w:ascii="Book Antiqua" w:hAnsi="Book Antiqua" w:cs="Arial"/>
          <w:sz w:val="22"/>
        </w:rPr>
        <w:t>,</w:t>
      </w:r>
      <w:r w:rsidRPr="001338C1">
        <w:rPr>
          <w:rFonts w:ascii="Book Antiqua" w:hAnsi="Book Antiqua" w:cs="Arial"/>
          <w:sz w:val="22"/>
        </w:rPr>
        <w:t xml:space="preserve"> exceptional circumstances</w:t>
      </w:r>
      <w:r w:rsidR="00006D7A" w:rsidRPr="001338C1">
        <w:rPr>
          <w:rFonts w:ascii="Book Antiqua" w:hAnsi="Book Antiqua" w:cs="Arial"/>
          <w:sz w:val="22"/>
        </w:rPr>
        <w:t>,</w:t>
      </w:r>
      <w:r w:rsidRPr="001338C1">
        <w:rPr>
          <w:rFonts w:ascii="Book Antiqua" w:hAnsi="Book Antiqua" w:cs="Arial"/>
          <w:sz w:val="22"/>
        </w:rPr>
        <w:t xml:space="preserve"> very compelling factors – have no application in the exercise we are performing.  Self-evidently the test of reasonableness poses a less exacting and demanding threshold than that posed by the other tests mentioned.”</w:t>
      </w:r>
    </w:p>
    <w:p w14:paraId="700A4A57" w14:textId="77777777" w:rsidR="00526DC7" w:rsidRDefault="00526DC7" w:rsidP="00C665DF">
      <w:pPr>
        <w:numPr>
          <w:ilvl w:val="0"/>
          <w:numId w:val="3"/>
        </w:numPr>
        <w:spacing w:before="240"/>
        <w:jc w:val="both"/>
        <w:rPr>
          <w:rFonts w:ascii="Book Antiqua" w:hAnsi="Book Antiqua" w:cs="Arial"/>
        </w:rPr>
      </w:pPr>
      <w:r>
        <w:rPr>
          <w:rFonts w:ascii="Book Antiqua" w:hAnsi="Book Antiqua" w:cs="Arial"/>
        </w:rPr>
        <w:t>The relevant Home Office policy</w:t>
      </w:r>
      <w:r w:rsidR="00F06162">
        <w:rPr>
          <w:rFonts w:ascii="Book Antiqua" w:hAnsi="Book Antiqua" w:cs="Arial"/>
        </w:rPr>
        <w:t>, where the child is a British citizen is as follows:</w:t>
      </w:r>
    </w:p>
    <w:p w14:paraId="55D2CCDD" w14:textId="77777777" w:rsidR="00F06162" w:rsidRDefault="00F06162" w:rsidP="001338C1">
      <w:pPr>
        <w:spacing w:before="120"/>
        <w:ind w:left="1134"/>
        <w:jc w:val="both"/>
        <w:rPr>
          <w:rFonts w:ascii="Book Antiqua" w:hAnsi="Book Antiqua" w:cs="Arial"/>
        </w:rPr>
      </w:pPr>
      <w:r>
        <w:rPr>
          <w:rFonts w:ascii="Book Antiqua" w:hAnsi="Book Antiqua" w:cs="Arial"/>
        </w:rPr>
        <w:t>“Where the child is a British citizen it will not be reasonable to expect them to leave the UK with the applicant parent or primary carer facing removal. Accordingly</w:t>
      </w:r>
      <w:r w:rsidR="004B35A0">
        <w:rPr>
          <w:rFonts w:ascii="Book Antiqua" w:hAnsi="Book Antiqua" w:cs="Arial"/>
        </w:rPr>
        <w:t>,</w:t>
      </w:r>
      <w:r>
        <w:rPr>
          <w:rFonts w:ascii="Book Antiqua" w:hAnsi="Book Antiqua" w:cs="Arial"/>
        </w:rPr>
        <w:t xml:space="preserve"> where this means that a child would have to leave the UK because, in practice, the child will not or is not likely to continue to live in the UK with another parent or primary carer EX.1(a) is likely to apply.  In particular circumstances it may be appropriate to refuse to grant leave to a parent or primary carer where their conduct gives rise to public interest considerations of such weight as to justify their removal where the British citizen child could remain in the UK with another parent or alternative primary carer, who is a British citizen or settled in the UK or who has or is being granted leave to remain.  The circumstances envisaged include</w:t>
      </w:r>
      <w:r w:rsidR="00C51445">
        <w:rPr>
          <w:rFonts w:ascii="Book Antiqua" w:hAnsi="Book Antiqua" w:cs="Arial"/>
        </w:rPr>
        <w:t>d</w:t>
      </w:r>
      <w:r>
        <w:rPr>
          <w:rFonts w:ascii="Book Antiqua" w:hAnsi="Book Antiqua" w:cs="Arial"/>
        </w:rPr>
        <w:t xml:space="preserve"> those in which to grant leave could </w:t>
      </w:r>
      <w:r>
        <w:rPr>
          <w:rFonts w:ascii="Book Antiqua" w:hAnsi="Book Antiqua" w:cs="Arial"/>
        </w:rPr>
        <w:lastRenderedPageBreak/>
        <w:t>undermine our immigration controls, for example the applicant has committed significant or persistent criminal offences falling below the thresholds for deportation set out in paragraph 398 of the Immigration Rules or has a very poor immigration history, having repeatedly and deliberately breached the Immigration Rules.”</w:t>
      </w:r>
    </w:p>
    <w:p w14:paraId="130A0B70" w14:textId="77777777" w:rsidR="00F06162" w:rsidRDefault="00F06162" w:rsidP="00C665DF">
      <w:pPr>
        <w:numPr>
          <w:ilvl w:val="0"/>
          <w:numId w:val="3"/>
        </w:numPr>
        <w:spacing w:before="240"/>
        <w:jc w:val="both"/>
        <w:rPr>
          <w:rFonts w:ascii="Book Antiqua" w:hAnsi="Book Antiqua" w:cs="Arial"/>
        </w:rPr>
      </w:pPr>
      <w:r>
        <w:rPr>
          <w:rFonts w:ascii="Book Antiqua" w:hAnsi="Book Antiqua" w:cs="Arial"/>
        </w:rPr>
        <w:t xml:space="preserve">The Tribunal in </w:t>
      </w:r>
      <w:r w:rsidRPr="0018262F">
        <w:rPr>
          <w:rFonts w:ascii="Book Antiqua" w:hAnsi="Book Antiqua" w:cs="Arial"/>
          <w:u w:val="single"/>
        </w:rPr>
        <w:t>MT and ET</w:t>
      </w:r>
      <w:r>
        <w:rPr>
          <w:rFonts w:ascii="Book Antiqua" w:hAnsi="Book Antiqua" w:cs="Arial"/>
        </w:rPr>
        <w:t xml:space="preserve"> found that significant overstaying, which is the case here, came nowhere near the kind of powerful reasons which would render reasonable the removal of the child to Nigeria.</w:t>
      </w:r>
    </w:p>
    <w:p w14:paraId="0365704D" w14:textId="77777777" w:rsidR="00F06162" w:rsidRPr="00C44AA1" w:rsidRDefault="00F06162" w:rsidP="00C44AA1">
      <w:pPr>
        <w:numPr>
          <w:ilvl w:val="0"/>
          <w:numId w:val="3"/>
        </w:numPr>
        <w:spacing w:before="240"/>
        <w:jc w:val="both"/>
        <w:rPr>
          <w:rFonts w:ascii="Book Antiqua" w:hAnsi="Book Antiqua" w:cs="Arial"/>
        </w:rPr>
      </w:pPr>
      <w:r>
        <w:rPr>
          <w:rFonts w:ascii="Book Antiqua" w:hAnsi="Book Antiqua" w:cs="Arial"/>
        </w:rPr>
        <w:t>In this case J is a British citizen who has spent all of her life in the UK.  She is 16 and about to start her A level course.  There is no challenge to the judge’s findings that she enjoys a genuine parental relationship with the appellant.  In these circumstances it would clearly not be reasonable to expect her to leave the UK.</w:t>
      </w:r>
      <w:r w:rsidR="00C44AA1">
        <w:rPr>
          <w:rFonts w:ascii="Book Antiqua" w:hAnsi="Book Antiqua" w:cs="Arial"/>
        </w:rPr>
        <w:t xml:space="preserve"> </w:t>
      </w:r>
      <w:r w:rsidRPr="00C44AA1">
        <w:rPr>
          <w:rFonts w:ascii="Book Antiqua" w:hAnsi="Book Antiqua" w:cs="Arial"/>
        </w:rPr>
        <w:t>Accordingly</w:t>
      </w:r>
      <w:r w:rsidR="00C51445" w:rsidRPr="00C44AA1">
        <w:rPr>
          <w:rFonts w:ascii="Book Antiqua" w:hAnsi="Book Antiqua" w:cs="Arial"/>
        </w:rPr>
        <w:t>,</w:t>
      </w:r>
      <w:r w:rsidRPr="00C44AA1">
        <w:rPr>
          <w:rFonts w:ascii="Book Antiqua" w:hAnsi="Book Antiqua" w:cs="Arial"/>
        </w:rPr>
        <w:t xml:space="preserve"> the appellant is entitled to succeed</w:t>
      </w:r>
      <w:r w:rsidR="00C44AA1" w:rsidRPr="00C44AA1">
        <w:rPr>
          <w:rFonts w:ascii="Book Antiqua" w:hAnsi="Book Antiqua" w:cs="Arial"/>
        </w:rPr>
        <w:t>.</w:t>
      </w:r>
    </w:p>
    <w:p w14:paraId="6591FEAE" w14:textId="77777777" w:rsidR="00F06162" w:rsidRPr="00F06162" w:rsidRDefault="00BF3B8C" w:rsidP="00F06162">
      <w:pPr>
        <w:spacing w:before="240"/>
        <w:jc w:val="both"/>
        <w:rPr>
          <w:rFonts w:ascii="Book Antiqua" w:hAnsi="Book Antiqua" w:cs="Arial"/>
        </w:rPr>
      </w:pPr>
      <w:r w:rsidRPr="00F06162">
        <w:rPr>
          <w:rFonts w:ascii="Book Antiqua" w:hAnsi="Book Antiqua" w:cs="Arial"/>
          <w:b/>
          <w:u w:val="single"/>
        </w:rPr>
        <w:t>Notice of Decision</w:t>
      </w:r>
    </w:p>
    <w:p w14:paraId="2CE448B5" w14:textId="77777777" w:rsidR="00BF3B8C" w:rsidRPr="00F06162" w:rsidRDefault="00BF3B8C" w:rsidP="00BF3B8C">
      <w:pPr>
        <w:numPr>
          <w:ilvl w:val="0"/>
          <w:numId w:val="3"/>
        </w:numPr>
        <w:spacing w:before="240"/>
        <w:jc w:val="both"/>
        <w:rPr>
          <w:rFonts w:ascii="Book Antiqua" w:hAnsi="Book Antiqua" w:cs="Arial"/>
        </w:rPr>
      </w:pPr>
      <w:r w:rsidRPr="00F06162">
        <w:rPr>
          <w:rFonts w:ascii="Book Antiqua" w:hAnsi="Book Antiqua" w:cs="Arial"/>
        </w:rPr>
        <w:t xml:space="preserve">The </w:t>
      </w:r>
      <w:r w:rsidR="00F06162">
        <w:rPr>
          <w:rFonts w:ascii="Book Antiqua" w:hAnsi="Book Antiqua" w:cs="Arial"/>
        </w:rPr>
        <w:t>original judge erred in law.  The decision is set aside but is remade as follows</w:t>
      </w:r>
      <w:r w:rsidR="00C51445">
        <w:rPr>
          <w:rFonts w:ascii="Book Antiqua" w:hAnsi="Book Antiqua" w:cs="Arial"/>
        </w:rPr>
        <w:t>,</w:t>
      </w:r>
      <w:r w:rsidR="00F06162">
        <w:rPr>
          <w:rFonts w:ascii="Book Antiqua" w:hAnsi="Book Antiqua" w:cs="Arial"/>
        </w:rPr>
        <w:t xml:space="preserve"> the appellant’s appeal is allowed.</w:t>
      </w:r>
      <w:r w:rsidR="00F06162" w:rsidRPr="00F06162">
        <w:rPr>
          <w:rFonts w:ascii="Book Antiqua" w:hAnsi="Book Antiqua" w:cs="Arial"/>
        </w:rPr>
        <w:t xml:space="preserve"> </w:t>
      </w:r>
    </w:p>
    <w:p w14:paraId="4CC60605" w14:textId="77777777" w:rsidR="00BF3B8C" w:rsidRPr="00BF3B8C" w:rsidRDefault="00BF3B8C" w:rsidP="00BF3B8C">
      <w:pPr>
        <w:jc w:val="both"/>
        <w:rPr>
          <w:rFonts w:ascii="Book Antiqua" w:hAnsi="Book Antiqua" w:cs="Arial"/>
        </w:rPr>
      </w:pPr>
    </w:p>
    <w:p w14:paraId="63E1C57B" w14:textId="77777777" w:rsidR="00BF3B8C" w:rsidRPr="00BF3B8C" w:rsidRDefault="00BF3B8C" w:rsidP="00BF3B8C">
      <w:pPr>
        <w:jc w:val="both"/>
        <w:rPr>
          <w:rFonts w:ascii="Book Antiqua" w:hAnsi="Book Antiqua" w:cs="Arial"/>
        </w:rPr>
      </w:pPr>
      <w:r w:rsidRPr="00BF3B8C">
        <w:rPr>
          <w:rFonts w:ascii="Book Antiqua" w:hAnsi="Book Antiqua" w:cs="Arial"/>
        </w:rPr>
        <w:t>No anonymity direction is made.</w:t>
      </w:r>
    </w:p>
    <w:p w14:paraId="4BC48127" w14:textId="273C32EA" w:rsidR="00E76309" w:rsidRDefault="00E76309" w:rsidP="00BF3B8C">
      <w:pPr>
        <w:tabs>
          <w:tab w:val="left" w:pos="2520"/>
        </w:tabs>
        <w:jc w:val="both"/>
        <w:rPr>
          <w:rFonts w:ascii="Book Antiqua" w:hAnsi="Book Antiqua" w:cs="Arial"/>
        </w:rPr>
      </w:pPr>
    </w:p>
    <w:p w14:paraId="4B7A0D94" w14:textId="77777777" w:rsidR="001338C1" w:rsidRPr="00CE6902" w:rsidRDefault="001338C1" w:rsidP="00BF3B8C">
      <w:pPr>
        <w:tabs>
          <w:tab w:val="left" w:pos="2520"/>
        </w:tabs>
        <w:jc w:val="both"/>
        <w:rPr>
          <w:rFonts w:ascii="Book Antiqua" w:hAnsi="Book Antiqua" w:cs="Arial"/>
        </w:rPr>
      </w:pPr>
    </w:p>
    <w:p w14:paraId="4C9B9740" w14:textId="77777777"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000E1CBD" w:rsidRPr="00F27BB4">
        <w:rPr>
          <w:noProof/>
        </w:rPr>
        <w:drawing>
          <wp:inline distT="0" distB="0" distL="0" distR="0" wp14:anchorId="1D5B4F63" wp14:editId="53015684">
            <wp:extent cx="1421130" cy="6051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1130" cy="605155"/>
                    </a:xfrm>
                    <a:prstGeom prst="rect">
                      <a:avLst/>
                    </a:prstGeom>
                    <a:noFill/>
                    <a:ln>
                      <a:noFill/>
                    </a:ln>
                  </pic:spPr>
                </pic:pic>
              </a:graphicData>
            </a:graphic>
          </wp:inline>
        </w:drawing>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0E1CBD">
        <w:rPr>
          <w:rFonts w:ascii="Book Antiqua" w:hAnsi="Book Antiqua" w:cs="Arial"/>
        </w:rPr>
        <w:t xml:space="preserve"> 26 August 2018</w:t>
      </w:r>
    </w:p>
    <w:p w14:paraId="734BCF6A" w14:textId="77777777" w:rsidR="001F2716" w:rsidRPr="00CE6902" w:rsidRDefault="001F2716" w:rsidP="000369F5">
      <w:pPr>
        <w:tabs>
          <w:tab w:val="left" w:pos="2520"/>
        </w:tabs>
        <w:jc w:val="both"/>
        <w:rPr>
          <w:rFonts w:ascii="Book Antiqua" w:hAnsi="Book Antiqua" w:cs="Arial"/>
        </w:rPr>
      </w:pPr>
    </w:p>
    <w:p w14:paraId="3E610CF2" w14:textId="77777777" w:rsidR="005B7789" w:rsidRDefault="00561B4E" w:rsidP="000369F5">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p w14:paraId="2C3A6812" w14:textId="77777777" w:rsidR="00CB7FD7" w:rsidRPr="00CE6902" w:rsidRDefault="00CB7FD7" w:rsidP="000369F5">
      <w:pPr>
        <w:tabs>
          <w:tab w:val="left" w:pos="2520"/>
        </w:tabs>
        <w:jc w:val="both"/>
        <w:rPr>
          <w:rFonts w:ascii="Book Antiqua" w:hAnsi="Book Antiqua" w:cs="Arial"/>
        </w:rPr>
      </w:pPr>
    </w:p>
    <w:p w14:paraId="57B7514E" w14:textId="77777777" w:rsidR="00BF3B8C" w:rsidRPr="00BF3B8C" w:rsidRDefault="00BF3B8C" w:rsidP="00BF3B8C">
      <w:pPr>
        <w:ind w:left="567" w:hanging="567"/>
        <w:jc w:val="both"/>
        <w:rPr>
          <w:rFonts w:ascii="Book Antiqua" w:hAnsi="Book Antiqua" w:cs="Arial"/>
        </w:rPr>
      </w:pPr>
    </w:p>
    <w:p w14:paraId="2EB70437" w14:textId="77777777" w:rsidR="00BF3B8C" w:rsidRPr="00CE6902" w:rsidRDefault="00BF3B8C" w:rsidP="004E354F">
      <w:pPr>
        <w:jc w:val="both"/>
        <w:rPr>
          <w:rFonts w:ascii="Book Antiqua" w:hAnsi="Book Antiqua" w:cs="Arial"/>
        </w:rPr>
        <w:sectPr w:rsidR="00BF3B8C" w:rsidRPr="00CE6902" w:rsidSect="004E354F">
          <w:headerReference w:type="default" r:id="rId9"/>
          <w:footerReference w:type="default" r:id="rId10"/>
          <w:headerReference w:type="first" r:id="rId11"/>
          <w:footerReference w:type="first" r:id="rId12"/>
          <w:pgSz w:w="11906" w:h="16838" w:code="9"/>
          <w:pgMar w:top="1191" w:right="1134" w:bottom="1191" w:left="1134" w:header="709" w:footer="709" w:gutter="0"/>
          <w:cols w:space="708"/>
          <w:titlePg/>
          <w:docGrid w:linePitch="360"/>
        </w:sectPr>
      </w:pPr>
    </w:p>
    <w:p w14:paraId="3E297484" w14:textId="77777777" w:rsidR="005B7789" w:rsidRPr="00CE6902" w:rsidRDefault="005B7789" w:rsidP="005B7789">
      <w:pPr>
        <w:tabs>
          <w:tab w:val="left" w:pos="2520"/>
        </w:tabs>
        <w:ind w:left="540" w:hanging="540"/>
        <w:jc w:val="both"/>
        <w:rPr>
          <w:rFonts w:ascii="Book Antiqua" w:hAnsi="Book Antiqua" w:cs="Arial"/>
        </w:rPr>
      </w:pPr>
    </w:p>
    <w:p w14:paraId="5767D12E" w14:textId="77777777" w:rsidR="005B7789" w:rsidRPr="00CE6902" w:rsidRDefault="005B7789" w:rsidP="000369F5">
      <w:pPr>
        <w:tabs>
          <w:tab w:val="left" w:pos="2520"/>
        </w:tabs>
        <w:jc w:val="both"/>
        <w:rPr>
          <w:rFonts w:ascii="Book Antiqua" w:hAnsi="Book Antiqua" w:cs="Arial"/>
        </w:rPr>
      </w:pPr>
    </w:p>
    <w:sectPr w:rsidR="005B7789" w:rsidRPr="00CE6902" w:rsidSect="004E354F">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15493" w14:textId="77777777" w:rsidR="006A5217" w:rsidRDefault="006A5217">
      <w:r>
        <w:separator/>
      </w:r>
    </w:p>
  </w:endnote>
  <w:endnote w:type="continuationSeparator" w:id="0">
    <w:p w14:paraId="6578CF43" w14:textId="77777777" w:rsidR="006A5217" w:rsidRDefault="006A5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363C" w14:textId="2B730B7F" w:rsidR="00CB7FD7" w:rsidRPr="00CE6902" w:rsidRDefault="00CB7FD7" w:rsidP="00593795">
    <w:pPr>
      <w:pStyle w:val="Footer"/>
      <w:jc w:val="center"/>
      <w:rPr>
        <w:rFonts w:ascii="Book Antiqua" w:hAnsi="Book Antiqua" w:cs="Arial"/>
        <w:sz w:val="16"/>
        <w:szCs w:val="16"/>
      </w:rPr>
    </w:pPr>
    <w:r w:rsidRPr="00CE6902">
      <w:rPr>
        <w:rStyle w:val="PageNumber"/>
        <w:rFonts w:ascii="Book Antiqua" w:hAnsi="Book Antiqua" w:cs="Arial"/>
        <w:sz w:val="16"/>
        <w:szCs w:val="16"/>
      </w:rPr>
      <w:fldChar w:fldCharType="begin"/>
    </w:r>
    <w:r w:rsidRPr="00CE6902">
      <w:rPr>
        <w:rStyle w:val="PageNumber"/>
        <w:rFonts w:ascii="Book Antiqua" w:hAnsi="Book Antiqua" w:cs="Arial"/>
        <w:sz w:val="16"/>
        <w:szCs w:val="16"/>
      </w:rPr>
      <w:instrText xml:space="preserve"> PAGE </w:instrText>
    </w:r>
    <w:r w:rsidRPr="00CE6902">
      <w:rPr>
        <w:rStyle w:val="PageNumber"/>
        <w:rFonts w:ascii="Book Antiqua" w:hAnsi="Book Antiqua" w:cs="Arial"/>
        <w:sz w:val="16"/>
        <w:szCs w:val="16"/>
      </w:rPr>
      <w:fldChar w:fldCharType="separate"/>
    </w:r>
    <w:r w:rsidR="009143A8">
      <w:rPr>
        <w:rStyle w:val="PageNumber"/>
        <w:rFonts w:ascii="Book Antiqua" w:hAnsi="Book Antiqua" w:cs="Arial"/>
        <w:noProof/>
        <w:sz w:val="16"/>
        <w:szCs w:val="16"/>
      </w:rPr>
      <w:t>4</w:t>
    </w:r>
    <w:r w:rsidRPr="00CE69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2242" w14:textId="77777777"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C7334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A9FB5" w14:textId="77777777" w:rsidR="006A5217" w:rsidRDefault="006A5217">
      <w:r>
        <w:separator/>
      </w:r>
    </w:p>
  </w:footnote>
  <w:footnote w:type="continuationSeparator" w:id="0">
    <w:p w14:paraId="30EF36CE" w14:textId="77777777" w:rsidR="006A5217" w:rsidRDefault="006A5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108E6" w14:textId="77777777" w:rsidR="00CB7FD7" w:rsidRPr="00CE6902"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00F06162">
      <w:rPr>
        <w:rFonts w:ascii="Book Antiqua" w:hAnsi="Book Antiqua" w:cs="Arial"/>
        <w:sz w:val="16"/>
        <w:szCs w:val="16"/>
      </w:rPr>
      <w:t>PA/09902/2017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69E7" w14:textId="77777777"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1542E26E"/>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BF"/>
    <w:rsid w:val="00000621"/>
    <w:rsid w:val="000036C2"/>
    <w:rsid w:val="00006D7A"/>
    <w:rsid w:val="00033D3D"/>
    <w:rsid w:val="000369F5"/>
    <w:rsid w:val="00071A7E"/>
    <w:rsid w:val="000746C0"/>
    <w:rsid w:val="00074D1D"/>
    <w:rsid w:val="00092580"/>
    <w:rsid w:val="000B787F"/>
    <w:rsid w:val="000C15FB"/>
    <w:rsid w:val="000C5C20"/>
    <w:rsid w:val="000D5D94"/>
    <w:rsid w:val="000D746B"/>
    <w:rsid w:val="000E1CBD"/>
    <w:rsid w:val="000F38CB"/>
    <w:rsid w:val="00110F6F"/>
    <w:rsid w:val="00114924"/>
    <w:rsid w:val="001165A7"/>
    <w:rsid w:val="001338C1"/>
    <w:rsid w:val="00151BB7"/>
    <w:rsid w:val="00152152"/>
    <w:rsid w:val="00154147"/>
    <w:rsid w:val="00163090"/>
    <w:rsid w:val="001653C0"/>
    <w:rsid w:val="00167D3A"/>
    <w:rsid w:val="0018262F"/>
    <w:rsid w:val="001A24E4"/>
    <w:rsid w:val="001E6D96"/>
    <w:rsid w:val="001F2716"/>
    <w:rsid w:val="0020133A"/>
    <w:rsid w:val="00207617"/>
    <w:rsid w:val="00244A9E"/>
    <w:rsid w:val="00283659"/>
    <w:rsid w:val="00283EB8"/>
    <w:rsid w:val="00297A75"/>
    <w:rsid w:val="002C4E73"/>
    <w:rsid w:val="002D68BF"/>
    <w:rsid w:val="00316625"/>
    <w:rsid w:val="00336CBF"/>
    <w:rsid w:val="00337A21"/>
    <w:rsid w:val="003546C8"/>
    <w:rsid w:val="003A7CF2"/>
    <w:rsid w:val="003C5B5B"/>
    <w:rsid w:val="003C5CE5"/>
    <w:rsid w:val="003E267B"/>
    <w:rsid w:val="003E7CD1"/>
    <w:rsid w:val="00402B9E"/>
    <w:rsid w:val="004229B4"/>
    <w:rsid w:val="00423932"/>
    <w:rsid w:val="004249CB"/>
    <w:rsid w:val="00436C72"/>
    <w:rsid w:val="0044127D"/>
    <w:rsid w:val="004448DB"/>
    <w:rsid w:val="00446C9A"/>
    <w:rsid w:val="004606D8"/>
    <w:rsid w:val="00477193"/>
    <w:rsid w:val="004A1848"/>
    <w:rsid w:val="004B35A0"/>
    <w:rsid w:val="004C1E34"/>
    <w:rsid w:val="004E354F"/>
    <w:rsid w:val="00503969"/>
    <w:rsid w:val="00507FEC"/>
    <w:rsid w:val="00510F0E"/>
    <w:rsid w:val="00522434"/>
    <w:rsid w:val="00526DC7"/>
    <w:rsid w:val="005479E1"/>
    <w:rsid w:val="005570FD"/>
    <w:rsid w:val="005575EA"/>
    <w:rsid w:val="00561B4E"/>
    <w:rsid w:val="0057790C"/>
    <w:rsid w:val="00593795"/>
    <w:rsid w:val="005A75FF"/>
    <w:rsid w:val="005B51C3"/>
    <w:rsid w:val="005B7789"/>
    <w:rsid w:val="005C1F10"/>
    <w:rsid w:val="005E57FF"/>
    <w:rsid w:val="0064775E"/>
    <w:rsid w:val="0065791C"/>
    <w:rsid w:val="00690B8A"/>
    <w:rsid w:val="006A5217"/>
    <w:rsid w:val="006D1DFA"/>
    <w:rsid w:val="006D24EE"/>
    <w:rsid w:val="006D506B"/>
    <w:rsid w:val="006E3C90"/>
    <w:rsid w:val="00704B61"/>
    <w:rsid w:val="00717DBE"/>
    <w:rsid w:val="007404B2"/>
    <w:rsid w:val="00742A8D"/>
    <w:rsid w:val="007552A9"/>
    <w:rsid w:val="0076043D"/>
    <w:rsid w:val="00761858"/>
    <w:rsid w:val="00767D59"/>
    <w:rsid w:val="00776E97"/>
    <w:rsid w:val="00780FD7"/>
    <w:rsid w:val="007912AD"/>
    <w:rsid w:val="007939C0"/>
    <w:rsid w:val="00793D54"/>
    <w:rsid w:val="007B0824"/>
    <w:rsid w:val="00807563"/>
    <w:rsid w:val="008303B8"/>
    <w:rsid w:val="00833DCE"/>
    <w:rsid w:val="00850BBF"/>
    <w:rsid w:val="00857CB2"/>
    <w:rsid w:val="00871D34"/>
    <w:rsid w:val="008749A9"/>
    <w:rsid w:val="008A0C3B"/>
    <w:rsid w:val="008B270C"/>
    <w:rsid w:val="008C3D3D"/>
    <w:rsid w:val="008D4131"/>
    <w:rsid w:val="008F1932"/>
    <w:rsid w:val="008F294D"/>
    <w:rsid w:val="009143A8"/>
    <w:rsid w:val="00921062"/>
    <w:rsid w:val="00966ECF"/>
    <w:rsid w:val="009727A3"/>
    <w:rsid w:val="00987774"/>
    <w:rsid w:val="009A11E8"/>
    <w:rsid w:val="009F5220"/>
    <w:rsid w:val="009F7C4D"/>
    <w:rsid w:val="00A15234"/>
    <w:rsid w:val="00A201AB"/>
    <w:rsid w:val="00A31C8B"/>
    <w:rsid w:val="00A341D2"/>
    <w:rsid w:val="00A34C0B"/>
    <w:rsid w:val="00A845DC"/>
    <w:rsid w:val="00A957E0"/>
    <w:rsid w:val="00A97AEE"/>
    <w:rsid w:val="00AC5CF6"/>
    <w:rsid w:val="00AF3421"/>
    <w:rsid w:val="00B03FBE"/>
    <w:rsid w:val="00B144FA"/>
    <w:rsid w:val="00B25B10"/>
    <w:rsid w:val="00B30648"/>
    <w:rsid w:val="00B3524D"/>
    <w:rsid w:val="00B40F69"/>
    <w:rsid w:val="00B46616"/>
    <w:rsid w:val="00B61205"/>
    <w:rsid w:val="00B617C4"/>
    <w:rsid w:val="00B626FA"/>
    <w:rsid w:val="00B7040A"/>
    <w:rsid w:val="00BD4196"/>
    <w:rsid w:val="00BF22CA"/>
    <w:rsid w:val="00BF3B8C"/>
    <w:rsid w:val="00C165A2"/>
    <w:rsid w:val="00C26032"/>
    <w:rsid w:val="00C265B0"/>
    <w:rsid w:val="00C32BB1"/>
    <w:rsid w:val="00C345E1"/>
    <w:rsid w:val="00C44AA1"/>
    <w:rsid w:val="00C51445"/>
    <w:rsid w:val="00C619C8"/>
    <w:rsid w:val="00C665DF"/>
    <w:rsid w:val="00C73349"/>
    <w:rsid w:val="00C90C15"/>
    <w:rsid w:val="00C94A8F"/>
    <w:rsid w:val="00CB6E35"/>
    <w:rsid w:val="00CB7FD7"/>
    <w:rsid w:val="00CE1A46"/>
    <w:rsid w:val="00CE2079"/>
    <w:rsid w:val="00CE6902"/>
    <w:rsid w:val="00CF253F"/>
    <w:rsid w:val="00CF56B4"/>
    <w:rsid w:val="00D20F09"/>
    <w:rsid w:val="00D22636"/>
    <w:rsid w:val="00D40FD9"/>
    <w:rsid w:val="00D53769"/>
    <w:rsid w:val="00D53893"/>
    <w:rsid w:val="00D80595"/>
    <w:rsid w:val="00D85C13"/>
    <w:rsid w:val="00D91BE3"/>
    <w:rsid w:val="00D94AFC"/>
    <w:rsid w:val="00DB70AE"/>
    <w:rsid w:val="00DB7231"/>
    <w:rsid w:val="00DD5071"/>
    <w:rsid w:val="00DD5C39"/>
    <w:rsid w:val="00DE26AF"/>
    <w:rsid w:val="00DE7DB7"/>
    <w:rsid w:val="00E00A0A"/>
    <w:rsid w:val="00E04C9F"/>
    <w:rsid w:val="00E07F57"/>
    <w:rsid w:val="00E33145"/>
    <w:rsid w:val="00E50BCE"/>
    <w:rsid w:val="00E61292"/>
    <w:rsid w:val="00E76309"/>
    <w:rsid w:val="00E77C4D"/>
    <w:rsid w:val="00E81D01"/>
    <w:rsid w:val="00EB707E"/>
    <w:rsid w:val="00ED1BAF"/>
    <w:rsid w:val="00ED49AF"/>
    <w:rsid w:val="00EE3E65"/>
    <w:rsid w:val="00EE45D8"/>
    <w:rsid w:val="00EF1230"/>
    <w:rsid w:val="00F004CD"/>
    <w:rsid w:val="00F06162"/>
    <w:rsid w:val="00F22EDA"/>
    <w:rsid w:val="00F33E0E"/>
    <w:rsid w:val="00FA17F3"/>
    <w:rsid w:val="00FB7E80"/>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AFE1F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NormalWeb">
    <w:name w:val="Normal (Web)"/>
    <w:basedOn w:val="Normal"/>
    <w:uiPriority w:val="99"/>
    <w:unhideWhenUsed/>
    <w:rsid w:val="0064775E"/>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1404</Words>
  <Characters>6742</Characters>
  <Application>Microsoft Office Word</Application>
  <DocSecurity>0</DocSecurity>
  <Lines>56</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2018-09-18T11:11:00Z</dcterms:created>
  <dcterms:modified xsi:type="dcterms:W3CDTF">2018-09-18T11:11:00Z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