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E538B"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25CA2"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25CA2">
        <w:rPr>
          <w:rFonts w:ascii="Book Antiqua" w:hAnsi="Book Antiqua" w:cs="Arial"/>
          <w:b/>
        </w:rPr>
        <w:t xml:space="preserve">   </w:t>
      </w:r>
      <w:proofErr w:type="gramEnd"/>
      <w:r w:rsidR="00625CA2">
        <w:rPr>
          <w:rFonts w:ascii="Book Antiqua" w:hAnsi="Book Antiqua" w:cs="Arial"/>
          <w:b/>
        </w:rPr>
        <w:t xml:space="preserve">                   </w:t>
      </w:r>
      <w:r w:rsidR="00B3524D" w:rsidRPr="00625CA2">
        <w:rPr>
          <w:rFonts w:ascii="Book Antiqua" w:hAnsi="Book Antiqua" w:cs="Arial"/>
          <w:b/>
        </w:rPr>
        <w:t>Appeal Number</w:t>
      </w:r>
      <w:r w:rsidR="00D53769" w:rsidRPr="00625CA2">
        <w:rPr>
          <w:rFonts w:ascii="Book Antiqua" w:hAnsi="Book Antiqua" w:cs="Arial"/>
          <w:b/>
        </w:rPr>
        <w:t>:</w:t>
      </w:r>
      <w:r w:rsidR="00B3524D" w:rsidRPr="00625CA2">
        <w:rPr>
          <w:rFonts w:ascii="Book Antiqua" w:hAnsi="Book Antiqua" w:cs="Arial"/>
          <w:b/>
        </w:rPr>
        <w:t xml:space="preserve"> </w:t>
      </w:r>
      <w:bookmarkStart w:id="0" w:name="_Hlk518463796"/>
      <w:r w:rsidR="009300E5" w:rsidRPr="00625CA2">
        <w:rPr>
          <w:rFonts w:ascii="Book Antiqua" w:hAnsi="Book Antiqua" w:cs="Arial"/>
          <w:b/>
          <w:caps/>
        </w:rPr>
        <w:t>pa/</w:t>
      </w:r>
      <w:r w:rsidR="002022FD" w:rsidRPr="00625CA2">
        <w:rPr>
          <w:rFonts w:ascii="Book Antiqua" w:hAnsi="Book Antiqua" w:cs="Arial"/>
          <w:b/>
          <w:caps/>
        </w:rPr>
        <w:t>09921/2017</w:t>
      </w:r>
      <w:bookmarkEnd w:id="0"/>
    </w:p>
    <w:p w:rsidR="00C345E1" w:rsidRPr="00625CA2"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22"/>
        <w:gridCol w:w="860"/>
        <w:gridCol w:w="3556"/>
      </w:tblGrid>
      <w:tr w:rsidR="00D22636" w:rsidRPr="00843969" w:rsidTr="00625CA2">
        <w:tc>
          <w:tcPr>
            <w:tcW w:w="5222" w:type="dxa"/>
            <w:shd w:val="clear" w:color="auto" w:fill="auto"/>
          </w:tcPr>
          <w:p w:rsidR="00D22636" w:rsidRPr="00843969" w:rsidRDefault="00D22636" w:rsidP="00843969">
            <w:pPr>
              <w:jc w:val="both"/>
              <w:rPr>
                <w:rFonts w:ascii="Book Antiqua" w:hAnsi="Book Antiqua" w:cs="Arial"/>
                <w:b/>
              </w:rPr>
            </w:pPr>
            <w:r w:rsidRPr="00843969">
              <w:rPr>
                <w:rFonts w:ascii="Book Antiqua" w:hAnsi="Book Antiqua" w:cs="Arial"/>
                <w:b/>
              </w:rPr>
              <w:t xml:space="preserve">Heard at </w:t>
            </w:r>
            <w:r w:rsidR="00891FA7" w:rsidRPr="00843969">
              <w:rPr>
                <w:rFonts w:ascii="Book Antiqua" w:hAnsi="Book Antiqua" w:cs="Arial"/>
                <w:b/>
              </w:rPr>
              <w:t>Field House</w:t>
            </w:r>
          </w:p>
        </w:tc>
        <w:tc>
          <w:tcPr>
            <w:tcW w:w="4416" w:type="dxa"/>
            <w:gridSpan w:val="2"/>
            <w:shd w:val="clear" w:color="auto" w:fill="auto"/>
          </w:tcPr>
          <w:p w:rsidR="00D22636" w:rsidRPr="00843969" w:rsidRDefault="0060050B" w:rsidP="00843969">
            <w:pPr>
              <w:jc w:val="both"/>
              <w:rPr>
                <w:rFonts w:ascii="Book Antiqua" w:hAnsi="Book Antiqua" w:cs="Arial"/>
                <w:b/>
              </w:rPr>
            </w:pPr>
            <w:r>
              <w:rPr>
                <w:rFonts w:ascii="Book Antiqua" w:hAnsi="Book Antiqua" w:cs="Arial"/>
                <w:b/>
              </w:rPr>
              <w:t>Decision</w:t>
            </w:r>
            <w:r w:rsidR="00886E5E">
              <w:rPr>
                <w:rFonts w:ascii="Book Antiqua" w:hAnsi="Book Antiqua" w:cs="Arial"/>
                <w:b/>
              </w:rPr>
              <w:t xml:space="preserve"> and Reasons </w:t>
            </w:r>
            <w:r w:rsidR="00886E5E" w:rsidRPr="00843969">
              <w:rPr>
                <w:rFonts w:ascii="Book Antiqua" w:hAnsi="Book Antiqua" w:cs="Arial"/>
                <w:b/>
              </w:rPr>
              <w:t>Promulgated</w:t>
            </w:r>
          </w:p>
        </w:tc>
      </w:tr>
      <w:tr w:rsidR="00D22636" w:rsidRPr="00843969" w:rsidTr="00625CA2">
        <w:tc>
          <w:tcPr>
            <w:tcW w:w="5222" w:type="dxa"/>
            <w:shd w:val="clear" w:color="auto" w:fill="auto"/>
          </w:tcPr>
          <w:p w:rsidR="00D22636" w:rsidRPr="00843969" w:rsidRDefault="00D22636" w:rsidP="00843969">
            <w:pPr>
              <w:jc w:val="both"/>
              <w:rPr>
                <w:rFonts w:ascii="Book Antiqua" w:hAnsi="Book Antiqua" w:cs="Arial"/>
                <w:b/>
              </w:rPr>
            </w:pPr>
            <w:r w:rsidRPr="00843969">
              <w:rPr>
                <w:rFonts w:ascii="Book Antiqua" w:hAnsi="Book Antiqua" w:cs="Arial"/>
                <w:b/>
              </w:rPr>
              <w:t xml:space="preserve">On </w:t>
            </w:r>
            <w:r w:rsidR="002022FD">
              <w:rPr>
                <w:rFonts w:ascii="Book Antiqua" w:hAnsi="Book Antiqua" w:cs="Arial"/>
                <w:b/>
              </w:rPr>
              <w:t>27 June 2018</w:t>
            </w:r>
          </w:p>
        </w:tc>
        <w:tc>
          <w:tcPr>
            <w:tcW w:w="4416" w:type="dxa"/>
            <w:gridSpan w:val="2"/>
            <w:shd w:val="clear" w:color="auto" w:fill="auto"/>
          </w:tcPr>
          <w:p w:rsidR="00D22636" w:rsidRPr="00843969" w:rsidRDefault="00886E5E" w:rsidP="00843969">
            <w:pPr>
              <w:jc w:val="both"/>
              <w:rPr>
                <w:rFonts w:ascii="Book Antiqua" w:hAnsi="Book Antiqua" w:cs="Arial"/>
                <w:b/>
              </w:rPr>
            </w:pPr>
            <w:r>
              <w:rPr>
                <w:rFonts w:ascii="Book Antiqua" w:hAnsi="Book Antiqua" w:cs="Arial"/>
                <w:b/>
              </w:rPr>
              <w:t xml:space="preserve">On 05 July 2018 </w:t>
            </w:r>
          </w:p>
        </w:tc>
      </w:tr>
      <w:tr w:rsidR="00D22636" w:rsidRPr="00843969" w:rsidTr="00625CA2">
        <w:tc>
          <w:tcPr>
            <w:tcW w:w="6082" w:type="dxa"/>
            <w:gridSpan w:val="2"/>
            <w:shd w:val="clear" w:color="auto" w:fill="auto"/>
          </w:tcPr>
          <w:p w:rsidR="00D22636" w:rsidRPr="00843969" w:rsidRDefault="00D22636" w:rsidP="00843969">
            <w:pPr>
              <w:jc w:val="both"/>
              <w:rPr>
                <w:rFonts w:ascii="Book Antiqua" w:hAnsi="Book Antiqua" w:cs="Arial"/>
                <w:b/>
              </w:rPr>
            </w:pPr>
          </w:p>
        </w:tc>
        <w:tc>
          <w:tcPr>
            <w:tcW w:w="3556" w:type="dxa"/>
            <w:shd w:val="clear" w:color="auto" w:fill="auto"/>
          </w:tcPr>
          <w:p w:rsidR="00D22636" w:rsidRPr="00843969" w:rsidRDefault="00D22636" w:rsidP="00843969">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8A7CAE" w:rsidP="00891FA7">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30B7C">
        <w:rPr>
          <w:rFonts w:ascii="Book Antiqua" w:hAnsi="Book Antiqua" w:cs="Arial"/>
          <w:b/>
        </w:rPr>
        <w:t>MONSON</w:t>
      </w: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0C0A1A" w:rsidRDefault="000C0A1A" w:rsidP="00A15234">
      <w:pPr>
        <w:jc w:val="center"/>
        <w:rPr>
          <w:rFonts w:ascii="Book Antiqua" w:hAnsi="Book Antiqua" w:cs="Arial"/>
          <w:b/>
        </w:rPr>
      </w:pPr>
    </w:p>
    <w:p w:rsidR="00461842" w:rsidRPr="00F5664C" w:rsidRDefault="002022FD" w:rsidP="00A15234">
      <w:pPr>
        <w:jc w:val="center"/>
        <w:rPr>
          <w:rFonts w:ascii="Book Antiqua" w:hAnsi="Book Antiqua" w:cs="Arial"/>
          <w:b/>
        </w:rPr>
      </w:pPr>
      <w:r>
        <w:rPr>
          <w:rFonts w:ascii="Book Antiqua" w:hAnsi="Book Antiqua" w:cs="Arial"/>
          <w:b/>
        </w:rPr>
        <w:t>QS</w:t>
      </w:r>
      <w:r w:rsidR="00461842">
        <w:rPr>
          <w:rFonts w:ascii="Book Antiqua" w:hAnsi="Book Antiqua" w:cs="Arial"/>
          <w:b/>
        </w:rPr>
        <w:t xml:space="preserve"> (</w:t>
      </w:r>
      <w:r>
        <w:rPr>
          <w:rFonts w:ascii="Book Antiqua" w:hAnsi="Book Antiqua" w:cs="Arial"/>
          <w:b/>
        </w:rPr>
        <w:t>AFGHANISTAN</w:t>
      </w:r>
      <w:r w:rsidR="00461842">
        <w:rPr>
          <w:rFonts w:ascii="Book Antiqua" w:hAnsi="Book Antiqua" w:cs="Arial"/>
          <w:b/>
        </w:rPr>
        <w:t>)</w:t>
      </w:r>
    </w:p>
    <w:p w:rsidR="003D5CA0" w:rsidRPr="00625CA2" w:rsidRDefault="00461842" w:rsidP="000C0A1A">
      <w:pPr>
        <w:jc w:val="center"/>
        <w:rPr>
          <w:rFonts w:ascii="Book Antiqua" w:hAnsi="Book Antiqua" w:cs="Arial"/>
          <w:caps/>
        </w:rPr>
      </w:pPr>
      <w:r w:rsidRPr="00625CA2">
        <w:rPr>
          <w:rFonts w:ascii="Book Antiqua" w:hAnsi="Book Antiqua" w:cs="Arial"/>
          <w:caps/>
        </w:rPr>
        <w:t xml:space="preserve"> </w:t>
      </w:r>
      <w:r w:rsidR="000C0A1A" w:rsidRPr="00625CA2">
        <w:rPr>
          <w:rFonts w:ascii="Book Antiqua" w:hAnsi="Book Antiqua" w:cs="Arial"/>
          <w:caps/>
        </w:rPr>
        <w:t>(ANO</w:t>
      </w:r>
      <w:r w:rsidR="009300E5" w:rsidRPr="00625CA2">
        <w:rPr>
          <w:rFonts w:ascii="Book Antiqua" w:hAnsi="Book Antiqua" w:cs="Arial"/>
          <w:caps/>
        </w:rPr>
        <w:t xml:space="preserve">NYMITY DIRECTION </w:t>
      </w:r>
      <w:r w:rsidR="000C0A1A" w:rsidRPr="00625CA2">
        <w:rPr>
          <w:rFonts w:ascii="Book Antiqua" w:hAnsi="Book Antiqua" w:cs="Arial"/>
          <w:caps/>
        </w:rPr>
        <w:t>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0C0A1A" w:rsidRPr="00F5664C" w:rsidRDefault="000C0A1A" w:rsidP="000C0A1A">
      <w:pPr>
        <w:rPr>
          <w:rFonts w:ascii="Book Antiqua" w:hAnsi="Book Antiqua" w:cs="Arial"/>
          <w:b/>
        </w:rPr>
      </w:pPr>
    </w:p>
    <w:p w:rsidR="000C0A1A" w:rsidRDefault="000C0A1A" w:rsidP="000C0A1A">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0C0A1A"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91FA7">
        <w:rPr>
          <w:rFonts w:ascii="Book Antiqua" w:hAnsi="Book Antiqua" w:cs="Arial"/>
        </w:rPr>
        <w:tab/>
      </w:r>
      <w:r w:rsidR="00891FA7">
        <w:rPr>
          <w:rFonts w:ascii="Book Antiqua" w:hAnsi="Book Antiqua" w:cs="Arial"/>
        </w:rPr>
        <w:tab/>
      </w:r>
      <w:r w:rsidR="002022FD">
        <w:rPr>
          <w:rFonts w:ascii="Book Antiqua" w:hAnsi="Book Antiqua" w:cs="Arial"/>
        </w:rPr>
        <w:t xml:space="preserve">Ms S. </w:t>
      </w:r>
      <w:proofErr w:type="spellStart"/>
      <w:r w:rsidR="002022FD">
        <w:rPr>
          <w:rFonts w:ascii="Book Antiqua" w:hAnsi="Book Antiqua" w:cs="Arial"/>
        </w:rPr>
        <w:t>Iengar</w:t>
      </w:r>
      <w:proofErr w:type="spellEnd"/>
      <w:r w:rsidR="00461842">
        <w:rPr>
          <w:rFonts w:ascii="Book Antiqua" w:hAnsi="Book Antiqua" w:cs="Arial"/>
        </w:rPr>
        <w:t xml:space="preserve">, </w:t>
      </w:r>
      <w:r w:rsidR="0060050B">
        <w:rPr>
          <w:rFonts w:ascii="Book Antiqua" w:hAnsi="Book Antiqua" w:cs="Arial"/>
        </w:rPr>
        <w:t>Counsel</w:t>
      </w:r>
      <w:r w:rsidR="00461842">
        <w:rPr>
          <w:rFonts w:ascii="Book Antiqua" w:hAnsi="Book Antiqua" w:cs="Arial"/>
        </w:rPr>
        <w:t xml:space="preserve"> instructed by </w:t>
      </w:r>
      <w:r w:rsidR="002022FD">
        <w:rPr>
          <w:rFonts w:ascii="Book Antiqua" w:hAnsi="Book Antiqua" w:cs="Arial"/>
        </w:rPr>
        <w:t>Times PBS</w:t>
      </w:r>
      <w:r w:rsidR="0060050B">
        <w:rPr>
          <w:rFonts w:ascii="Book Antiqua" w:hAnsi="Book Antiqua" w:cs="Arial"/>
        </w:rPr>
        <w:t xml:space="preserve">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2022FD">
        <w:rPr>
          <w:rFonts w:ascii="Book Antiqua" w:hAnsi="Book Antiqua" w:cs="Arial"/>
        </w:rPr>
        <w:t>:</w:t>
      </w:r>
      <w:r w:rsidR="002022FD">
        <w:rPr>
          <w:rFonts w:ascii="Book Antiqua" w:hAnsi="Book Antiqua" w:cs="Arial"/>
        </w:rPr>
        <w:tab/>
      </w:r>
      <w:r w:rsidR="002022FD">
        <w:rPr>
          <w:rFonts w:ascii="Book Antiqua" w:hAnsi="Book Antiqua" w:cs="Arial"/>
        </w:rPr>
        <w:tab/>
      </w:r>
      <w:r w:rsidR="002022FD">
        <w:rPr>
          <w:rFonts w:ascii="Book Antiqua" w:hAnsi="Book Antiqua" w:cs="Arial"/>
        </w:rPr>
        <w:tab/>
        <w:t>Mr S. Walker</w:t>
      </w:r>
      <w:r w:rsidR="0060050B">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60050B" w:rsidP="00402B9E">
      <w:pPr>
        <w:tabs>
          <w:tab w:val="left" w:pos="2520"/>
        </w:tabs>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742A8D" w:rsidRDefault="00461842" w:rsidP="006E3C90">
      <w:pPr>
        <w:numPr>
          <w:ilvl w:val="0"/>
          <w:numId w:val="3"/>
        </w:numPr>
        <w:spacing w:before="240"/>
        <w:jc w:val="both"/>
        <w:rPr>
          <w:rFonts w:ascii="Book Antiqua" w:hAnsi="Book Antiqua" w:cs="Arial"/>
        </w:rPr>
      </w:pPr>
      <w:r>
        <w:rPr>
          <w:rFonts w:ascii="Book Antiqua" w:hAnsi="Book Antiqua" w:cs="Arial"/>
        </w:rPr>
        <w:t xml:space="preserve">The </w:t>
      </w:r>
      <w:r w:rsidR="0060050B">
        <w:rPr>
          <w:rFonts w:ascii="Book Antiqua" w:hAnsi="Book Antiqua" w:cs="Arial"/>
        </w:rPr>
        <w:t>appellant</w:t>
      </w:r>
      <w:r w:rsidR="00A92423">
        <w:rPr>
          <w:rFonts w:ascii="Book Antiqua" w:hAnsi="Book Antiqua" w:cs="Arial"/>
        </w:rPr>
        <w:t xml:space="preserve"> appeals to the Upper Tribunal </w:t>
      </w:r>
      <w:r w:rsidR="0088407A">
        <w:rPr>
          <w:rFonts w:ascii="Book Antiqua" w:hAnsi="Book Antiqua" w:cs="Arial"/>
        </w:rPr>
        <w:t xml:space="preserve">from </w:t>
      </w:r>
      <w:r w:rsidR="00A92423">
        <w:rPr>
          <w:rFonts w:ascii="Book Antiqua" w:hAnsi="Book Antiqua" w:cs="Arial"/>
        </w:rPr>
        <w:t xml:space="preserve">the decision of the </w:t>
      </w:r>
      <w:r w:rsidR="00A92423" w:rsidRPr="00A92423">
        <w:rPr>
          <w:rFonts w:ascii="Book Antiqua" w:hAnsi="Book Antiqua" w:cs="Arial"/>
        </w:rPr>
        <w:t>First-tier Tribunal</w:t>
      </w:r>
      <w:r w:rsidR="00A92423">
        <w:rPr>
          <w:rFonts w:ascii="Book Antiqua" w:hAnsi="Book Antiqua" w:cs="Arial"/>
        </w:rPr>
        <w:t xml:space="preserve"> </w:t>
      </w:r>
      <w:r w:rsidR="0060050B">
        <w:rPr>
          <w:rFonts w:ascii="Book Antiqua" w:hAnsi="Book Antiqua" w:cs="Arial"/>
        </w:rPr>
        <w:t xml:space="preserve">(Judge </w:t>
      </w:r>
      <w:r w:rsidR="002022FD">
        <w:rPr>
          <w:rFonts w:ascii="Book Antiqua" w:hAnsi="Book Antiqua" w:cs="Arial"/>
        </w:rPr>
        <w:t xml:space="preserve">Wylie </w:t>
      </w:r>
      <w:r>
        <w:rPr>
          <w:rFonts w:ascii="Book Antiqua" w:hAnsi="Book Antiqua" w:cs="Arial"/>
        </w:rPr>
        <w:t>sitt</w:t>
      </w:r>
      <w:r w:rsidR="002022FD">
        <w:rPr>
          <w:rFonts w:ascii="Book Antiqua" w:hAnsi="Book Antiqua" w:cs="Arial"/>
        </w:rPr>
        <w:t>ing at Hatton Cross on 11</w:t>
      </w:r>
      <w:r w:rsidR="009300E5">
        <w:rPr>
          <w:rFonts w:ascii="Book Antiqua" w:hAnsi="Book Antiqua" w:cs="Arial"/>
        </w:rPr>
        <w:t xml:space="preserve"> </w:t>
      </w:r>
      <w:r w:rsidR="002022FD">
        <w:rPr>
          <w:rFonts w:ascii="Book Antiqua" w:hAnsi="Book Antiqua" w:cs="Arial"/>
        </w:rPr>
        <w:t>December</w:t>
      </w:r>
      <w:r w:rsidR="0060050B">
        <w:rPr>
          <w:rFonts w:ascii="Book Antiqua" w:hAnsi="Book Antiqua" w:cs="Arial"/>
        </w:rPr>
        <w:t xml:space="preserve"> 2017)</w:t>
      </w:r>
      <w:r w:rsidR="00A92423">
        <w:rPr>
          <w:rFonts w:ascii="Book Antiqua" w:hAnsi="Book Antiqua" w:cs="Arial"/>
        </w:rPr>
        <w:t xml:space="preserve"> </w:t>
      </w:r>
      <w:r w:rsidR="0060050B">
        <w:rPr>
          <w:rFonts w:ascii="Book Antiqua" w:hAnsi="Book Antiqua" w:cs="Arial"/>
        </w:rPr>
        <w:t xml:space="preserve">dismissing his </w:t>
      </w:r>
      <w:r>
        <w:rPr>
          <w:rFonts w:ascii="Book Antiqua" w:hAnsi="Book Antiqua" w:cs="Arial"/>
        </w:rPr>
        <w:t xml:space="preserve">protection and human rights </w:t>
      </w:r>
      <w:r w:rsidR="0060050B">
        <w:rPr>
          <w:rFonts w:ascii="Book Antiqua" w:hAnsi="Book Antiqua" w:cs="Arial"/>
        </w:rPr>
        <w:t>appeal against th</w:t>
      </w:r>
      <w:r w:rsidR="00A92423">
        <w:rPr>
          <w:rFonts w:ascii="Book Antiqua" w:hAnsi="Book Antiqua" w:cs="Arial"/>
        </w:rPr>
        <w:t xml:space="preserve">e </w:t>
      </w:r>
      <w:r w:rsidR="0060050B">
        <w:rPr>
          <w:rFonts w:ascii="Book Antiqua" w:hAnsi="Book Antiqua" w:cs="Arial"/>
        </w:rPr>
        <w:t xml:space="preserve">decision of the </w:t>
      </w:r>
      <w:r w:rsidR="00A92423">
        <w:rPr>
          <w:rFonts w:ascii="Book Antiqua" w:hAnsi="Book Antiqua" w:cs="Arial"/>
        </w:rPr>
        <w:t xml:space="preserve">Secretary of State </w:t>
      </w:r>
      <w:r w:rsidR="002022FD">
        <w:rPr>
          <w:rFonts w:ascii="Book Antiqua" w:hAnsi="Book Antiqua" w:cs="Arial"/>
        </w:rPr>
        <w:t xml:space="preserve">dated 13 September 2017 </w:t>
      </w:r>
      <w:r w:rsidR="00A92423">
        <w:rPr>
          <w:rFonts w:ascii="Book Antiqua" w:hAnsi="Book Antiqua" w:cs="Arial"/>
        </w:rPr>
        <w:t>to refuse</w:t>
      </w:r>
      <w:r w:rsidR="0060050B">
        <w:rPr>
          <w:rFonts w:ascii="Book Antiqua" w:hAnsi="Book Antiqua" w:cs="Arial"/>
        </w:rPr>
        <w:t xml:space="preserve"> to </w:t>
      </w:r>
      <w:r w:rsidR="002022FD">
        <w:rPr>
          <w:rFonts w:ascii="Book Antiqua" w:hAnsi="Book Antiqua" w:cs="Arial"/>
        </w:rPr>
        <w:t xml:space="preserve">his fresh asylum claim, his initial asylum claim having been refused on procedural grounds in 2015. </w:t>
      </w:r>
      <w:r>
        <w:rPr>
          <w:rFonts w:ascii="Book Antiqua" w:hAnsi="Book Antiqua" w:cs="Arial"/>
        </w:rPr>
        <w:t xml:space="preserve"> </w:t>
      </w:r>
    </w:p>
    <w:p w:rsidR="009300E5" w:rsidRPr="009300E5" w:rsidRDefault="009300E5" w:rsidP="009300E5">
      <w:pPr>
        <w:spacing w:before="240"/>
        <w:jc w:val="both"/>
        <w:rPr>
          <w:rFonts w:ascii="Book Antiqua" w:hAnsi="Book Antiqua" w:cs="Arial"/>
          <w:b/>
          <w:u w:val="single"/>
        </w:rPr>
      </w:pPr>
      <w:r>
        <w:rPr>
          <w:rFonts w:ascii="Book Antiqua" w:hAnsi="Book Antiqua" w:cs="Arial"/>
          <w:b/>
          <w:u w:val="single"/>
        </w:rPr>
        <w:t>The Reasons for the Grant of Permission to Appeal</w:t>
      </w:r>
    </w:p>
    <w:p w:rsidR="009300E5" w:rsidRDefault="003056A5" w:rsidP="006E3C90">
      <w:pPr>
        <w:numPr>
          <w:ilvl w:val="0"/>
          <w:numId w:val="3"/>
        </w:numPr>
        <w:spacing w:before="240"/>
        <w:jc w:val="both"/>
        <w:rPr>
          <w:rFonts w:ascii="Book Antiqua" w:hAnsi="Book Antiqua" w:cs="Arial"/>
        </w:rPr>
      </w:pPr>
      <w:r>
        <w:rPr>
          <w:rFonts w:ascii="Book Antiqua" w:hAnsi="Book Antiqua" w:cs="Arial"/>
        </w:rPr>
        <w:t>Permission to appeal was refused by First-tier Tribunal Farrelly because, in her view, no error of law was demonstrated</w:t>
      </w:r>
      <w:r w:rsidRPr="003056A5">
        <w:rPr>
          <w:rFonts w:ascii="Book Antiqua" w:hAnsi="Book Antiqua" w:cs="Arial"/>
          <w:i/>
        </w:rPr>
        <w:t>: “The decision demonstrates an awareness of the different aspects of the claim and</w:t>
      </w:r>
      <w:r>
        <w:rPr>
          <w:rFonts w:ascii="Book Antiqua" w:hAnsi="Book Antiqua" w:cs="Arial"/>
          <w:i/>
        </w:rPr>
        <w:t xml:space="preserve"> this is cross-referenced with </w:t>
      </w:r>
      <w:r w:rsidRPr="003056A5">
        <w:rPr>
          <w:rFonts w:ascii="Book Antiqua" w:hAnsi="Book Antiqua" w:cs="Arial"/>
          <w:i/>
        </w:rPr>
        <w:t>the country expert report.”</w:t>
      </w:r>
      <w:r>
        <w:rPr>
          <w:rFonts w:ascii="Book Antiqua" w:hAnsi="Book Antiqua" w:cs="Arial"/>
        </w:rPr>
        <w:t xml:space="preserve"> However, on </w:t>
      </w:r>
      <w:r>
        <w:rPr>
          <w:rFonts w:ascii="Book Antiqua" w:hAnsi="Book Antiqua" w:cs="Arial"/>
        </w:rPr>
        <w:lastRenderedPageBreak/>
        <w:t>12 January 2018 Deputy Upper Tribunal Judge Chamberlain granted permission to appeal for the following reasons:</w:t>
      </w:r>
      <w:r w:rsidR="009300E5">
        <w:rPr>
          <w:rFonts w:ascii="Book Antiqua" w:hAnsi="Book Antiqua" w:cs="Arial"/>
        </w:rPr>
        <w:t xml:space="preserve"> </w:t>
      </w:r>
    </w:p>
    <w:p w:rsidR="006C426C" w:rsidRPr="003056A5" w:rsidRDefault="003056A5" w:rsidP="003056A5">
      <w:pPr>
        <w:spacing w:before="240"/>
        <w:ind w:left="1134"/>
        <w:jc w:val="both"/>
        <w:rPr>
          <w:rFonts w:ascii="Book Antiqua" w:hAnsi="Book Antiqua" w:cs="Arial"/>
          <w:sz w:val="20"/>
          <w:szCs w:val="20"/>
        </w:rPr>
      </w:pPr>
      <w:r>
        <w:rPr>
          <w:rFonts w:ascii="Book Antiqua" w:hAnsi="Book Antiqua" w:cs="Arial"/>
          <w:sz w:val="20"/>
          <w:szCs w:val="20"/>
        </w:rPr>
        <w:t xml:space="preserve">“It is arguable that the Judge has failed fully to consider the Appellant’s claim, </w:t>
      </w:r>
      <w:proofErr w:type="gramStart"/>
      <w:r>
        <w:rPr>
          <w:rFonts w:ascii="Book Antiqua" w:hAnsi="Book Antiqua" w:cs="Arial"/>
          <w:sz w:val="20"/>
          <w:szCs w:val="20"/>
        </w:rPr>
        <w:t>in particular the</w:t>
      </w:r>
      <w:proofErr w:type="gramEnd"/>
      <w:r>
        <w:rPr>
          <w:rFonts w:ascii="Book Antiqua" w:hAnsi="Book Antiqua" w:cs="Arial"/>
          <w:sz w:val="20"/>
          <w:szCs w:val="20"/>
        </w:rPr>
        <w:t xml:space="preserve"> risk posed as a result of the Appellant’s brother’s political activities, and his brother’s grant of asylum. It is arguable that he has erred in failing to consider paragraph 339K given that he appears to find that the Appellant has been kidnapped before.” </w:t>
      </w:r>
    </w:p>
    <w:p w:rsidR="0085745D" w:rsidRPr="004F7647" w:rsidRDefault="006C426C" w:rsidP="0085745D">
      <w:pPr>
        <w:spacing w:before="240"/>
        <w:jc w:val="both"/>
        <w:rPr>
          <w:rFonts w:ascii="Book Antiqua" w:hAnsi="Book Antiqua" w:cs="Arial"/>
          <w:b/>
          <w:u w:val="single"/>
        </w:rPr>
      </w:pPr>
      <w:r>
        <w:rPr>
          <w:rFonts w:ascii="Book Antiqua" w:hAnsi="Book Antiqua" w:cs="Arial"/>
          <w:b/>
          <w:u w:val="single"/>
        </w:rPr>
        <w:t>The Hearing in the Upper Tribunal</w:t>
      </w:r>
    </w:p>
    <w:p w:rsidR="00AF27AD" w:rsidRDefault="00AF27AD" w:rsidP="006E3C90">
      <w:pPr>
        <w:numPr>
          <w:ilvl w:val="0"/>
          <w:numId w:val="3"/>
        </w:numPr>
        <w:spacing w:before="240"/>
        <w:jc w:val="both"/>
        <w:rPr>
          <w:rFonts w:ascii="Book Antiqua" w:hAnsi="Book Antiqua" w:cs="Arial"/>
        </w:rPr>
      </w:pPr>
      <w:r>
        <w:rPr>
          <w:rFonts w:ascii="Book Antiqua" w:hAnsi="Book Antiqua" w:cs="Arial"/>
        </w:rPr>
        <w:t>At the hearing before me to determine whether a</w:t>
      </w:r>
      <w:r w:rsidR="003056A5">
        <w:rPr>
          <w:rFonts w:ascii="Book Antiqua" w:hAnsi="Book Antiqua" w:cs="Arial"/>
        </w:rPr>
        <w:t>n error of law was made out, Mr Walker</w:t>
      </w:r>
      <w:r w:rsidR="006C426C">
        <w:rPr>
          <w:rFonts w:ascii="Book Antiqua" w:hAnsi="Book Antiqua" w:cs="Arial"/>
        </w:rPr>
        <w:t xml:space="preserve"> conceded that the decision was erroneous and un</w:t>
      </w:r>
      <w:r w:rsidR="003056A5">
        <w:rPr>
          <w:rFonts w:ascii="Book Antiqua" w:hAnsi="Book Antiqua" w:cs="Arial"/>
        </w:rPr>
        <w:t xml:space="preserve">safe, and agreed with Ms </w:t>
      </w:r>
      <w:proofErr w:type="spellStart"/>
      <w:r w:rsidR="003056A5">
        <w:rPr>
          <w:rFonts w:ascii="Book Antiqua" w:hAnsi="Book Antiqua" w:cs="Arial"/>
        </w:rPr>
        <w:t>Iengar</w:t>
      </w:r>
      <w:proofErr w:type="spellEnd"/>
      <w:r w:rsidR="006C426C">
        <w:rPr>
          <w:rFonts w:ascii="Book Antiqua" w:hAnsi="Book Antiqua" w:cs="Arial"/>
        </w:rPr>
        <w:t xml:space="preserve"> that the appeal should be remitted </w:t>
      </w:r>
      <w:r w:rsidR="00B8123B">
        <w:rPr>
          <w:rFonts w:ascii="Book Antiqua" w:hAnsi="Book Antiqua" w:cs="Arial"/>
        </w:rPr>
        <w:t xml:space="preserve">to the First-tier Tribunal </w:t>
      </w:r>
      <w:r w:rsidR="006C426C">
        <w:rPr>
          <w:rFonts w:ascii="Book Antiqua" w:hAnsi="Book Antiqua" w:cs="Arial"/>
        </w:rPr>
        <w:t>for a</w:t>
      </w:r>
      <w:r w:rsidR="003056A5">
        <w:rPr>
          <w:rFonts w:ascii="Book Antiqua" w:hAnsi="Book Antiqua" w:cs="Arial"/>
        </w:rPr>
        <w:t xml:space="preserve"> de novo hearing. </w:t>
      </w:r>
      <w:r>
        <w:rPr>
          <w:rFonts w:ascii="Book Antiqua" w:hAnsi="Book Antiqua" w:cs="Arial"/>
        </w:rPr>
        <w:t xml:space="preserve"> </w:t>
      </w:r>
    </w:p>
    <w:p w:rsidR="002C562B" w:rsidRPr="002C562B" w:rsidRDefault="002C562B" w:rsidP="002C562B">
      <w:pPr>
        <w:spacing w:before="240"/>
        <w:jc w:val="both"/>
        <w:rPr>
          <w:rFonts w:ascii="Book Antiqua" w:hAnsi="Book Antiqua" w:cs="Arial"/>
          <w:b/>
          <w:u w:val="single"/>
        </w:rPr>
      </w:pPr>
      <w:r>
        <w:rPr>
          <w:rFonts w:ascii="Book Antiqua" w:hAnsi="Book Antiqua" w:cs="Arial"/>
          <w:b/>
          <w:u w:val="single"/>
        </w:rPr>
        <w:t>Discussion</w:t>
      </w:r>
    </w:p>
    <w:p w:rsidR="00B8123B" w:rsidRDefault="003056A5" w:rsidP="006E3C90">
      <w:pPr>
        <w:numPr>
          <w:ilvl w:val="0"/>
          <w:numId w:val="3"/>
        </w:numPr>
        <w:spacing w:before="240"/>
        <w:jc w:val="both"/>
        <w:rPr>
          <w:rFonts w:ascii="Book Antiqua" w:hAnsi="Book Antiqua" w:cs="Arial"/>
        </w:rPr>
      </w:pPr>
      <w:r>
        <w:rPr>
          <w:rFonts w:ascii="Book Antiqua" w:hAnsi="Book Antiqua" w:cs="Arial"/>
        </w:rPr>
        <w:t>The stance taken by Mr Walker is</w:t>
      </w:r>
      <w:r w:rsidR="002C562B">
        <w:rPr>
          <w:rFonts w:ascii="Book Antiqua" w:hAnsi="Book Antiqua" w:cs="Arial"/>
        </w:rPr>
        <w:t xml:space="preserve"> not determinative of the ques</w:t>
      </w:r>
      <w:r>
        <w:rPr>
          <w:rFonts w:ascii="Book Antiqua" w:hAnsi="Book Antiqua" w:cs="Arial"/>
        </w:rPr>
        <w:t>tion whether an error of law is made out</w:t>
      </w:r>
      <w:r w:rsidR="00B8123B">
        <w:rPr>
          <w:rFonts w:ascii="Book Antiqua" w:hAnsi="Book Antiqua" w:cs="Arial"/>
        </w:rPr>
        <w:t xml:space="preserve">. My own provisional view was that there was considerable merit in the stance taken by Judge Farrelly, and this view was reinforced by Ms </w:t>
      </w:r>
      <w:proofErr w:type="spellStart"/>
      <w:r w:rsidR="00B8123B">
        <w:rPr>
          <w:rFonts w:ascii="Book Antiqua" w:hAnsi="Book Antiqua" w:cs="Arial"/>
        </w:rPr>
        <w:t>Iengar’s</w:t>
      </w:r>
      <w:proofErr w:type="spellEnd"/>
      <w:r w:rsidR="00B8123B">
        <w:rPr>
          <w:rFonts w:ascii="Book Antiqua" w:hAnsi="Book Antiqua" w:cs="Arial"/>
        </w:rPr>
        <w:t xml:space="preserve"> acknowledgement that the Judge had adequately engaged with the country expert report of Dr </w:t>
      </w:r>
      <w:proofErr w:type="spellStart"/>
      <w:r w:rsidR="00B8123B">
        <w:rPr>
          <w:rFonts w:ascii="Book Antiqua" w:hAnsi="Book Antiqua" w:cs="Arial"/>
        </w:rPr>
        <w:t>Guistozzi</w:t>
      </w:r>
      <w:proofErr w:type="spellEnd"/>
      <w:r w:rsidR="00B8123B">
        <w:rPr>
          <w:rFonts w:ascii="Book Antiqua" w:hAnsi="Book Antiqua" w:cs="Arial"/>
        </w:rPr>
        <w:t>. Accordingly, I reserved my decision, as I needed to reflect on whether Mr Walker’s</w:t>
      </w:r>
      <w:r w:rsidR="002C562B">
        <w:rPr>
          <w:rFonts w:ascii="Book Antiqua" w:hAnsi="Book Antiqua" w:cs="Arial"/>
        </w:rPr>
        <w:t xml:space="preserve"> concession was justified. </w:t>
      </w:r>
    </w:p>
    <w:p w:rsidR="00F82E98" w:rsidRDefault="00B8123B" w:rsidP="006E3C90">
      <w:pPr>
        <w:numPr>
          <w:ilvl w:val="0"/>
          <w:numId w:val="3"/>
        </w:numPr>
        <w:spacing w:before="240"/>
        <w:jc w:val="both"/>
        <w:rPr>
          <w:rFonts w:ascii="Book Antiqua" w:hAnsi="Book Antiqua" w:cs="Arial"/>
        </w:rPr>
      </w:pPr>
      <w:r>
        <w:rPr>
          <w:rFonts w:ascii="Book Antiqua" w:hAnsi="Book Antiqua" w:cs="Arial"/>
        </w:rPr>
        <w:t xml:space="preserve">Having reflected on the grounds of appeal advanced by Ms </w:t>
      </w:r>
      <w:proofErr w:type="spellStart"/>
      <w:r>
        <w:rPr>
          <w:rFonts w:ascii="Book Antiqua" w:hAnsi="Book Antiqua" w:cs="Arial"/>
        </w:rPr>
        <w:t>Iengar</w:t>
      </w:r>
      <w:proofErr w:type="spellEnd"/>
      <w:r>
        <w:rPr>
          <w:rFonts w:ascii="Book Antiqua" w:hAnsi="Book Antiqua" w:cs="Arial"/>
        </w:rPr>
        <w:t xml:space="preserve">, </w:t>
      </w:r>
      <w:r w:rsidR="002C562B">
        <w:rPr>
          <w:rFonts w:ascii="Book Antiqua" w:hAnsi="Book Antiqua" w:cs="Arial"/>
        </w:rPr>
        <w:t xml:space="preserve">I </w:t>
      </w:r>
      <w:r>
        <w:rPr>
          <w:rFonts w:ascii="Book Antiqua" w:hAnsi="Book Antiqua" w:cs="Arial"/>
        </w:rPr>
        <w:t xml:space="preserve">am persuaded that the Judge failed to make a clear finding on a crucial issue, which is whether </w:t>
      </w:r>
      <w:r w:rsidR="00782346">
        <w:rPr>
          <w:rFonts w:ascii="Book Antiqua" w:hAnsi="Book Antiqua" w:cs="Arial"/>
        </w:rPr>
        <w:t xml:space="preserve">the appellant was kidnapped in his home area in </w:t>
      </w:r>
      <w:proofErr w:type="spellStart"/>
      <w:r w:rsidR="00782346">
        <w:rPr>
          <w:rFonts w:ascii="Book Antiqua" w:hAnsi="Book Antiqua" w:cs="Arial"/>
        </w:rPr>
        <w:t>Paghman</w:t>
      </w:r>
      <w:proofErr w:type="spellEnd"/>
      <w:r w:rsidR="00782346">
        <w:rPr>
          <w:rFonts w:ascii="Book Antiqua" w:hAnsi="Book Antiqua" w:cs="Arial"/>
        </w:rPr>
        <w:t xml:space="preserve"> district, Kabul province, on 7 March 2011 by M, a local strongman, who is the nephew of U</w:t>
      </w:r>
      <w:r w:rsidR="00625CA2">
        <w:rPr>
          <w:rFonts w:ascii="Book Antiqua" w:hAnsi="Book Antiqua" w:cs="Arial"/>
        </w:rPr>
        <w:t>R</w:t>
      </w:r>
      <w:r w:rsidR="00782346">
        <w:rPr>
          <w:rFonts w:ascii="Book Antiqua" w:hAnsi="Book Antiqua" w:cs="Arial"/>
        </w:rPr>
        <w:t xml:space="preserve">, </w:t>
      </w:r>
      <w:r w:rsidR="00782346">
        <w:rPr>
          <w:rFonts w:ascii="Book Antiqua" w:hAnsi="Book Antiqua" w:cs="Arial"/>
          <w:i/>
        </w:rPr>
        <w:t xml:space="preserve">“a Pashtun warlord…and the new Head of Council for Protection and Stability in Afghanistan”, </w:t>
      </w:r>
      <w:r w:rsidR="00782346">
        <w:rPr>
          <w:rFonts w:ascii="Book Antiqua" w:hAnsi="Book Antiqua" w:cs="Arial"/>
        </w:rPr>
        <w:t>according to an external source cited at paragraph [12] of the refusal decision.</w:t>
      </w:r>
      <w:r w:rsidR="000B4EC7">
        <w:rPr>
          <w:rFonts w:ascii="Book Antiqua" w:hAnsi="Book Antiqua" w:cs="Arial"/>
        </w:rPr>
        <w:t xml:space="preserve"> </w:t>
      </w:r>
    </w:p>
    <w:p w:rsidR="00782346" w:rsidRDefault="000B4EC7" w:rsidP="006E3C90">
      <w:pPr>
        <w:numPr>
          <w:ilvl w:val="0"/>
          <w:numId w:val="3"/>
        </w:numPr>
        <w:spacing w:before="240"/>
        <w:jc w:val="both"/>
        <w:rPr>
          <w:rFonts w:ascii="Book Antiqua" w:hAnsi="Book Antiqua" w:cs="Arial"/>
        </w:rPr>
      </w:pPr>
      <w:r>
        <w:rPr>
          <w:rFonts w:ascii="Book Antiqua" w:hAnsi="Book Antiqua" w:cs="Arial"/>
        </w:rPr>
        <w:t>According to the appellant, the motive for the kidnapping –</w:t>
      </w:r>
      <w:r w:rsidR="00F82E98">
        <w:rPr>
          <w:rFonts w:ascii="Book Antiqua" w:hAnsi="Book Antiqua" w:cs="Arial"/>
        </w:rPr>
        <w:t xml:space="preserve"> or </w:t>
      </w:r>
      <w:r w:rsidR="00C3797C">
        <w:rPr>
          <w:rFonts w:ascii="Book Antiqua" w:hAnsi="Book Antiqua" w:cs="Arial"/>
        </w:rPr>
        <w:t xml:space="preserve">at least </w:t>
      </w:r>
      <w:r w:rsidR="00F82E98">
        <w:rPr>
          <w:rFonts w:ascii="Book Antiqua" w:hAnsi="Book Antiqua" w:cs="Arial"/>
        </w:rPr>
        <w:t>the main one</w:t>
      </w:r>
      <w:r w:rsidR="00C3797C">
        <w:rPr>
          <w:rFonts w:ascii="Book Antiqua" w:hAnsi="Book Antiqua" w:cs="Arial"/>
        </w:rPr>
        <w:t xml:space="preserve"> </w:t>
      </w:r>
      <w:r>
        <w:rPr>
          <w:rFonts w:ascii="Book Antiqua" w:hAnsi="Book Antiqua" w:cs="Arial"/>
        </w:rPr>
        <w:t xml:space="preserve">- was to resolve a land dispute: he </w:t>
      </w:r>
      <w:r w:rsidR="00F82E98">
        <w:rPr>
          <w:rFonts w:ascii="Book Antiqua" w:hAnsi="Book Antiqua" w:cs="Arial"/>
        </w:rPr>
        <w:t xml:space="preserve">says he </w:t>
      </w:r>
      <w:r>
        <w:rPr>
          <w:rFonts w:ascii="Book Antiqua" w:hAnsi="Book Antiqua" w:cs="Arial"/>
        </w:rPr>
        <w:t xml:space="preserve">was released back to his family after they had signed over </w:t>
      </w:r>
      <w:r w:rsidR="00C3797C">
        <w:rPr>
          <w:rFonts w:ascii="Book Antiqua" w:hAnsi="Book Antiqua" w:cs="Arial"/>
        </w:rPr>
        <w:t xml:space="preserve">to M </w:t>
      </w:r>
      <w:r>
        <w:rPr>
          <w:rFonts w:ascii="Book Antiqua" w:hAnsi="Book Antiqua" w:cs="Arial"/>
        </w:rPr>
        <w:t>the deeds to the disputed land</w:t>
      </w:r>
      <w:r w:rsidR="00C3797C">
        <w:rPr>
          <w:rFonts w:ascii="Book Antiqua" w:hAnsi="Book Antiqua" w:cs="Arial"/>
        </w:rPr>
        <w:t xml:space="preserve">, and </w:t>
      </w:r>
      <w:r w:rsidR="00247EA6">
        <w:rPr>
          <w:rFonts w:ascii="Book Antiqua" w:hAnsi="Book Antiqua" w:cs="Arial"/>
        </w:rPr>
        <w:t xml:space="preserve">after they </w:t>
      </w:r>
      <w:r w:rsidR="00C3797C">
        <w:rPr>
          <w:rFonts w:ascii="Book Antiqua" w:hAnsi="Book Antiqua" w:cs="Arial"/>
        </w:rPr>
        <w:t xml:space="preserve">had </w:t>
      </w:r>
      <w:r w:rsidR="00247EA6">
        <w:rPr>
          <w:rFonts w:ascii="Book Antiqua" w:hAnsi="Book Antiqua" w:cs="Arial"/>
        </w:rPr>
        <w:t xml:space="preserve">also </w:t>
      </w:r>
      <w:r w:rsidR="00C3797C">
        <w:rPr>
          <w:rFonts w:ascii="Book Antiqua" w:hAnsi="Book Antiqua" w:cs="Arial"/>
        </w:rPr>
        <w:t xml:space="preserve">signed a fictitious sale agreement conveying the false message that M had purchased the land for valuable consideration, when </w:t>
      </w:r>
      <w:proofErr w:type="gramStart"/>
      <w:r w:rsidR="00C3797C">
        <w:rPr>
          <w:rFonts w:ascii="Book Antiqua" w:hAnsi="Book Antiqua" w:cs="Arial"/>
        </w:rPr>
        <w:t xml:space="preserve">in reality </w:t>
      </w:r>
      <w:r w:rsidR="00063AB9">
        <w:rPr>
          <w:rFonts w:ascii="Book Antiqua" w:hAnsi="Book Antiqua" w:cs="Arial"/>
        </w:rPr>
        <w:t>he</w:t>
      </w:r>
      <w:proofErr w:type="gramEnd"/>
      <w:r w:rsidR="00063AB9">
        <w:rPr>
          <w:rFonts w:ascii="Book Antiqua" w:hAnsi="Book Antiqua" w:cs="Arial"/>
        </w:rPr>
        <w:t xml:space="preserve"> had obtained it for free</w:t>
      </w:r>
      <w:r w:rsidR="00C3797C">
        <w:rPr>
          <w:rFonts w:ascii="Book Antiqua" w:hAnsi="Book Antiqua" w:cs="Arial"/>
        </w:rPr>
        <w:t xml:space="preserve"> by holding the appellant to ransom.</w:t>
      </w:r>
    </w:p>
    <w:p w:rsidR="00C3797C" w:rsidRDefault="00782346" w:rsidP="006E3C90">
      <w:pPr>
        <w:numPr>
          <w:ilvl w:val="0"/>
          <w:numId w:val="3"/>
        </w:numPr>
        <w:spacing w:before="240"/>
        <w:jc w:val="both"/>
        <w:rPr>
          <w:rFonts w:ascii="Book Antiqua" w:hAnsi="Book Antiqua" w:cs="Arial"/>
        </w:rPr>
      </w:pPr>
      <w:r>
        <w:rPr>
          <w:rFonts w:ascii="Book Antiqua" w:hAnsi="Book Antiqua" w:cs="Arial"/>
        </w:rPr>
        <w:t>At [47] Judge Wylie held that it was plausible that the appellant had been kidnapped in view of his older brother’s</w:t>
      </w:r>
      <w:r>
        <w:rPr>
          <w:rFonts w:ascii="Book Antiqua" w:hAnsi="Book Antiqua" w:cs="Arial"/>
          <w:i/>
        </w:rPr>
        <w:t xml:space="preserve"> </w:t>
      </w:r>
      <w:r w:rsidR="003644FC">
        <w:rPr>
          <w:rFonts w:ascii="Book Antiqua" w:hAnsi="Book Antiqua" w:cs="Arial"/>
        </w:rPr>
        <w:t xml:space="preserve">successful </w:t>
      </w:r>
      <w:r>
        <w:rPr>
          <w:rFonts w:ascii="Book Antiqua" w:hAnsi="Book Antiqua" w:cs="Arial"/>
        </w:rPr>
        <w:t xml:space="preserve">claim </w:t>
      </w:r>
      <w:r w:rsidR="003644FC">
        <w:rPr>
          <w:rFonts w:ascii="Book Antiqua" w:hAnsi="Book Antiqua" w:cs="Arial"/>
        </w:rPr>
        <w:t xml:space="preserve">for political asylum </w:t>
      </w:r>
      <w:r>
        <w:rPr>
          <w:rFonts w:ascii="Book Antiqua" w:hAnsi="Book Antiqua" w:cs="Arial"/>
        </w:rPr>
        <w:t xml:space="preserve">in Italy, one aspect of which </w:t>
      </w:r>
      <w:r w:rsidR="003644FC">
        <w:rPr>
          <w:rFonts w:ascii="Book Antiqua" w:hAnsi="Book Antiqua" w:cs="Arial"/>
        </w:rPr>
        <w:t xml:space="preserve">was that his political activities had caused </w:t>
      </w:r>
      <w:r w:rsidR="00625CA2">
        <w:rPr>
          <w:rFonts w:ascii="Book Antiqua" w:hAnsi="Book Antiqua" w:cs="Arial"/>
        </w:rPr>
        <w:t>UR</w:t>
      </w:r>
      <w:r w:rsidR="003644FC">
        <w:rPr>
          <w:rFonts w:ascii="Book Antiqua" w:hAnsi="Book Antiqua" w:cs="Arial"/>
        </w:rPr>
        <w:t xml:space="preserve"> to become a political enemy of his. However, in paragraphs [48] to [50] Judge Wylie identified reasons for disbelieving the kidnap claim, including the fact that the appellant had not mentioned it in his screening interview in 2015.  </w:t>
      </w:r>
    </w:p>
    <w:p w:rsidR="000B4EC7" w:rsidRDefault="003644FC" w:rsidP="006E3C90">
      <w:pPr>
        <w:numPr>
          <w:ilvl w:val="0"/>
          <w:numId w:val="3"/>
        </w:numPr>
        <w:spacing w:before="240"/>
        <w:jc w:val="both"/>
        <w:rPr>
          <w:rFonts w:ascii="Book Antiqua" w:hAnsi="Book Antiqua" w:cs="Arial"/>
        </w:rPr>
      </w:pPr>
      <w:r>
        <w:rPr>
          <w:rFonts w:ascii="Book Antiqua" w:hAnsi="Book Antiqua" w:cs="Arial"/>
        </w:rPr>
        <w:t xml:space="preserve">At paragraph [56] Judge Wylie concluded that the appellant was not at serious risk from M or his men on return to Afghanistan. But at no point in his analysis did the Judge make a finding on whether M had </w:t>
      </w:r>
      <w:r w:rsidR="00F82E98">
        <w:rPr>
          <w:rFonts w:ascii="Book Antiqua" w:hAnsi="Book Antiqua" w:cs="Arial"/>
        </w:rPr>
        <w:t xml:space="preserve">in fact </w:t>
      </w:r>
      <w:r>
        <w:rPr>
          <w:rFonts w:ascii="Book Antiqua" w:hAnsi="Book Antiqua" w:cs="Arial"/>
        </w:rPr>
        <w:t xml:space="preserve">kidnapped the appellant in 2011; and, if so, the reason for the </w:t>
      </w:r>
      <w:r w:rsidR="000B4EC7">
        <w:rPr>
          <w:rFonts w:ascii="Book Antiqua" w:hAnsi="Book Antiqua" w:cs="Arial"/>
        </w:rPr>
        <w:t>kidnap</w:t>
      </w:r>
      <w:r w:rsidR="00C3797C">
        <w:rPr>
          <w:rFonts w:ascii="Book Antiqua" w:hAnsi="Book Antiqua" w:cs="Arial"/>
        </w:rPr>
        <w:t>ping</w:t>
      </w:r>
      <w:r w:rsidR="00F82E98">
        <w:rPr>
          <w:rFonts w:ascii="Book Antiqua" w:hAnsi="Book Antiqua" w:cs="Arial"/>
        </w:rPr>
        <w:t>.  Was it to</w:t>
      </w:r>
      <w:r w:rsidR="000B4EC7">
        <w:rPr>
          <w:rFonts w:ascii="Book Antiqua" w:hAnsi="Book Antiqua" w:cs="Arial"/>
        </w:rPr>
        <w:t xml:space="preserve"> get at the appellant’s brother because of his political activities </w:t>
      </w:r>
      <w:r w:rsidR="00C3797C">
        <w:rPr>
          <w:rFonts w:ascii="Book Antiqua" w:hAnsi="Book Antiqua" w:cs="Arial"/>
        </w:rPr>
        <w:t>or to resolve a</w:t>
      </w:r>
      <w:r w:rsidR="000B4EC7">
        <w:rPr>
          <w:rFonts w:ascii="Book Antiqua" w:hAnsi="Book Antiqua" w:cs="Arial"/>
        </w:rPr>
        <w:t xml:space="preserve"> </w:t>
      </w:r>
      <w:r w:rsidR="00F82E98">
        <w:rPr>
          <w:rFonts w:ascii="Book Antiqua" w:hAnsi="Book Antiqua" w:cs="Arial"/>
        </w:rPr>
        <w:t>land dispute?</w:t>
      </w:r>
      <w:r>
        <w:rPr>
          <w:rFonts w:ascii="Book Antiqua" w:hAnsi="Book Antiqua" w:cs="Arial"/>
        </w:rPr>
        <w:t xml:space="preserve"> Earlier in his analysis the Judge had </w:t>
      </w:r>
      <w:r>
        <w:rPr>
          <w:rFonts w:ascii="Book Antiqua" w:hAnsi="Book Antiqua" w:cs="Arial"/>
        </w:rPr>
        <w:lastRenderedPageBreak/>
        <w:t xml:space="preserve">highlighted the fact that the older brother </w:t>
      </w:r>
      <w:r w:rsidR="000B4EC7">
        <w:rPr>
          <w:rFonts w:ascii="Book Antiqua" w:hAnsi="Book Antiqua" w:cs="Arial"/>
        </w:rPr>
        <w:t xml:space="preserve">had not alleged in his asylum claim that he or his family had faced problems </w:t>
      </w:r>
      <w:r w:rsidR="00F82E98">
        <w:rPr>
          <w:rFonts w:ascii="Book Antiqua" w:hAnsi="Book Antiqua" w:cs="Arial"/>
        </w:rPr>
        <w:t>due to a land dispute, and he had not mentioned M as one of the family’s oppressors.</w:t>
      </w:r>
    </w:p>
    <w:p w:rsidR="00CF0CFB" w:rsidRDefault="00F82E98" w:rsidP="009639DD">
      <w:pPr>
        <w:numPr>
          <w:ilvl w:val="0"/>
          <w:numId w:val="3"/>
        </w:numPr>
        <w:spacing w:before="240"/>
        <w:jc w:val="both"/>
        <w:rPr>
          <w:rFonts w:ascii="Book Antiqua" w:hAnsi="Book Antiqua" w:cs="Arial"/>
        </w:rPr>
      </w:pPr>
      <w:r>
        <w:rPr>
          <w:rFonts w:ascii="Book Antiqua" w:hAnsi="Book Antiqua" w:cs="Arial"/>
        </w:rPr>
        <w:t>As past persecution is a potential indicator of future risk, the Judge’s failure to make a clear finding on the kidnapping claim means that the decision is unsafe and it must be set aside.</w:t>
      </w:r>
      <w:r w:rsidR="00CF0CFB">
        <w:rPr>
          <w:rFonts w:ascii="Book Antiqua" w:hAnsi="Book Antiqua" w:cs="Arial"/>
        </w:rPr>
        <w:t xml:space="preserve"> </w:t>
      </w:r>
      <w:r w:rsidR="009639DD">
        <w:rPr>
          <w:rFonts w:ascii="Book Antiqua" w:hAnsi="Book Antiqua" w:cs="Arial"/>
        </w:rPr>
        <w:t xml:space="preserve"> </w:t>
      </w:r>
    </w:p>
    <w:p w:rsidR="00625CA2" w:rsidRDefault="00625CA2" w:rsidP="00625CA2">
      <w:pPr>
        <w:jc w:val="both"/>
        <w:rPr>
          <w:rFonts w:ascii="Book Antiqua" w:hAnsi="Book Antiqua" w:cs="Arial"/>
          <w:b/>
          <w:u w:val="single"/>
        </w:rPr>
      </w:pPr>
    </w:p>
    <w:p w:rsidR="007D5D52" w:rsidRPr="007D5D52" w:rsidRDefault="002D3F95" w:rsidP="007D5D52">
      <w:pPr>
        <w:spacing w:before="240"/>
        <w:jc w:val="both"/>
        <w:rPr>
          <w:rFonts w:ascii="Book Antiqua" w:hAnsi="Book Antiqua" w:cs="Arial"/>
          <w:b/>
          <w:u w:val="single"/>
        </w:rPr>
      </w:pPr>
      <w:r>
        <w:rPr>
          <w:rFonts w:ascii="Book Antiqua" w:hAnsi="Book Antiqua" w:cs="Arial"/>
          <w:b/>
          <w:u w:val="single"/>
        </w:rPr>
        <w:t xml:space="preserve">Notice of </w:t>
      </w:r>
      <w:r w:rsidR="007D5D52" w:rsidRPr="007D5D52">
        <w:rPr>
          <w:rFonts w:ascii="Book Antiqua" w:hAnsi="Book Antiqua" w:cs="Arial"/>
          <w:b/>
          <w:u w:val="single"/>
        </w:rPr>
        <w:t xml:space="preserve">Decision </w:t>
      </w:r>
    </w:p>
    <w:p w:rsidR="005A69A3" w:rsidRPr="00143847" w:rsidRDefault="007D5D52" w:rsidP="005A69A3">
      <w:pPr>
        <w:numPr>
          <w:ilvl w:val="0"/>
          <w:numId w:val="3"/>
        </w:numPr>
        <w:spacing w:before="240"/>
        <w:jc w:val="both"/>
        <w:rPr>
          <w:rFonts w:ascii="Book Antiqua" w:hAnsi="Book Antiqua" w:cs="Arial"/>
        </w:rPr>
      </w:pPr>
      <w:r>
        <w:rPr>
          <w:rFonts w:ascii="Book Antiqua" w:hAnsi="Book Antiqua" w:cs="Arial"/>
        </w:rPr>
        <w:t xml:space="preserve">The decision of the First-tier </w:t>
      </w:r>
      <w:r w:rsidRPr="007D5D52">
        <w:rPr>
          <w:rFonts w:ascii="Book Antiqua" w:hAnsi="Book Antiqua" w:cs="Arial"/>
        </w:rPr>
        <w:t>Tribunal</w:t>
      </w:r>
      <w:r>
        <w:rPr>
          <w:rFonts w:ascii="Book Antiqua" w:hAnsi="Book Antiqua" w:cs="Arial"/>
        </w:rPr>
        <w:t xml:space="preserve"> </w:t>
      </w:r>
      <w:r w:rsidR="004E3527">
        <w:rPr>
          <w:rFonts w:ascii="Book Antiqua" w:hAnsi="Book Antiqua" w:cs="Arial"/>
        </w:rPr>
        <w:t>contain</w:t>
      </w:r>
      <w:r w:rsidR="00CF0CFB">
        <w:rPr>
          <w:rFonts w:ascii="Book Antiqua" w:hAnsi="Book Antiqua" w:cs="Arial"/>
        </w:rPr>
        <w:t>ed</w:t>
      </w:r>
      <w:r>
        <w:rPr>
          <w:rFonts w:ascii="Book Antiqua" w:hAnsi="Book Antiqua" w:cs="Arial"/>
        </w:rPr>
        <w:t xml:space="preserve"> an error of law, and accor</w:t>
      </w:r>
      <w:r w:rsidR="00CF0CFB">
        <w:rPr>
          <w:rFonts w:ascii="Book Antiqua" w:hAnsi="Book Antiqua" w:cs="Arial"/>
        </w:rPr>
        <w:t xml:space="preserve">dingly the decision </w:t>
      </w:r>
      <w:r w:rsidR="00BD36D8">
        <w:rPr>
          <w:rFonts w:ascii="Book Antiqua" w:hAnsi="Book Antiqua" w:cs="Arial"/>
        </w:rPr>
        <w:t>is set aside</w:t>
      </w:r>
      <w:r w:rsidR="00C3797C">
        <w:rPr>
          <w:rFonts w:ascii="Book Antiqua" w:hAnsi="Book Antiqua" w:cs="Arial"/>
        </w:rPr>
        <w:t>.</w:t>
      </w:r>
    </w:p>
    <w:p w:rsidR="00625CA2" w:rsidRDefault="00625CA2" w:rsidP="00625CA2">
      <w:pPr>
        <w:jc w:val="both"/>
        <w:rPr>
          <w:rFonts w:ascii="Book Antiqua" w:hAnsi="Book Antiqua" w:cs="Arial"/>
          <w:b/>
          <w:u w:val="single"/>
        </w:rPr>
      </w:pPr>
    </w:p>
    <w:p w:rsidR="00CF0CFB" w:rsidRPr="00CF0CFB" w:rsidRDefault="00CF0CFB" w:rsidP="00CF0CFB">
      <w:pPr>
        <w:spacing w:before="240"/>
        <w:jc w:val="both"/>
        <w:rPr>
          <w:rFonts w:ascii="Book Antiqua" w:hAnsi="Book Antiqua" w:cs="Arial"/>
          <w:b/>
          <w:u w:val="single"/>
        </w:rPr>
      </w:pPr>
      <w:r>
        <w:rPr>
          <w:rFonts w:ascii="Book Antiqua" w:hAnsi="Book Antiqua" w:cs="Arial"/>
          <w:b/>
          <w:u w:val="single"/>
        </w:rPr>
        <w:t>Directions</w:t>
      </w:r>
      <w:r w:rsidR="00C3797C">
        <w:rPr>
          <w:rFonts w:ascii="Book Antiqua" w:hAnsi="Book Antiqua" w:cs="Arial"/>
          <w:b/>
          <w:u w:val="single"/>
        </w:rPr>
        <w:t xml:space="preserve"> for Future Disposal</w:t>
      </w:r>
    </w:p>
    <w:p w:rsidR="00C3797C" w:rsidRDefault="00CF0CFB" w:rsidP="00C3797C">
      <w:pPr>
        <w:numPr>
          <w:ilvl w:val="0"/>
          <w:numId w:val="3"/>
        </w:numPr>
        <w:spacing w:before="240"/>
        <w:jc w:val="both"/>
        <w:rPr>
          <w:rFonts w:ascii="Book Antiqua" w:hAnsi="Book Antiqua" w:cs="Arial"/>
          <w:b/>
        </w:rPr>
      </w:pPr>
      <w:r w:rsidRPr="00C3797C">
        <w:rPr>
          <w:rFonts w:ascii="Book Antiqua" w:hAnsi="Book Antiqua" w:cs="Arial"/>
          <w:b/>
        </w:rPr>
        <w:t xml:space="preserve">The appeal is remitted to the First-tier Tribunal at Hatton Cross for a de </w:t>
      </w:r>
      <w:r w:rsidR="00C3797C" w:rsidRPr="00C3797C">
        <w:rPr>
          <w:rFonts w:ascii="Book Antiqua" w:hAnsi="Book Antiqua" w:cs="Arial"/>
          <w:b/>
        </w:rPr>
        <w:t>novo hearing (Judge Wylie</w:t>
      </w:r>
      <w:r w:rsidRPr="00C3797C">
        <w:rPr>
          <w:rFonts w:ascii="Book Antiqua" w:hAnsi="Book Antiqua" w:cs="Arial"/>
          <w:b/>
        </w:rPr>
        <w:t xml:space="preserve"> not compatible).</w:t>
      </w:r>
      <w:r w:rsidR="00C3797C" w:rsidRPr="00C3797C">
        <w:rPr>
          <w:rFonts w:ascii="Book Antiqua" w:hAnsi="Book Antiqua" w:cs="Arial"/>
          <w:b/>
        </w:rPr>
        <w:t xml:space="preserve"> </w:t>
      </w:r>
    </w:p>
    <w:p w:rsidR="00C3797C" w:rsidRPr="00C3797C" w:rsidRDefault="00C3797C" w:rsidP="00C3797C">
      <w:pPr>
        <w:numPr>
          <w:ilvl w:val="0"/>
          <w:numId w:val="3"/>
        </w:numPr>
        <w:spacing w:before="240"/>
        <w:jc w:val="both"/>
        <w:rPr>
          <w:rFonts w:ascii="Book Antiqua" w:hAnsi="Book Antiqua" w:cs="Arial"/>
          <w:b/>
        </w:rPr>
      </w:pPr>
      <w:r w:rsidRPr="00C3797C">
        <w:rPr>
          <w:rFonts w:ascii="Book Antiqua" w:hAnsi="Book Antiqua" w:cs="Arial"/>
          <w:b/>
        </w:rPr>
        <w:t>None of the findings of fact made by Judge Wylie shall be preserved.</w:t>
      </w:r>
    </w:p>
    <w:p w:rsidR="00C3797C" w:rsidRPr="00C3797C" w:rsidRDefault="00C3797C" w:rsidP="00C3797C">
      <w:pPr>
        <w:spacing w:before="240"/>
        <w:jc w:val="both"/>
        <w:rPr>
          <w:rFonts w:ascii="Book Antiqua" w:hAnsi="Book Antiqua" w:cs="Arial"/>
        </w:rPr>
      </w:pPr>
    </w:p>
    <w:p w:rsidR="00F75242" w:rsidRDefault="00F75242" w:rsidP="000C5BE7">
      <w:pPr>
        <w:jc w:val="both"/>
        <w:rPr>
          <w:rFonts w:ascii="Book Antiqua" w:hAnsi="Book Antiqua" w:cs="Arial"/>
          <w:b/>
          <w:u w:val="single"/>
        </w:rPr>
      </w:pPr>
    </w:p>
    <w:p w:rsidR="000C5BE7" w:rsidRPr="00E03927" w:rsidRDefault="000C5BE7" w:rsidP="000C5BE7">
      <w:pPr>
        <w:jc w:val="both"/>
        <w:rPr>
          <w:rFonts w:ascii="Book Antiqua" w:hAnsi="Book Antiqua" w:cs="Arial"/>
        </w:rPr>
      </w:pPr>
      <w:bookmarkStart w:id="1" w:name="_GoBack"/>
      <w:bookmarkEnd w:id="1"/>
      <w:r w:rsidRPr="00E03927">
        <w:rPr>
          <w:rFonts w:ascii="Book Antiqua" w:hAnsi="Book Antiqua" w:cs="Arial"/>
          <w:b/>
          <w:u w:val="single"/>
        </w:rPr>
        <w:t>Direction Regarding Anonymity – Rule 14 of the Tribunal Procedure (Upper Tribunal) Rules 2008</w:t>
      </w:r>
    </w:p>
    <w:p w:rsidR="000C5BE7" w:rsidRPr="00E03927" w:rsidRDefault="000C5BE7" w:rsidP="000C5BE7">
      <w:pPr>
        <w:jc w:val="both"/>
        <w:rPr>
          <w:rFonts w:ascii="Book Antiqua" w:hAnsi="Book Antiqua" w:cs="Arial"/>
        </w:rPr>
      </w:pPr>
    </w:p>
    <w:p w:rsidR="000C5BE7" w:rsidRPr="00687601" w:rsidRDefault="000C5BE7" w:rsidP="000C5BE7">
      <w:pPr>
        <w:jc w:val="both"/>
        <w:rPr>
          <w:rFonts w:ascii="Book Antiqua" w:hAnsi="Book Antiqua" w:cs="Arial"/>
        </w:rPr>
      </w:pPr>
      <w:r w:rsidRPr="00E03927">
        <w:rPr>
          <w:rFonts w:ascii="Book Antiqua" w:hAnsi="Book Antiqua" w:cs="Arial"/>
        </w:rPr>
        <w:t xml:space="preserve">Unless and </w:t>
      </w:r>
      <w:r w:rsidRPr="00E03927">
        <w:rPr>
          <w:rFonts w:ascii="Book Antiqua" w:hAnsi="Book Antiqua"/>
        </w:rPr>
        <w:t xml:space="preserve">until a Tribunal or court directs otherwise, the </w:t>
      </w:r>
      <w:r>
        <w:rPr>
          <w:rFonts w:ascii="Book Antiqua" w:hAnsi="Book Antiqua"/>
        </w:rPr>
        <w:t>a</w:t>
      </w:r>
      <w:r w:rsidRPr="00E03927">
        <w:rPr>
          <w:rFonts w:ascii="Book Antiqua" w:hAnsi="Book Antiqua"/>
        </w:rPr>
        <w:t>ppellant</w:t>
      </w:r>
      <w:r>
        <w:rPr>
          <w:rFonts w:ascii="Book Antiqua" w:hAnsi="Book Antiqua"/>
        </w:rPr>
        <w:t xml:space="preserve"> is</w:t>
      </w:r>
      <w:r w:rsidRPr="00E03927">
        <w:rPr>
          <w:rFonts w:ascii="Book Antiqua" w:hAnsi="Book Antiqua"/>
        </w:rPr>
        <w:t xml:space="preserve"> granted anonymity.  No report of these proceedings shall dir</w:t>
      </w:r>
      <w:r>
        <w:rPr>
          <w:rFonts w:ascii="Book Antiqua" w:hAnsi="Book Antiqua"/>
        </w:rPr>
        <w:t>ectly or indirectly identify him or any member of his</w:t>
      </w:r>
      <w:r w:rsidRPr="00E03927">
        <w:rPr>
          <w:rFonts w:ascii="Book Antiqua" w:hAnsi="Book Antiqua"/>
        </w:rPr>
        <w:t xml:space="preserve"> family.  This direction applies both to the </w:t>
      </w:r>
      <w:r>
        <w:rPr>
          <w:rFonts w:ascii="Book Antiqua" w:hAnsi="Book Antiqua"/>
        </w:rPr>
        <w:t>a</w:t>
      </w:r>
      <w:r w:rsidRPr="00E03927">
        <w:rPr>
          <w:rFonts w:ascii="Book Antiqua" w:hAnsi="Book Antiqua"/>
        </w:rPr>
        <w:t xml:space="preserve">ppellant and to the </w:t>
      </w:r>
      <w:r>
        <w:rPr>
          <w:rFonts w:ascii="Book Antiqua" w:hAnsi="Book Antiqua"/>
        </w:rPr>
        <w:t>r</w:t>
      </w:r>
      <w:r w:rsidRPr="00E03927">
        <w:rPr>
          <w:rFonts w:ascii="Book Antiqua" w:hAnsi="Book Antiqua"/>
        </w:rPr>
        <w:t>espondent.  Failure to comply with this direction could lead to contempt of court proceedings.</w:t>
      </w:r>
    </w:p>
    <w:p w:rsidR="004E3527" w:rsidRDefault="004E3527" w:rsidP="00334995">
      <w:pPr>
        <w:spacing w:before="240"/>
        <w:jc w:val="both"/>
        <w:rPr>
          <w:rFonts w:ascii="Book Antiqua" w:hAnsi="Book Antiqua" w:cs="Arial"/>
        </w:rPr>
      </w:pPr>
    </w:p>
    <w:p w:rsidR="00F756BA" w:rsidRDefault="00F756BA" w:rsidP="00F756BA">
      <w:pPr>
        <w:jc w:val="both"/>
        <w:rPr>
          <w:rFonts w:ascii="Book Antiqua" w:hAnsi="Book Antiqua" w:cs="Arial"/>
        </w:rPr>
      </w:pPr>
    </w:p>
    <w:p w:rsidR="00F756BA" w:rsidRDefault="00F756BA" w:rsidP="00F756BA">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C3797C">
        <w:rPr>
          <w:rFonts w:ascii="Book Antiqua" w:hAnsi="Book Antiqua" w:cs="Arial"/>
        </w:rPr>
        <w:t>Date:  3 July</w:t>
      </w:r>
      <w:r>
        <w:rPr>
          <w:rFonts w:ascii="Book Antiqua" w:hAnsi="Book Antiqua" w:cs="Arial"/>
        </w:rPr>
        <w:t xml:space="preserve"> 2018</w:t>
      </w:r>
    </w:p>
    <w:p w:rsidR="00F756BA" w:rsidRDefault="00F756BA" w:rsidP="00F756BA">
      <w:pPr>
        <w:jc w:val="both"/>
        <w:rPr>
          <w:rFonts w:ascii="Book Antiqua" w:hAnsi="Book Antiqua" w:cs="Arial"/>
        </w:rPr>
      </w:pPr>
    </w:p>
    <w:p w:rsidR="00F756BA" w:rsidRDefault="00F756BA" w:rsidP="00F756BA">
      <w:pPr>
        <w:jc w:val="both"/>
        <w:rPr>
          <w:rFonts w:ascii="Book Antiqua" w:hAnsi="Book Antiqua" w:cs="Arial"/>
        </w:rPr>
      </w:pPr>
    </w:p>
    <w:p w:rsidR="00F756BA" w:rsidRDefault="00F756BA" w:rsidP="00F756BA">
      <w:pPr>
        <w:jc w:val="both"/>
        <w:rPr>
          <w:rFonts w:ascii="Book Antiqua" w:hAnsi="Book Antiqua" w:cs="Arial"/>
        </w:rPr>
      </w:pPr>
      <w:r>
        <w:rPr>
          <w:rFonts w:ascii="Book Antiqua" w:hAnsi="Book Antiqua" w:cs="Arial"/>
        </w:rPr>
        <w:t>Judge Monson</w:t>
      </w:r>
    </w:p>
    <w:p w:rsidR="00F756BA" w:rsidRDefault="00F756BA" w:rsidP="00F756BA">
      <w:pPr>
        <w:jc w:val="both"/>
        <w:rPr>
          <w:rFonts w:ascii="Book Antiqua" w:hAnsi="Book Antiqua" w:cs="Arial"/>
        </w:rPr>
      </w:pPr>
    </w:p>
    <w:p w:rsidR="00F756BA" w:rsidRDefault="00F756BA" w:rsidP="00F756BA">
      <w:pPr>
        <w:jc w:val="both"/>
        <w:rPr>
          <w:rFonts w:ascii="Book Antiqua" w:hAnsi="Book Antiqua" w:cs="Arial"/>
        </w:rPr>
      </w:pPr>
      <w:r>
        <w:rPr>
          <w:rFonts w:ascii="Book Antiqua" w:hAnsi="Book Antiqua" w:cs="Arial"/>
        </w:rPr>
        <w:t>Deputy Upper Tribunal Judge</w:t>
      </w:r>
    </w:p>
    <w:p w:rsidR="005B7789" w:rsidRPr="00F5664C" w:rsidRDefault="005B7789" w:rsidP="000369F5">
      <w:pPr>
        <w:tabs>
          <w:tab w:val="left" w:pos="2520"/>
        </w:tabs>
        <w:jc w:val="both"/>
        <w:rPr>
          <w:rFonts w:ascii="Book Antiqua" w:hAnsi="Book Antiqua" w:cs="Arial"/>
        </w:rPr>
      </w:pPr>
    </w:p>
    <w:sectPr w:rsidR="005B7789" w:rsidRPr="00F5664C" w:rsidSect="00625CA2">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BB7" w:rsidRDefault="00CB6BB7">
      <w:r>
        <w:separator/>
      </w:r>
    </w:p>
  </w:endnote>
  <w:endnote w:type="continuationSeparator" w:id="0">
    <w:p w:rsidR="00CB6BB7" w:rsidRDefault="00CB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E00" w:rsidRPr="00625CA2" w:rsidRDefault="00B00E00" w:rsidP="00593795">
    <w:pPr>
      <w:pStyle w:val="Footer"/>
      <w:jc w:val="center"/>
      <w:rPr>
        <w:rFonts w:ascii="Book Antiqua" w:hAnsi="Book Antiqua" w:cs="Arial"/>
      </w:rPr>
    </w:pPr>
    <w:r w:rsidRPr="00625CA2">
      <w:rPr>
        <w:rStyle w:val="PageNumber"/>
        <w:rFonts w:ascii="Book Antiqua" w:hAnsi="Book Antiqua" w:cs="Arial"/>
      </w:rPr>
      <w:fldChar w:fldCharType="begin"/>
    </w:r>
    <w:r w:rsidRPr="00625CA2">
      <w:rPr>
        <w:rStyle w:val="PageNumber"/>
        <w:rFonts w:ascii="Book Antiqua" w:hAnsi="Book Antiqua" w:cs="Arial"/>
      </w:rPr>
      <w:instrText xml:space="preserve"> PAGE </w:instrText>
    </w:r>
    <w:r w:rsidRPr="00625CA2">
      <w:rPr>
        <w:rStyle w:val="PageNumber"/>
        <w:rFonts w:ascii="Book Antiqua" w:hAnsi="Book Antiqua" w:cs="Arial"/>
      </w:rPr>
      <w:fldChar w:fldCharType="separate"/>
    </w:r>
    <w:r w:rsidR="0057535E">
      <w:rPr>
        <w:rStyle w:val="PageNumber"/>
        <w:rFonts w:ascii="Book Antiqua" w:hAnsi="Book Antiqua" w:cs="Arial"/>
        <w:noProof/>
      </w:rPr>
      <w:t>3</w:t>
    </w:r>
    <w:r w:rsidRPr="00625CA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E00" w:rsidRPr="00F5664C" w:rsidRDefault="00B00E00" w:rsidP="00842418">
    <w:pPr>
      <w:jc w:val="center"/>
      <w:rPr>
        <w:rFonts w:ascii="Book Antiqua" w:hAnsi="Book Antiqua" w:cs="Arial"/>
        <w:b/>
      </w:rPr>
    </w:pPr>
    <w:r w:rsidRPr="00F5664C">
      <w:rPr>
        <w:rFonts w:ascii="Book Antiqua" w:hAnsi="Book Antiqua" w:cs="Arial"/>
        <w:b/>
        <w:spacing w:val="-6"/>
      </w:rPr>
      <w:t>©</w:t>
    </w:r>
    <w:r w:rsidR="00B3231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BB7" w:rsidRDefault="00CB6BB7">
      <w:r>
        <w:separator/>
      </w:r>
    </w:p>
  </w:footnote>
  <w:footnote w:type="continuationSeparator" w:id="0">
    <w:p w:rsidR="00CB6BB7" w:rsidRDefault="00CB6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E00" w:rsidRDefault="00B00E0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B3231E" w:rsidRPr="00B3231E">
      <w:t xml:space="preserve"> </w:t>
    </w:r>
    <w:r w:rsidR="00B3231E" w:rsidRPr="00B3231E">
      <w:rPr>
        <w:rFonts w:ascii="Book Antiqua" w:hAnsi="Book Antiqua" w:cs="Arial"/>
        <w:sz w:val="16"/>
        <w:szCs w:val="16"/>
      </w:rPr>
      <w:t>PA/09921/2017</w:t>
    </w:r>
  </w:p>
  <w:p w:rsidR="00625CA2" w:rsidRPr="00F5664C" w:rsidRDefault="00625CA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E00" w:rsidRPr="00F5664C" w:rsidRDefault="00B00E0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AA"/>
    <w:rsid w:val="00000621"/>
    <w:rsid w:val="000036C2"/>
    <w:rsid w:val="0001623B"/>
    <w:rsid w:val="000278A0"/>
    <w:rsid w:val="00033D3D"/>
    <w:rsid w:val="000369F5"/>
    <w:rsid w:val="00061833"/>
    <w:rsid w:val="00063AB9"/>
    <w:rsid w:val="00071A7E"/>
    <w:rsid w:val="000746C0"/>
    <w:rsid w:val="00074D1D"/>
    <w:rsid w:val="00092580"/>
    <w:rsid w:val="000B4EC7"/>
    <w:rsid w:val="000C0A1A"/>
    <w:rsid w:val="000C2124"/>
    <w:rsid w:val="000C5BE7"/>
    <w:rsid w:val="000C7483"/>
    <w:rsid w:val="000D5D94"/>
    <w:rsid w:val="001165A7"/>
    <w:rsid w:val="001200B6"/>
    <w:rsid w:val="00143847"/>
    <w:rsid w:val="00151BB7"/>
    <w:rsid w:val="00167D3A"/>
    <w:rsid w:val="001A1E2C"/>
    <w:rsid w:val="001C140A"/>
    <w:rsid w:val="001D1DD8"/>
    <w:rsid w:val="001F2716"/>
    <w:rsid w:val="0020133A"/>
    <w:rsid w:val="002022FD"/>
    <w:rsid w:val="00207617"/>
    <w:rsid w:val="00247EA6"/>
    <w:rsid w:val="00263BC2"/>
    <w:rsid w:val="00283659"/>
    <w:rsid w:val="0029022D"/>
    <w:rsid w:val="0029774A"/>
    <w:rsid w:val="002B0EAA"/>
    <w:rsid w:val="002C4E73"/>
    <w:rsid w:val="002C562B"/>
    <w:rsid w:val="002D3F95"/>
    <w:rsid w:val="002D68BF"/>
    <w:rsid w:val="002E40CD"/>
    <w:rsid w:val="003056A5"/>
    <w:rsid w:val="0031292B"/>
    <w:rsid w:val="00334995"/>
    <w:rsid w:val="00336CBF"/>
    <w:rsid w:val="003546C8"/>
    <w:rsid w:val="003556CD"/>
    <w:rsid w:val="003644FC"/>
    <w:rsid w:val="00371BA7"/>
    <w:rsid w:val="003A3C66"/>
    <w:rsid w:val="003A7CF2"/>
    <w:rsid w:val="003C5CE5"/>
    <w:rsid w:val="003D5CA0"/>
    <w:rsid w:val="003E267B"/>
    <w:rsid w:val="003E7CD1"/>
    <w:rsid w:val="00402B9E"/>
    <w:rsid w:val="00423932"/>
    <w:rsid w:val="004249CB"/>
    <w:rsid w:val="0044127D"/>
    <w:rsid w:val="004448DB"/>
    <w:rsid w:val="00446C9A"/>
    <w:rsid w:val="00461842"/>
    <w:rsid w:val="00470EBF"/>
    <w:rsid w:val="00477193"/>
    <w:rsid w:val="00477A02"/>
    <w:rsid w:val="004927DB"/>
    <w:rsid w:val="004A0D1A"/>
    <w:rsid w:val="004A1848"/>
    <w:rsid w:val="004A4565"/>
    <w:rsid w:val="004E3527"/>
    <w:rsid w:val="004F7647"/>
    <w:rsid w:val="00507FEC"/>
    <w:rsid w:val="00510F0E"/>
    <w:rsid w:val="00513DC0"/>
    <w:rsid w:val="00527568"/>
    <w:rsid w:val="005479E1"/>
    <w:rsid w:val="005570FD"/>
    <w:rsid w:val="005575EA"/>
    <w:rsid w:val="0057535E"/>
    <w:rsid w:val="0057790C"/>
    <w:rsid w:val="00593795"/>
    <w:rsid w:val="005A69A3"/>
    <w:rsid w:val="005A75FF"/>
    <w:rsid w:val="005B7789"/>
    <w:rsid w:val="005D208B"/>
    <w:rsid w:val="0060050B"/>
    <w:rsid w:val="006114CC"/>
    <w:rsid w:val="006201B0"/>
    <w:rsid w:val="00625CA2"/>
    <w:rsid w:val="006466F3"/>
    <w:rsid w:val="00652EE2"/>
    <w:rsid w:val="0065791C"/>
    <w:rsid w:val="00690B8A"/>
    <w:rsid w:val="006A08D1"/>
    <w:rsid w:val="006B0A29"/>
    <w:rsid w:val="006B342C"/>
    <w:rsid w:val="006B5E49"/>
    <w:rsid w:val="006C426C"/>
    <w:rsid w:val="006D182F"/>
    <w:rsid w:val="006D1DFA"/>
    <w:rsid w:val="006D4341"/>
    <w:rsid w:val="006D506B"/>
    <w:rsid w:val="006E3C90"/>
    <w:rsid w:val="006E3EA4"/>
    <w:rsid w:val="00704B61"/>
    <w:rsid w:val="00737B06"/>
    <w:rsid w:val="00742A8D"/>
    <w:rsid w:val="007455EF"/>
    <w:rsid w:val="007552A9"/>
    <w:rsid w:val="00761858"/>
    <w:rsid w:val="00767D59"/>
    <w:rsid w:val="00776E97"/>
    <w:rsid w:val="00780FD7"/>
    <w:rsid w:val="00781C11"/>
    <w:rsid w:val="00782346"/>
    <w:rsid w:val="007912AD"/>
    <w:rsid w:val="007A1F28"/>
    <w:rsid w:val="007B0824"/>
    <w:rsid w:val="007B5DF0"/>
    <w:rsid w:val="007D5D52"/>
    <w:rsid w:val="007E538B"/>
    <w:rsid w:val="008066A0"/>
    <w:rsid w:val="008303B8"/>
    <w:rsid w:val="008304C2"/>
    <w:rsid w:val="00833DCE"/>
    <w:rsid w:val="00840139"/>
    <w:rsid w:val="00842418"/>
    <w:rsid w:val="00843457"/>
    <w:rsid w:val="00843969"/>
    <w:rsid w:val="0085745D"/>
    <w:rsid w:val="00871D34"/>
    <w:rsid w:val="00873A7C"/>
    <w:rsid w:val="00875E20"/>
    <w:rsid w:val="00883026"/>
    <w:rsid w:val="0088407A"/>
    <w:rsid w:val="00886E5E"/>
    <w:rsid w:val="00891FA7"/>
    <w:rsid w:val="008977AA"/>
    <w:rsid w:val="008A7CAE"/>
    <w:rsid w:val="008B270C"/>
    <w:rsid w:val="008B645D"/>
    <w:rsid w:val="008C3D3D"/>
    <w:rsid w:val="008D4131"/>
    <w:rsid w:val="008F1932"/>
    <w:rsid w:val="008F294D"/>
    <w:rsid w:val="00921062"/>
    <w:rsid w:val="009300E5"/>
    <w:rsid w:val="0093083E"/>
    <w:rsid w:val="009639DD"/>
    <w:rsid w:val="00966ECF"/>
    <w:rsid w:val="009727A3"/>
    <w:rsid w:val="00981D1B"/>
    <w:rsid w:val="00987774"/>
    <w:rsid w:val="009A11E8"/>
    <w:rsid w:val="009B2144"/>
    <w:rsid w:val="009B3095"/>
    <w:rsid w:val="009E4E62"/>
    <w:rsid w:val="009E527F"/>
    <w:rsid w:val="009F5220"/>
    <w:rsid w:val="009F7C4D"/>
    <w:rsid w:val="00A15234"/>
    <w:rsid w:val="00A201AB"/>
    <w:rsid w:val="00A31C8B"/>
    <w:rsid w:val="00A35107"/>
    <w:rsid w:val="00A44DAC"/>
    <w:rsid w:val="00A62B05"/>
    <w:rsid w:val="00A771C0"/>
    <w:rsid w:val="00A845DC"/>
    <w:rsid w:val="00A92423"/>
    <w:rsid w:val="00A97AEE"/>
    <w:rsid w:val="00AB2EF4"/>
    <w:rsid w:val="00AC5CF6"/>
    <w:rsid w:val="00AC6EC8"/>
    <w:rsid w:val="00AD0AC4"/>
    <w:rsid w:val="00AF27AD"/>
    <w:rsid w:val="00B00E00"/>
    <w:rsid w:val="00B10FAF"/>
    <w:rsid w:val="00B144FA"/>
    <w:rsid w:val="00B16F58"/>
    <w:rsid w:val="00B30648"/>
    <w:rsid w:val="00B3231E"/>
    <w:rsid w:val="00B3524D"/>
    <w:rsid w:val="00B40F69"/>
    <w:rsid w:val="00B46616"/>
    <w:rsid w:val="00B610E3"/>
    <w:rsid w:val="00B61205"/>
    <w:rsid w:val="00B617C4"/>
    <w:rsid w:val="00B626FA"/>
    <w:rsid w:val="00B7040A"/>
    <w:rsid w:val="00B8123B"/>
    <w:rsid w:val="00B96FA0"/>
    <w:rsid w:val="00BD36D8"/>
    <w:rsid w:val="00BD4196"/>
    <w:rsid w:val="00BF22CA"/>
    <w:rsid w:val="00C13BA0"/>
    <w:rsid w:val="00C26032"/>
    <w:rsid w:val="00C265B0"/>
    <w:rsid w:val="00C321B5"/>
    <w:rsid w:val="00C345E1"/>
    <w:rsid w:val="00C3797C"/>
    <w:rsid w:val="00C42910"/>
    <w:rsid w:val="00C977BA"/>
    <w:rsid w:val="00CB6BB7"/>
    <w:rsid w:val="00CB6E35"/>
    <w:rsid w:val="00CD598C"/>
    <w:rsid w:val="00CD7345"/>
    <w:rsid w:val="00CE1A46"/>
    <w:rsid w:val="00CF0CFB"/>
    <w:rsid w:val="00CF253F"/>
    <w:rsid w:val="00CF56B4"/>
    <w:rsid w:val="00D126D3"/>
    <w:rsid w:val="00D20F09"/>
    <w:rsid w:val="00D22636"/>
    <w:rsid w:val="00D30B7C"/>
    <w:rsid w:val="00D40FD9"/>
    <w:rsid w:val="00D53769"/>
    <w:rsid w:val="00D54D14"/>
    <w:rsid w:val="00D85C13"/>
    <w:rsid w:val="00D91BE3"/>
    <w:rsid w:val="00D9259A"/>
    <w:rsid w:val="00D94AFC"/>
    <w:rsid w:val="00DB70AE"/>
    <w:rsid w:val="00DB7231"/>
    <w:rsid w:val="00DD5071"/>
    <w:rsid w:val="00DD5C39"/>
    <w:rsid w:val="00DE26AF"/>
    <w:rsid w:val="00DE7DB7"/>
    <w:rsid w:val="00E00A0A"/>
    <w:rsid w:val="00E05607"/>
    <w:rsid w:val="00E07F57"/>
    <w:rsid w:val="00E121B5"/>
    <w:rsid w:val="00E34610"/>
    <w:rsid w:val="00E34FFD"/>
    <w:rsid w:val="00E35896"/>
    <w:rsid w:val="00E50BCE"/>
    <w:rsid w:val="00E61292"/>
    <w:rsid w:val="00E76309"/>
    <w:rsid w:val="00E77C4D"/>
    <w:rsid w:val="00E81D01"/>
    <w:rsid w:val="00EA62BF"/>
    <w:rsid w:val="00EB479A"/>
    <w:rsid w:val="00EC2475"/>
    <w:rsid w:val="00EE45D8"/>
    <w:rsid w:val="00F004CD"/>
    <w:rsid w:val="00F22EDA"/>
    <w:rsid w:val="00F3224D"/>
    <w:rsid w:val="00F33E0E"/>
    <w:rsid w:val="00F45518"/>
    <w:rsid w:val="00F5664C"/>
    <w:rsid w:val="00F64CDC"/>
    <w:rsid w:val="00F75242"/>
    <w:rsid w:val="00F756BA"/>
    <w:rsid w:val="00F82E98"/>
    <w:rsid w:val="00F90D00"/>
    <w:rsid w:val="00FB7E80"/>
    <w:rsid w:val="00FD0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5EC91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46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4679</Characters>
  <Application>Microsoft Office Word</Application>
  <DocSecurity>0</DocSecurity>
  <Lines>38</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2018-07-20T12:38:00Z</dcterms:created>
  <dcterms:modified xsi:type="dcterms:W3CDTF">2018-07-20T12:38:00Z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