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BB0BED" w:rsidRDefault="003D43A6"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extent cx="146685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6850" cy="1104900"/>
                    </a:xfrm>
                    <a:prstGeom prst="rect">
                      <a:avLst/>
                    </a:prstGeom>
                    <a:noFill/>
                    <a:ln>
                      <a:noFill/>
                    </a:ln>
                  </pic:spPr>
                </pic:pic>
              </a:graphicData>
            </a:graphic>
          </wp:inline>
        </w:drawing>
      </w:r>
    </w:p>
    <w:p w:rsidR="00D52490" w:rsidRPr="00BB0BED" w:rsidRDefault="00D52490" w:rsidP="00D52490">
      <w:pP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D676BC"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00D52490">
        <w:rPr>
          <w:rFonts w:ascii="Book Antiqua" w:hAnsi="Book Antiqua" w:cs="Arial"/>
          <w:color w:val="000000"/>
        </w:rPr>
        <w:tab/>
      </w:r>
      <w:r w:rsidR="00CF4F17">
        <w:rPr>
          <w:rFonts w:ascii="Book Antiqua" w:hAnsi="Book Antiqua" w:cs="Arial"/>
          <w:color w:val="000000"/>
        </w:rPr>
        <w:t>Appeal Number:</w:t>
      </w:r>
      <w:r w:rsidR="00D52490">
        <w:rPr>
          <w:rFonts w:ascii="Book Antiqua" w:hAnsi="Book Antiqua" w:cs="Arial"/>
          <w:color w:val="000000"/>
        </w:rPr>
        <w:t xml:space="preserve"> </w:t>
      </w:r>
      <w:bookmarkStart w:id="0" w:name="_GoBack"/>
      <w:r w:rsidR="00733F0D" w:rsidRPr="00733F0D">
        <w:rPr>
          <w:rFonts w:ascii="Book Antiqua" w:hAnsi="Book Antiqua" w:cs="Arial"/>
          <w:color w:val="000000"/>
        </w:rPr>
        <w:t>PA/09999/2017</w:t>
      </w:r>
      <w:bookmarkEnd w:id="0"/>
      <w:r w:rsidR="00D676BC">
        <w:rPr>
          <w:rFonts w:ascii="Book Antiqua" w:hAnsi="Book Antiqua" w:cs="Arial"/>
          <w:color w:val="000000"/>
        </w:rPr>
        <w:tab/>
      </w:r>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503887">
      <w:pPr>
        <w:jc w:val="center"/>
        <w:rPr>
          <w:rFonts w:ascii="Book Antiqua" w:hAnsi="Book Antiqua" w:cs="Arial"/>
          <w:b/>
          <w:u w:val="single"/>
        </w:rPr>
      </w:pPr>
    </w:p>
    <w:p w:rsidR="00D52490" w:rsidRPr="00BB0BED" w:rsidRDefault="00D52490" w:rsidP="00503887">
      <w:pPr>
        <w:jc w:val="center"/>
        <w:rPr>
          <w:rFonts w:ascii="Book Antiqua" w:hAnsi="Book Antiqua" w:cs="Arial"/>
          <w:b/>
          <w:u w:val="single"/>
        </w:rPr>
      </w:pPr>
    </w:p>
    <w:tbl>
      <w:tblPr>
        <w:tblW w:w="0" w:type="auto"/>
        <w:tblLook w:val="01E0" w:firstRow="1" w:lastRow="1" w:firstColumn="1" w:lastColumn="1" w:noHBand="0" w:noVBand="0"/>
      </w:tblPr>
      <w:tblGrid>
        <w:gridCol w:w="5244"/>
        <w:gridCol w:w="684"/>
        <w:gridCol w:w="3710"/>
      </w:tblGrid>
      <w:tr w:rsidR="00D219F1" w:rsidRPr="00C03009" w:rsidTr="00BC2C66">
        <w:tc>
          <w:tcPr>
            <w:tcW w:w="5353" w:type="dxa"/>
          </w:tcPr>
          <w:p w:rsidR="00BC2C66" w:rsidRPr="00BC2C66" w:rsidRDefault="00BC2C66" w:rsidP="00BC2C66">
            <w:pPr>
              <w:jc w:val="both"/>
              <w:rPr>
                <w:rFonts w:ascii="Book Antiqua" w:hAnsi="Book Antiqua" w:cs="Arial"/>
                <w:b/>
              </w:rPr>
            </w:pPr>
            <w:r>
              <w:rPr>
                <w:rFonts w:ascii="Book Antiqua" w:hAnsi="Book Antiqua" w:cs="Arial"/>
                <w:b/>
              </w:rPr>
              <w:t xml:space="preserve">Heard </w:t>
            </w:r>
            <w:r w:rsidRPr="00BC2C66">
              <w:rPr>
                <w:rFonts w:ascii="Book Antiqua" w:hAnsi="Book Antiqua" w:cs="Arial"/>
                <w:b/>
              </w:rPr>
              <w:t>At: Manchester Civil Justice Centre</w:t>
            </w:r>
          </w:p>
          <w:p w:rsidR="00D219F1" w:rsidRPr="00C03009" w:rsidRDefault="00BC2C66" w:rsidP="00BC2C66">
            <w:pPr>
              <w:jc w:val="both"/>
              <w:rPr>
                <w:rFonts w:ascii="Book Antiqua" w:hAnsi="Book Antiqua" w:cs="Arial"/>
                <w:b/>
              </w:rPr>
            </w:pPr>
            <w:r w:rsidRPr="00BC2C66">
              <w:rPr>
                <w:rFonts w:ascii="Book Antiqua" w:hAnsi="Book Antiqua" w:cs="Arial"/>
                <w:b/>
              </w:rPr>
              <w:t>On: 19th June 2018</w:t>
            </w:r>
          </w:p>
        </w:tc>
        <w:tc>
          <w:tcPr>
            <w:tcW w:w="4475" w:type="dxa"/>
            <w:gridSpan w:val="2"/>
          </w:tcPr>
          <w:p w:rsidR="00BC2C66" w:rsidRDefault="00D806C5" w:rsidP="00256F9B">
            <w:pPr>
              <w:jc w:val="both"/>
              <w:rPr>
                <w:rFonts w:ascii="Book Antiqua" w:hAnsi="Book Antiqua" w:cs="Arial"/>
                <w:b/>
                <w:color w:val="000000"/>
              </w:rPr>
            </w:pPr>
            <w:r>
              <w:rPr>
                <w:rFonts w:ascii="Book Antiqua" w:hAnsi="Book Antiqua" w:cs="Arial"/>
                <w:b/>
                <w:color w:val="000000"/>
              </w:rPr>
              <w:t>Decision</w:t>
            </w:r>
            <w:r w:rsidR="00BC2C66">
              <w:rPr>
                <w:rFonts w:ascii="Book Antiqua" w:hAnsi="Book Antiqua" w:cs="Arial"/>
                <w:b/>
                <w:color w:val="000000"/>
              </w:rPr>
              <w:t xml:space="preserve"> and Reasons</w:t>
            </w:r>
            <w:r>
              <w:rPr>
                <w:rFonts w:ascii="Book Antiqua" w:hAnsi="Book Antiqua" w:cs="Arial"/>
                <w:b/>
                <w:color w:val="000000"/>
              </w:rPr>
              <w:t xml:space="preserve"> </w:t>
            </w:r>
            <w:r w:rsidR="00D219F1" w:rsidRPr="00C03009">
              <w:rPr>
                <w:rFonts w:ascii="Book Antiqua" w:hAnsi="Book Antiqua" w:cs="Arial"/>
                <w:b/>
                <w:color w:val="000000"/>
              </w:rPr>
              <w:t>Promulgated</w:t>
            </w:r>
          </w:p>
          <w:p w:rsidR="00D219F1" w:rsidRPr="00BC2C66" w:rsidRDefault="00BC2C66" w:rsidP="00BC2C66">
            <w:pPr>
              <w:rPr>
                <w:rFonts w:ascii="Book Antiqua" w:hAnsi="Book Antiqua" w:cs="Arial"/>
                <w:b/>
              </w:rPr>
            </w:pPr>
            <w:r>
              <w:rPr>
                <w:rFonts w:ascii="Book Antiqua" w:hAnsi="Book Antiqua" w:cs="Arial"/>
                <w:b/>
              </w:rPr>
              <w:t>On: 25th</w:t>
            </w:r>
            <w:r w:rsidRPr="00BC2C66">
              <w:rPr>
                <w:rFonts w:ascii="Book Antiqua" w:hAnsi="Book Antiqua" w:cs="Arial"/>
                <w:b/>
              </w:rPr>
              <w:t xml:space="preserve"> June 2018</w:t>
            </w:r>
          </w:p>
        </w:tc>
      </w:tr>
      <w:tr w:rsidR="00D219F1" w:rsidRPr="00C03009" w:rsidTr="00BC2C66">
        <w:trPr>
          <w:trHeight w:val="320"/>
        </w:trPr>
        <w:tc>
          <w:tcPr>
            <w:tcW w:w="5353" w:type="dxa"/>
          </w:tcPr>
          <w:p w:rsidR="008133F6" w:rsidRPr="00C03009" w:rsidRDefault="008133F6" w:rsidP="00030A29">
            <w:pPr>
              <w:jc w:val="both"/>
              <w:rPr>
                <w:rFonts w:ascii="Book Antiqua" w:hAnsi="Book Antiqua" w:cs="Arial"/>
                <w:b/>
              </w:rPr>
            </w:pPr>
          </w:p>
        </w:tc>
        <w:tc>
          <w:tcPr>
            <w:tcW w:w="4475" w:type="dxa"/>
            <w:gridSpan w:val="2"/>
          </w:tcPr>
          <w:p w:rsidR="00D219F1" w:rsidRPr="00C03009" w:rsidRDefault="00D219F1" w:rsidP="00256F9B">
            <w:pPr>
              <w:jc w:val="both"/>
              <w:rPr>
                <w:rFonts w:ascii="Book Antiqua" w:hAnsi="Book Antiqua" w:cs="Arial"/>
                <w:b/>
              </w:rPr>
            </w:pPr>
          </w:p>
        </w:tc>
      </w:tr>
      <w:tr w:rsidR="00D219F1" w:rsidRPr="00C03009" w:rsidTr="00BC2C66">
        <w:tc>
          <w:tcPr>
            <w:tcW w:w="6048" w:type="dxa"/>
            <w:gridSpan w:val="2"/>
          </w:tcPr>
          <w:p w:rsidR="00D219F1" w:rsidRPr="00C03009" w:rsidRDefault="00D219F1" w:rsidP="00256F9B">
            <w:pPr>
              <w:jc w:val="both"/>
              <w:rPr>
                <w:rFonts w:ascii="Book Antiqua" w:hAnsi="Book Antiqua" w:cs="Arial"/>
                <w:b/>
              </w:rPr>
            </w:pPr>
          </w:p>
        </w:tc>
        <w:tc>
          <w:tcPr>
            <w:tcW w:w="3780" w:type="dxa"/>
          </w:tcPr>
          <w:p w:rsidR="00D219F1" w:rsidRPr="00C03009" w:rsidRDefault="00D219F1" w:rsidP="00256F9B">
            <w:pPr>
              <w:jc w:val="both"/>
              <w:rPr>
                <w:rFonts w:ascii="Book Antiqua" w:hAnsi="Book Antiqua" w:cs="Arial"/>
                <w:b/>
              </w:rPr>
            </w:pPr>
          </w:p>
        </w:tc>
      </w:tr>
    </w:tbl>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D52490" w:rsidRDefault="00D52490"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D219F1" w:rsidRDefault="00D219F1" w:rsidP="00503887">
      <w:pPr>
        <w:jc w:val="center"/>
        <w:rPr>
          <w:rFonts w:ascii="Book Antiqua" w:hAnsi="Book Antiqua" w:cs="Arial"/>
          <w:b/>
        </w:rPr>
      </w:pPr>
    </w:p>
    <w:p w:rsidR="008133F6" w:rsidRDefault="00625DC7" w:rsidP="008133F6">
      <w:pPr>
        <w:jc w:val="center"/>
        <w:rPr>
          <w:rFonts w:ascii="Book Antiqua" w:hAnsi="Book Antiqua" w:cs="Arial"/>
          <w:b/>
        </w:rPr>
      </w:pPr>
      <w:r>
        <w:rPr>
          <w:rFonts w:ascii="Book Antiqua" w:hAnsi="Book Antiqua" w:cs="Arial"/>
          <w:b/>
        </w:rPr>
        <w:t>AT</w:t>
      </w:r>
    </w:p>
    <w:p w:rsidR="008133F6" w:rsidRPr="00030A29" w:rsidRDefault="008133F6" w:rsidP="008133F6">
      <w:pPr>
        <w:jc w:val="center"/>
        <w:rPr>
          <w:rFonts w:ascii="Book Antiqua" w:hAnsi="Book Antiqua" w:cs="Arial"/>
          <w:b/>
        </w:rPr>
      </w:pPr>
      <w:r>
        <w:rPr>
          <w:rFonts w:ascii="Book Antiqua" w:hAnsi="Book Antiqua" w:cs="Arial"/>
          <w:b/>
        </w:rPr>
        <w:t xml:space="preserve"> </w:t>
      </w:r>
      <w:r w:rsidRPr="00AD1995">
        <w:rPr>
          <w:rFonts w:ascii="Book Antiqua" w:hAnsi="Book Antiqua" w:cs="Arial"/>
          <w:b/>
        </w:rPr>
        <w:t>(anonymity direction made)</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764A18" w:rsidRDefault="00764A18" w:rsidP="00503887">
      <w:pPr>
        <w:jc w:val="center"/>
        <w:rPr>
          <w:rFonts w:ascii="Book Antiqua" w:hAnsi="Book Antiqua" w:cs="Arial"/>
          <w:b/>
        </w:rPr>
      </w:pPr>
    </w:p>
    <w:p w:rsidR="008133F6" w:rsidRDefault="008133F6" w:rsidP="008133F6">
      <w:pPr>
        <w:jc w:val="center"/>
        <w:rPr>
          <w:rFonts w:ascii="Book Antiqua" w:hAnsi="Book Antiqua" w:cs="Arial"/>
          <w:b/>
        </w:rPr>
      </w:pPr>
      <w:r>
        <w:rPr>
          <w:rFonts w:ascii="Book Antiqua" w:hAnsi="Book Antiqua" w:cs="Arial"/>
          <w:b/>
        </w:rPr>
        <w:t>The Secretary of State for the Home Department</w:t>
      </w:r>
    </w:p>
    <w:p w:rsidR="00D219F1" w:rsidRPr="00077465" w:rsidRDefault="00D219F1" w:rsidP="006B153F">
      <w:pPr>
        <w:jc w:val="right"/>
        <w:outlineLvl w:val="0"/>
        <w:rPr>
          <w:rFonts w:ascii="Book Antiqua" w:hAnsi="Book Antiqua" w:cs="Arial"/>
          <w:u w:val="single"/>
        </w:rPr>
      </w:pPr>
      <w:r w:rsidRPr="00077465">
        <w:rPr>
          <w:rFonts w:ascii="Book Antiqua" w:hAnsi="Book Antiqua" w:cs="Arial"/>
          <w:u w:val="single"/>
        </w:rPr>
        <w:t>Respondent</w:t>
      </w:r>
    </w:p>
    <w:p w:rsidR="00555389" w:rsidRDefault="00555389" w:rsidP="00473C4B">
      <w:pPr>
        <w:rPr>
          <w:rFonts w:ascii="Book Antiqua" w:hAnsi="Book Antiqua" w:cs="Arial"/>
          <w:b/>
        </w:rPr>
      </w:pPr>
    </w:p>
    <w:p w:rsidR="00D52490" w:rsidRDefault="00D52490" w:rsidP="00473C4B">
      <w:pPr>
        <w:rPr>
          <w:rFonts w:ascii="Book Antiqua" w:hAnsi="Book Antiqua" w:cs="Arial"/>
          <w:b/>
        </w:rPr>
      </w:pPr>
    </w:p>
    <w:p w:rsidR="00F66F55" w:rsidRPr="002022F5" w:rsidRDefault="008133F6" w:rsidP="003847A2">
      <w:pPr>
        <w:ind w:left="2160" w:hanging="2160"/>
        <w:rPr>
          <w:rFonts w:ascii="Book Antiqua" w:hAnsi="Book Antiqua" w:cs="Arial"/>
          <w:b/>
        </w:rPr>
      </w:pPr>
      <w:r w:rsidRPr="002022F5">
        <w:rPr>
          <w:rFonts w:ascii="Book Antiqua" w:hAnsi="Book Antiqua" w:cs="Arial"/>
          <w:b/>
        </w:rPr>
        <w:t>For the Appellant:</w:t>
      </w:r>
      <w:r w:rsidR="003847A2" w:rsidRPr="002022F5">
        <w:rPr>
          <w:rFonts w:ascii="Book Antiqua" w:hAnsi="Book Antiqua" w:cs="Arial"/>
          <w:b/>
        </w:rPr>
        <w:tab/>
      </w:r>
      <w:r w:rsidR="002022F5">
        <w:rPr>
          <w:rFonts w:ascii="Book Antiqua" w:hAnsi="Book Antiqua" w:cs="Arial"/>
          <w:b/>
        </w:rPr>
        <w:tab/>
      </w:r>
      <w:r w:rsidR="00CB32AF">
        <w:rPr>
          <w:rFonts w:ascii="Book Antiqua" w:hAnsi="Book Antiqua" w:cs="Arial"/>
          <w:b/>
        </w:rPr>
        <w:t>M</w:t>
      </w:r>
      <w:r w:rsidR="00E60B2F">
        <w:rPr>
          <w:rFonts w:ascii="Book Antiqua" w:hAnsi="Book Antiqua" w:cs="Arial"/>
          <w:b/>
        </w:rPr>
        <w:t>r Holmes</w:t>
      </w:r>
      <w:r w:rsidR="00CB32AF">
        <w:rPr>
          <w:rFonts w:ascii="Book Antiqua" w:hAnsi="Book Antiqua" w:cs="Arial"/>
          <w:b/>
        </w:rPr>
        <w:t>, Counsel i</w:t>
      </w:r>
      <w:r w:rsidR="00625DC7">
        <w:rPr>
          <w:rFonts w:ascii="Book Antiqua" w:hAnsi="Book Antiqua" w:cs="Arial"/>
          <w:b/>
        </w:rPr>
        <w:t xml:space="preserve">nstructed by </w:t>
      </w:r>
      <w:proofErr w:type="spellStart"/>
      <w:r w:rsidR="00625DC7">
        <w:rPr>
          <w:rFonts w:ascii="Book Antiqua" w:hAnsi="Book Antiqua" w:cs="Arial"/>
          <w:b/>
        </w:rPr>
        <w:t>Broudie</w:t>
      </w:r>
      <w:proofErr w:type="spellEnd"/>
      <w:r w:rsidR="00625DC7">
        <w:rPr>
          <w:rFonts w:ascii="Book Antiqua" w:hAnsi="Book Antiqua" w:cs="Arial"/>
          <w:b/>
        </w:rPr>
        <w:t xml:space="preserve"> Jackson Canter</w:t>
      </w:r>
    </w:p>
    <w:p w:rsidR="008133F6" w:rsidRDefault="008133F6" w:rsidP="00473C4B">
      <w:pPr>
        <w:rPr>
          <w:rFonts w:ascii="Book Antiqua" w:hAnsi="Book Antiqua" w:cs="Arial"/>
          <w:b/>
        </w:rPr>
      </w:pPr>
      <w:r w:rsidRPr="002022F5">
        <w:rPr>
          <w:rFonts w:ascii="Book Antiqua" w:hAnsi="Book Antiqua" w:cs="Arial"/>
          <w:b/>
        </w:rPr>
        <w:t>For the Respondent:</w:t>
      </w:r>
      <w:r w:rsidR="004C2070" w:rsidRPr="002022F5">
        <w:rPr>
          <w:rFonts w:ascii="Book Antiqua" w:hAnsi="Book Antiqua" w:cs="Arial"/>
          <w:b/>
        </w:rPr>
        <w:t xml:space="preserve">  </w:t>
      </w:r>
      <w:r w:rsidR="002022F5">
        <w:rPr>
          <w:rFonts w:ascii="Book Antiqua" w:hAnsi="Book Antiqua" w:cs="Arial"/>
          <w:b/>
        </w:rPr>
        <w:tab/>
      </w:r>
      <w:r w:rsidR="00625DC7">
        <w:rPr>
          <w:rFonts w:ascii="Book Antiqua" w:hAnsi="Book Antiqua" w:cs="Arial"/>
          <w:b/>
        </w:rPr>
        <w:t>Mr Bates</w:t>
      </w:r>
      <w:r w:rsidRPr="002022F5">
        <w:rPr>
          <w:rFonts w:ascii="Book Antiqua" w:hAnsi="Book Antiqua" w:cs="Arial"/>
          <w:b/>
        </w:rPr>
        <w:t>, Senior Home Office Presenting Officer</w:t>
      </w:r>
    </w:p>
    <w:p w:rsidR="008133F6" w:rsidRDefault="008133F6" w:rsidP="00473C4B">
      <w:pPr>
        <w:rPr>
          <w:rFonts w:ascii="Book Antiqua" w:hAnsi="Book Antiqua" w:cs="Arial"/>
          <w:b/>
        </w:rPr>
      </w:pPr>
    </w:p>
    <w:p w:rsidR="00B93485" w:rsidRDefault="00B93485" w:rsidP="00473C4B">
      <w:pPr>
        <w:rPr>
          <w:rFonts w:ascii="Book Antiqua" w:hAnsi="Book Antiqua" w:cs="Arial"/>
          <w:b/>
        </w:rPr>
      </w:pPr>
    </w:p>
    <w:p w:rsidR="00A10684" w:rsidRPr="00800967" w:rsidRDefault="008133F6" w:rsidP="00ED7C3A">
      <w:pPr>
        <w:tabs>
          <w:tab w:val="left" w:pos="2520"/>
        </w:tabs>
        <w:jc w:val="center"/>
        <w:outlineLvl w:val="0"/>
        <w:rPr>
          <w:rFonts w:ascii="Book Antiqua" w:hAnsi="Book Antiqua" w:cs="Arial"/>
          <w:b/>
          <w:u w:val="single"/>
        </w:rPr>
      </w:pPr>
      <w:r>
        <w:rPr>
          <w:rFonts w:ascii="Book Antiqua" w:hAnsi="Book Antiqua" w:cs="Arial"/>
          <w:b/>
          <w:u w:val="single"/>
        </w:rPr>
        <w:t>DECISION AND REASONS</w:t>
      </w:r>
    </w:p>
    <w:p w:rsidR="008133F6" w:rsidRPr="00BB0BED" w:rsidRDefault="008133F6" w:rsidP="00503887">
      <w:pPr>
        <w:tabs>
          <w:tab w:val="left" w:pos="2520"/>
        </w:tabs>
        <w:ind w:right="567"/>
        <w:jc w:val="both"/>
        <w:rPr>
          <w:rFonts w:ascii="Book Antiqua" w:hAnsi="Book Antiqua" w:cs="Arial"/>
        </w:rPr>
      </w:pPr>
    </w:p>
    <w:p w:rsidR="008133F6" w:rsidRDefault="008133F6" w:rsidP="00C869BC">
      <w:pPr>
        <w:numPr>
          <w:ilvl w:val="0"/>
          <w:numId w:val="1"/>
        </w:numPr>
        <w:tabs>
          <w:tab w:val="left" w:pos="567"/>
        </w:tabs>
        <w:ind w:left="567" w:right="567"/>
        <w:jc w:val="both"/>
        <w:rPr>
          <w:rFonts w:ascii="Book Antiqua" w:hAnsi="Book Antiqua" w:cs="Arial"/>
        </w:rPr>
      </w:pPr>
      <w:r w:rsidRPr="00CB32AF">
        <w:rPr>
          <w:rFonts w:ascii="Book Antiqua" w:hAnsi="Book Antiqua" w:cs="Arial"/>
        </w:rPr>
        <w:t xml:space="preserve">The Appellant </w:t>
      </w:r>
      <w:r w:rsidR="003847A2" w:rsidRPr="00CB32AF">
        <w:rPr>
          <w:rFonts w:ascii="Book Antiqua" w:hAnsi="Book Antiqua" w:cs="Arial"/>
        </w:rPr>
        <w:t xml:space="preserve">is </w:t>
      </w:r>
      <w:r w:rsidR="007E03D3" w:rsidRPr="00CB32AF">
        <w:rPr>
          <w:rFonts w:ascii="Book Antiqua" w:hAnsi="Book Antiqua" w:cs="Arial"/>
        </w:rPr>
        <w:t>a national</w:t>
      </w:r>
      <w:r w:rsidR="00625DC7">
        <w:rPr>
          <w:rFonts w:ascii="Book Antiqua" w:hAnsi="Book Antiqua" w:cs="Arial"/>
        </w:rPr>
        <w:t xml:space="preserve"> of Eritrea born i</w:t>
      </w:r>
      <w:r w:rsidR="003847A2" w:rsidRPr="00CB32AF">
        <w:rPr>
          <w:rFonts w:ascii="Book Antiqua" w:hAnsi="Book Antiqua" w:cs="Arial"/>
        </w:rPr>
        <w:t xml:space="preserve">n </w:t>
      </w:r>
      <w:r w:rsidR="00625DC7">
        <w:rPr>
          <w:rFonts w:ascii="Book Antiqua" w:hAnsi="Book Antiqua" w:cs="Arial"/>
        </w:rPr>
        <w:t>1967. Sh</w:t>
      </w:r>
      <w:r w:rsidR="003847A2" w:rsidRPr="00CB32AF">
        <w:rPr>
          <w:rFonts w:ascii="Book Antiqua" w:hAnsi="Book Antiqua" w:cs="Arial"/>
        </w:rPr>
        <w:t xml:space="preserve">e </w:t>
      </w:r>
      <w:r w:rsidRPr="00CB32AF">
        <w:rPr>
          <w:rFonts w:ascii="Book Antiqua" w:hAnsi="Book Antiqua" w:cs="Arial"/>
        </w:rPr>
        <w:t xml:space="preserve">appeals with permission </w:t>
      </w:r>
      <w:r w:rsidR="00625DC7">
        <w:rPr>
          <w:rFonts w:ascii="Book Antiqua" w:hAnsi="Book Antiqua" w:cs="Arial"/>
        </w:rPr>
        <w:t>the</w:t>
      </w:r>
      <w:r w:rsidR="00CB32AF">
        <w:rPr>
          <w:rFonts w:ascii="Book Antiqua" w:hAnsi="Book Antiqua" w:cs="Arial"/>
        </w:rPr>
        <w:t xml:space="preserve"> </w:t>
      </w:r>
      <w:r w:rsidRPr="00CB32AF">
        <w:rPr>
          <w:rFonts w:ascii="Book Antiqua" w:hAnsi="Book Antiqua" w:cs="Arial"/>
        </w:rPr>
        <w:t xml:space="preserve">decision of the First-tier Tribunal </w:t>
      </w:r>
      <w:r w:rsidR="003847A2" w:rsidRPr="00CB32AF">
        <w:rPr>
          <w:rFonts w:ascii="Book Antiqua" w:hAnsi="Book Antiqua" w:cs="Arial"/>
        </w:rPr>
        <w:t xml:space="preserve">(Judge </w:t>
      </w:r>
      <w:r w:rsidR="00625DC7">
        <w:rPr>
          <w:rFonts w:ascii="Book Antiqua" w:hAnsi="Book Antiqua" w:cs="Arial"/>
        </w:rPr>
        <w:t>Holt) dated 23</w:t>
      </w:r>
      <w:r w:rsidR="00625DC7" w:rsidRPr="00625DC7">
        <w:rPr>
          <w:rFonts w:ascii="Book Antiqua" w:hAnsi="Book Antiqua" w:cs="Arial"/>
          <w:vertAlign w:val="superscript"/>
        </w:rPr>
        <w:t>rd</w:t>
      </w:r>
      <w:r w:rsidR="00625DC7">
        <w:rPr>
          <w:rFonts w:ascii="Book Antiqua" w:hAnsi="Book Antiqua" w:cs="Arial"/>
        </w:rPr>
        <w:t xml:space="preserve"> November</w:t>
      </w:r>
      <w:r w:rsidR="00C869BC">
        <w:rPr>
          <w:rFonts w:ascii="Book Antiqua" w:hAnsi="Book Antiqua" w:cs="Arial"/>
        </w:rPr>
        <w:t xml:space="preserve"> 2017</w:t>
      </w:r>
      <w:r w:rsidR="00625DC7">
        <w:rPr>
          <w:rFonts w:ascii="Book Antiqua" w:hAnsi="Book Antiqua" w:cs="Arial"/>
        </w:rPr>
        <w:t xml:space="preserve"> to dismiss her protection appeal</w:t>
      </w:r>
      <w:r w:rsidR="00C869BC">
        <w:rPr>
          <w:rFonts w:ascii="Book Antiqua" w:hAnsi="Book Antiqua" w:cs="Arial"/>
        </w:rPr>
        <w:t>.</w:t>
      </w:r>
    </w:p>
    <w:p w:rsidR="00BB3DE4" w:rsidRDefault="00BB3DE4" w:rsidP="00BB3DE4">
      <w:pPr>
        <w:tabs>
          <w:tab w:val="left" w:pos="567"/>
        </w:tabs>
        <w:ind w:left="567" w:right="567"/>
        <w:jc w:val="both"/>
        <w:rPr>
          <w:rFonts w:ascii="Book Antiqua" w:hAnsi="Book Antiqua" w:cs="Arial"/>
        </w:rPr>
      </w:pPr>
    </w:p>
    <w:p w:rsidR="00BB3DE4" w:rsidRDefault="00BB3DE4"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There are five grounds of appeal, and before me Mr Bates accepted on behalf of the Secretary of State for the Home Department that all but one </w:t>
      </w:r>
      <w:proofErr w:type="gramStart"/>
      <w:r>
        <w:rPr>
          <w:rFonts w:ascii="Book Antiqua" w:hAnsi="Book Antiqua" w:cs="Arial"/>
        </w:rPr>
        <w:t>were</w:t>
      </w:r>
      <w:proofErr w:type="gramEnd"/>
      <w:r>
        <w:rPr>
          <w:rFonts w:ascii="Book Antiqua" w:hAnsi="Book Antiqua" w:cs="Arial"/>
        </w:rPr>
        <w:t xml:space="preserve"> made out. Given that concession I need not deal with all of the grounds in great detail, but it is necessary that I set out the basis of the Appellant’s case and the Tribunal’s </w:t>
      </w:r>
      <w:r>
        <w:rPr>
          <w:rFonts w:ascii="Book Antiqua" w:hAnsi="Book Antiqua" w:cs="Arial"/>
        </w:rPr>
        <w:lastRenderedPageBreak/>
        <w:t xml:space="preserve">reasoning at some length, in order to provide a background to my consideration of the fifth, contested, ground. </w:t>
      </w:r>
    </w:p>
    <w:p w:rsidR="00BB3DE4" w:rsidRDefault="00BB3DE4" w:rsidP="00BB3DE4">
      <w:pPr>
        <w:pStyle w:val="ListParagraph"/>
        <w:rPr>
          <w:rFonts w:ascii="Book Antiqua" w:hAnsi="Book Antiqua" w:cs="Arial"/>
        </w:rPr>
      </w:pPr>
    </w:p>
    <w:p w:rsidR="00625DC7" w:rsidRPr="00625DC7" w:rsidRDefault="00BB3DE4" w:rsidP="00625DC7">
      <w:pPr>
        <w:tabs>
          <w:tab w:val="left" w:pos="567"/>
        </w:tabs>
        <w:ind w:left="567" w:right="567"/>
        <w:jc w:val="both"/>
        <w:rPr>
          <w:rFonts w:ascii="Book Antiqua" w:hAnsi="Book Antiqua" w:cs="Arial"/>
          <w:b/>
        </w:rPr>
      </w:pPr>
      <w:r>
        <w:rPr>
          <w:rFonts w:ascii="Book Antiqua" w:hAnsi="Book Antiqua" w:cs="Arial"/>
          <w:b/>
        </w:rPr>
        <w:t xml:space="preserve">The Basis of Claim </w:t>
      </w:r>
      <w:r w:rsidR="00FD7FC7">
        <w:rPr>
          <w:rFonts w:ascii="Book Antiqua" w:hAnsi="Book Antiqua" w:cs="Arial"/>
          <w:b/>
        </w:rPr>
        <w:t>and the Respondent’s Decision</w:t>
      </w:r>
    </w:p>
    <w:p w:rsidR="00C869BC" w:rsidRPr="00625DC7" w:rsidRDefault="00C869BC" w:rsidP="00C869BC">
      <w:pPr>
        <w:tabs>
          <w:tab w:val="left" w:pos="567"/>
        </w:tabs>
        <w:ind w:left="567" w:right="567"/>
        <w:jc w:val="both"/>
        <w:rPr>
          <w:rFonts w:ascii="Book Antiqua" w:hAnsi="Book Antiqua" w:cs="Arial"/>
          <w:b/>
        </w:rPr>
      </w:pPr>
    </w:p>
    <w:p w:rsidR="000D3144" w:rsidRDefault="00C869BC" w:rsidP="008F6C60">
      <w:pPr>
        <w:numPr>
          <w:ilvl w:val="0"/>
          <w:numId w:val="1"/>
        </w:numPr>
        <w:tabs>
          <w:tab w:val="left" w:pos="567"/>
        </w:tabs>
        <w:ind w:left="567" w:right="567"/>
        <w:jc w:val="both"/>
        <w:rPr>
          <w:rFonts w:ascii="Book Antiqua" w:hAnsi="Book Antiqua" w:cs="Arial"/>
        </w:rPr>
      </w:pPr>
      <w:r w:rsidRPr="000D3144">
        <w:rPr>
          <w:rFonts w:ascii="Book Antiqua" w:hAnsi="Book Antiqua" w:cs="Arial"/>
        </w:rPr>
        <w:t xml:space="preserve">The </w:t>
      </w:r>
      <w:r w:rsidR="00625DC7" w:rsidRPr="000D3144">
        <w:rPr>
          <w:rFonts w:ascii="Book Antiqua" w:hAnsi="Book Antiqua" w:cs="Arial"/>
        </w:rPr>
        <w:t>Appellant claimed asylum on the day that she arrived in the UK, the 26</w:t>
      </w:r>
      <w:r w:rsidR="00625DC7" w:rsidRPr="000D3144">
        <w:rPr>
          <w:rFonts w:ascii="Book Antiqua" w:hAnsi="Book Antiqua" w:cs="Arial"/>
          <w:vertAlign w:val="superscript"/>
        </w:rPr>
        <w:t>th</w:t>
      </w:r>
      <w:r w:rsidR="00625DC7" w:rsidRPr="000D3144">
        <w:rPr>
          <w:rFonts w:ascii="Book Antiqua" w:hAnsi="Book Antiqua" w:cs="Arial"/>
        </w:rPr>
        <w:t xml:space="preserve"> March 2017.  </w:t>
      </w:r>
      <w:r w:rsidR="007D5751" w:rsidRPr="000D3144">
        <w:rPr>
          <w:rFonts w:ascii="Book Antiqua" w:hAnsi="Book Antiqua" w:cs="Arial"/>
        </w:rPr>
        <w:t xml:space="preserve">  She said that </w:t>
      </w:r>
      <w:r w:rsidR="000D3144" w:rsidRPr="000D3144">
        <w:rPr>
          <w:rFonts w:ascii="Book Antiqua" w:hAnsi="Book Antiqua" w:cs="Arial"/>
        </w:rPr>
        <w:t>she was at risk in Eritrea because her husband had deserted military service</w:t>
      </w:r>
      <w:r w:rsidR="000271FE">
        <w:rPr>
          <w:rFonts w:ascii="Book Antiqua" w:hAnsi="Book Antiqua" w:cs="Arial"/>
        </w:rPr>
        <w:t>. She had been detained and ill-</w:t>
      </w:r>
      <w:r w:rsidR="000D3144" w:rsidRPr="000D3144">
        <w:rPr>
          <w:rFonts w:ascii="Book Antiqua" w:hAnsi="Book Antiqua" w:cs="Arial"/>
        </w:rPr>
        <w:t>treated as a result. Her uncle had helped her leave the country illegally in January 2014. An agent then assisted her in travelling to Saudi Arabia. There she found employment with a family in Jeddah who treated her “very appalling”. They would beat her and she only received any wages intermittently. The employers told her they were paying the ‘middleman’ who facilitated her travel and got her the job.  It was this family who brought her to Greece. She managed to escape from them there and made her way to the UK. At her asylum interview the Appellant was asked whether she would like this aspect of her case to be referred so that she could get support. She declined, saying that she had tried to move on and “close that chapter”.</w:t>
      </w:r>
      <w:r w:rsidR="000D3144">
        <w:rPr>
          <w:rFonts w:ascii="Book Antiqua" w:hAnsi="Book Antiqua" w:cs="Arial"/>
        </w:rPr>
        <w:t xml:space="preserve">  </w:t>
      </w:r>
    </w:p>
    <w:p w:rsidR="000D3144" w:rsidRDefault="000D3144" w:rsidP="000D3144">
      <w:pPr>
        <w:tabs>
          <w:tab w:val="left" w:pos="567"/>
        </w:tabs>
        <w:ind w:left="567" w:right="567"/>
        <w:jc w:val="both"/>
        <w:rPr>
          <w:rFonts w:ascii="Book Antiqua" w:hAnsi="Book Antiqua" w:cs="Arial"/>
        </w:rPr>
      </w:pPr>
    </w:p>
    <w:p w:rsidR="000D3144" w:rsidRPr="000D3144" w:rsidRDefault="000D3144" w:rsidP="008F6C60">
      <w:pPr>
        <w:numPr>
          <w:ilvl w:val="0"/>
          <w:numId w:val="1"/>
        </w:numPr>
        <w:tabs>
          <w:tab w:val="left" w:pos="567"/>
        </w:tabs>
        <w:ind w:left="567" w:right="567"/>
        <w:jc w:val="both"/>
        <w:rPr>
          <w:rFonts w:ascii="Book Antiqua" w:hAnsi="Book Antiqua" w:cs="Arial"/>
        </w:rPr>
      </w:pPr>
      <w:r>
        <w:rPr>
          <w:rFonts w:ascii="Book Antiqua" w:hAnsi="Book Antiqua" w:cs="Arial"/>
        </w:rPr>
        <w:t xml:space="preserve">In respect of her own eligibility for military service the Appellant said that when she was younger she had not been called up because of her circumstances. Her father had been shot by Ethiopian forces during their ‘occupation’ and her mother was disabled, so she was caring for both of them at home [Q77].  After she got married in 1997 she was exempted [Q81]. </w:t>
      </w:r>
      <w:r w:rsidR="000C4DCB">
        <w:rPr>
          <w:rFonts w:ascii="Book Antiqua" w:hAnsi="Book Antiqua" w:cs="Arial"/>
        </w:rPr>
        <w:t xml:space="preserve">  She also noted that at the same time the authorities denied her any rights such as the ability to inherit or claim land, on the grounds that she had not completed her military service. In the end she was also denied ration coupons.</w:t>
      </w:r>
    </w:p>
    <w:p w:rsidR="00625DC7" w:rsidRDefault="00625DC7" w:rsidP="00625DC7">
      <w:pPr>
        <w:tabs>
          <w:tab w:val="left" w:pos="567"/>
        </w:tabs>
        <w:ind w:left="567" w:right="567"/>
        <w:jc w:val="both"/>
        <w:rPr>
          <w:rFonts w:ascii="Book Antiqua" w:hAnsi="Book Antiqua" w:cs="Arial"/>
        </w:rPr>
      </w:pPr>
    </w:p>
    <w:p w:rsidR="005A2090" w:rsidRDefault="00625DC7" w:rsidP="00C869BC">
      <w:pPr>
        <w:numPr>
          <w:ilvl w:val="0"/>
          <w:numId w:val="1"/>
        </w:numPr>
        <w:tabs>
          <w:tab w:val="left" w:pos="567"/>
        </w:tabs>
        <w:ind w:left="567" w:right="567"/>
        <w:jc w:val="both"/>
        <w:rPr>
          <w:rFonts w:ascii="Book Antiqua" w:hAnsi="Book Antiqua" w:cs="Arial"/>
        </w:rPr>
      </w:pPr>
      <w:r>
        <w:rPr>
          <w:rFonts w:ascii="Book Antiqua" w:hAnsi="Book Antiqua" w:cs="Arial"/>
        </w:rPr>
        <w:t>Protection was refused on the 22</w:t>
      </w:r>
      <w:r w:rsidRPr="00625DC7">
        <w:rPr>
          <w:rFonts w:ascii="Book Antiqua" w:hAnsi="Book Antiqua" w:cs="Arial"/>
          <w:vertAlign w:val="superscript"/>
        </w:rPr>
        <w:t>nd</w:t>
      </w:r>
      <w:r>
        <w:rPr>
          <w:rFonts w:ascii="Book Antiqua" w:hAnsi="Book Antiqua" w:cs="Arial"/>
        </w:rPr>
        <w:t xml:space="preserve"> September 2017. The Respondent accepted that the Appellant is Eritrean. The remainder of the account was rejected. It was not accepted that the Appellant is liable for military service in Eritrea because country background evidence indicates that as a married woman she would be exempt.  The Respondent did not believe her account of having experienced difficulties with the Eritrean authorities because it was internally inconsistent.</w:t>
      </w:r>
      <w:r w:rsidR="005A2090">
        <w:rPr>
          <w:rFonts w:ascii="Book Antiqua" w:hAnsi="Book Antiqua" w:cs="Arial"/>
        </w:rPr>
        <w:t xml:space="preserve">  As for her claim to have left the country i</w:t>
      </w:r>
      <w:r w:rsidR="000C4DCB">
        <w:rPr>
          <w:rFonts w:ascii="Book Antiqua" w:hAnsi="Book Antiqua" w:cs="Arial"/>
        </w:rPr>
        <w:t xml:space="preserve">llegally, this was rejected on </w:t>
      </w:r>
      <w:r w:rsidR="005A2090">
        <w:rPr>
          <w:rFonts w:ascii="Book Antiqua" w:hAnsi="Book Antiqua" w:cs="Arial"/>
        </w:rPr>
        <w:t>the grounds that she would have been eligible for an exit visa.</w:t>
      </w:r>
      <w:r w:rsidR="000C4DCB">
        <w:rPr>
          <w:rFonts w:ascii="Book Antiqua" w:hAnsi="Book Antiqua" w:cs="Arial"/>
        </w:rPr>
        <w:t xml:space="preserve">  </w:t>
      </w:r>
    </w:p>
    <w:p w:rsidR="00FD7FC7" w:rsidRDefault="00FD7FC7" w:rsidP="00FD7FC7">
      <w:pPr>
        <w:tabs>
          <w:tab w:val="left" w:pos="567"/>
        </w:tabs>
        <w:ind w:left="567" w:right="567"/>
        <w:jc w:val="both"/>
        <w:rPr>
          <w:rFonts w:ascii="Book Antiqua" w:hAnsi="Book Antiqua" w:cs="Arial"/>
        </w:rPr>
      </w:pPr>
    </w:p>
    <w:p w:rsidR="00FD7FC7" w:rsidRPr="00FD7FC7" w:rsidRDefault="00FD7FC7" w:rsidP="00FD7FC7">
      <w:pPr>
        <w:tabs>
          <w:tab w:val="left" w:pos="567"/>
        </w:tabs>
        <w:ind w:left="567" w:right="567"/>
        <w:jc w:val="both"/>
        <w:rPr>
          <w:rFonts w:ascii="Book Antiqua" w:hAnsi="Book Antiqua" w:cs="Arial"/>
          <w:b/>
        </w:rPr>
      </w:pPr>
      <w:r w:rsidRPr="00FD7FC7">
        <w:rPr>
          <w:rFonts w:ascii="Book Antiqua" w:hAnsi="Book Antiqua" w:cs="Arial"/>
          <w:b/>
        </w:rPr>
        <w:t>The Appeal to the First-tier Tribunal</w:t>
      </w:r>
    </w:p>
    <w:p w:rsidR="005A2090" w:rsidRDefault="005A2090" w:rsidP="005A2090">
      <w:pPr>
        <w:pStyle w:val="ListParagraph"/>
        <w:rPr>
          <w:rFonts w:ascii="Book Antiqua" w:hAnsi="Book Antiqua" w:cs="Arial"/>
        </w:rPr>
      </w:pPr>
    </w:p>
    <w:p w:rsidR="005A2090" w:rsidRDefault="005A2090" w:rsidP="00C869BC">
      <w:pPr>
        <w:numPr>
          <w:ilvl w:val="0"/>
          <w:numId w:val="1"/>
        </w:numPr>
        <w:tabs>
          <w:tab w:val="left" w:pos="567"/>
        </w:tabs>
        <w:ind w:left="567" w:right="567"/>
        <w:jc w:val="both"/>
        <w:rPr>
          <w:rFonts w:ascii="Book Antiqua" w:hAnsi="Book Antiqua" w:cs="Arial"/>
        </w:rPr>
      </w:pPr>
      <w:r>
        <w:rPr>
          <w:rFonts w:ascii="Book Antiqua" w:hAnsi="Book Antiqua" w:cs="Arial"/>
        </w:rPr>
        <w:t>When the Appellant’s appeal came before the First-tier Tribunal the matters in issue were therefore a)</w:t>
      </w:r>
      <w:r w:rsidR="000C4DCB">
        <w:rPr>
          <w:rFonts w:ascii="Book Antiqua" w:hAnsi="Book Antiqua" w:cs="Arial"/>
        </w:rPr>
        <w:t xml:space="preserve"> whether her account of past persecution was credible</w:t>
      </w:r>
      <w:r>
        <w:rPr>
          <w:rFonts w:ascii="Book Antiqua" w:hAnsi="Book Antiqua" w:cs="Arial"/>
        </w:rPr>
        <w:t xml:space="preserve"> b) whether she was eligible for military service and c) </w:t>
      </w:r>
      <w:r w:rsidR="000C4DCB">
        <w:rPr>
          <w:rFonts w:ascii="Book Antiqua" w:hAnsi="Book Antiqua" w:cs="Arial"/>
        </w:rPr>
        <w:t>whether she had left Eritrea illegally</w:t>
      </w:r>
      <w:r>
        <w:rPr>
          <w:rFonts w:ascii="Book Antiqua" w:hAnsi="Book Antiqua" w:cs="Arial"/>
        </w:rPr>
        <w:t>. If the Appellant made any of these factual claims out, to the lower standard of proof, then it was common ground that she would face a real risk of persecution in Eritrea and as a result her appeal would be allowed.</w:t>
      </w:r>
    </w:p>
    <w:p w:rsidR="005A2090" w:rsidRDefault="005A2090" w:rsidP="005A2090">
      <w:pPr>
        <w:pStyle w:val="ListParagraph"/>
        <w:rPr>
          <w:rFonts w:ascii="Book Antiqua" w:hAnsi="Book Antiqua" w:cs="Arial"/>
        </w:rPr>
      </w:pPr>
    </w:p>
    <w:p w:rsidR="005A2090" w:rsidRDefault="000C4DCB" w:rsidP="00C869BC">
      <w:pPr>
        <w:numPr>
          <w:ilvl w:val="0"/>
          <w:numId w:val="1"/>
        </w:numPr>
        <w:tabs>
          <w:tab w:val="left" w:pos="567"/>
        </w:tabs>
        <w:ind w:left="567" w:right="567"/>
        <w:jc w:val="both"/>
        <w:rPr>
          <w:rFonts w:ascii="Book Antiqua" w:hAnsi="Book Antiqua" w:cs="Arial"/>
        </w:rPr>
      </w:pPr>
      <w:r>
        <w:rPr>
          <w:rFonts w:ascii="Book Antiqua" w:hAnsi="Book Antiqua" w:cs="Arial"/>
        </w:rPr>
        <w:lastRenderedPageBreak/>
        <w:t>Judge Holt did not accept that the Appellant had shown any of a), b) or c) to be true. Her reasons were as follows:</w:t>
      </w:r>
    </w:p>
    <w:p w:rsidR="000C4DCB" w:rsidRDefault="000C4DCB" w:rsidP="00D52490">
      <w:pPr>
        <w:numPr>
          <w:ilvl w:val="0"/>
          <w:numId w:val="23"/>
        </w:numPr>
        <w:tabs>
          <w:tab w:val="left" w:pos="567"/>
        </w:tabs>
        <w:spacing w:before="120" w:after="120"/>
        <w:ind w:left="1797" w:hanging="357"/>
        <w:jc w:val="both"/>
        <w:rPr>
          <w:rFonts w:ascii="Book Antiqua" w:hAnsi="Book Antiqua" w:cs="Arial"/>
        </w:rPr>
      </w:pPr>
      <w:r>
        <w:rPr>
          <w:rFonts w:ascii="Book Antiqua" w:hAnsi="Book Antiqua" w:cs="Arial"/>
        </w:rPr>
        <w:t>The Appellant’s evidence at interview was that she was exempt from military service. Her evidence at hearing was in stark contrast: she claimed that she had received call up papers in 1993 and that they had visited her regularly thereafter, including well after her marriage in 1997</w:t>
      </w:r>
      <w:r w:rsidR="000271FE">
        <w:rPr>
          <w:rFonts w:ascii="Book Antiqua" w:hAnsi="Book Antiqua" w:cs="Arial"/>
        </w:rPr>
        <w:t>. This inconsistency weighed against her;</w:t>
      </w:r>
    </w:p>
    <w:p w:rsidR="000C4DCB" w:rsidRDefault="000C4DCB" w:rsidP="00D52490">
      <w:pPr>
        <w:numPr>
          <w:ilvl w:val="0"/>
          <w:numId w:val="23"/>
        </w:numPr>
        <w:tabs>
          <w:tab w:val="left" w:pos="567"/>
        </w:tabs>
        <w:spacing w:before="120" w:after="120"/>
        <w:ind w:left="1797" w:hanging="357"/>
        <w:jc w:val="both"/>
        <w:rPr>
          <w:rFonts w:ascii="Book Antiqua" w:hAnsi="Book Antiqua" w:cs="Arial"/>
        </w:rPr>
      </w:pPr>
      <w:r>
        <w:rPr>
          <w:rFonts w:ascii="Book Antiqua" w:hAnsi="Book Antiqua" w:cs="Arial"/>
        </w:rPr>
        <w:t>She had given an inconsistent account of her husband’s whereabouts. She variously said that he was in jail, that he was no longer in jail and that she did not know his whereabouts;</w:t>
      </w:r>
    </w:p>
    <w:p w:rsidR="000C4DCB" w:rsidRDefault="000C4DCB" w:rsidP="00D52490">
      <w:pPr>
        <w:numPr>
          <w:ilvl w:val="0"/>
          <w:numId w:val="23"/>
        </w:numPr>
        <w:tabs>
          <w:tab w:val="left" w:pos="567"/>
        </w:tabs>
        <w:spacing w:before="120" w:after="120"/>
        <w:ind w:left="1797" w:hanging="357"/>
        <w:jc w:val="both"/>
        <w:rPr>
          <w:rFonts w:ascii="Book Antiqua" w:hAnsi="Book Antiqua" w:cs="Arial"/>
        </w:rPr>
      </w:pPr>
      <w:r>
        <w:rPr>
          <w:rFonts w:ascii="Book Antiqua" w:hAnsi="Book Antiqua" w:cs="Arial"/>
        </w:rPr>
        <w:t>She had given an inconsistent account of how she came to be released from detention. On the one hand she said that she was released after her husband came to find her, and also that her uncle had arranged for her to be bailed;</w:t>
      </w:r>
    </w:p>
    <w:p w:rsidR="000C4DCB" w:rsidRDefault="000C4DCB" w:rsidP="00D52490">
      <w:pPr>
        <w:numPr>
          <w:ilvl w:val="0"/>
          <w:numId w:val="23"/>
        </w:numPr>
        <w:tabs>
          <w:tab w:val="left" w:pos="567"/>
        </w:tabs>
        <w:spacing w:before="120" w:after="120"/>
        <w:ind w:left="1797" w:hanging="357"/>
        <w:jc w:val="both"/>
        <w:rPr>
          <w:rFonts w:ascii="Book Antiqua" w:hAnsi="Book Antiqua" w:cs="Arial"/>
        </w:rPr>
      </w:pPr>
      <w:r>
        <w:rPr>
          <w:rFonts w:ascii="Book Antiqua" w:hAnsi="Book Antiqua" w:cs="Arial"/>
        </w:rPr>
        <w:t>The account of escape from Eritrea by car into Sudan was vague and inconsistent. She said that she had not encountered the authorities on her route out, and then that in fact she had been stopped at a checkpoint but the soldiers took no interest in her because she was ill. Judge Holt did not accept that soldiers at an international border would ignore the Appellant because she was ill</w:t>
      </w:r>
      <w:r w:rsidR="000271FE">
        <w:rPr>
          <w:rFonts w:ascii="Book Antiqua" w:hAnsi="Book Antiqua" w:cs="Arial"/>
        </w:rPr>
        <w:t>;</w:t>
      </w:r>
    </w:p>
    <w:p w:rsidR="000271FE" w:rsidRDefault="000271FE" w:rsidP="00D52490">
      <w:pPr>
        <w:numPr>
          <w:ilvl w:val="0"/>
          <w:numId w:val="23"/>
        </w:numPr>
        <w:tabs>
          <w:tab w:val="left" w:pos="567"/>
        </w:tabs>
        <w:spacing w:before="120" w:after="120"/>
        <w:ind w:left="1797" w:hanging="357"/>
        <w:jc w:val="both"/>
        <w:rPr>
          <w:rFonts w:ascii="Book Antiqua" w:hAnsi="Book Antiqua" w:cs="Arial"/>
        </w:rPr>
      </w:pPr>
      <w:r>
        <w:rPr>
          <w:rFonts w:ascii="Book Antiqua" w:hAnsi="Book Antiqua" w:cs="Arial"/>
        </w:rPr>
        <w:t>The account is “significantly undermined” by the fact that the Appellant declined to have her claim to have been trafficked assessed within the NRM. An assessment and additional support would have done nothing to undermine the Appellant’s claims, apart from “shine light on a dishonest claim if it was not accurate”;</w:t>
      </w:r>
    </w:p>
    <w:p w:rsidR="000271FE" w:rsidRDefault="000271FE" w:rsidP="00D52490">
      <w:pPr>
        <w:numPr>
          <w:ilvl w:val="0"/>
          <w:numId w:val="23"/>
        </w:numPr>
        <w:tabs>
          <w:tab w:val="left" w:pos="567"/>
        </w:tabs>
        <w:spacing w:before="120" w:after="120"/>
        <w:ind w:left="1797" w:hanging="357"/>
        <w:jc w:val="both"/>
        <w:rPr>
          <w:rFonts w:ascii="Book Antiqua" w:hAnsi="Book Antiqua" w:cs="Arial"/>
        </w:rPr>
      </w:pPr>
      <w:r>
        <w:rPr>
          <w:rFonts w:ascii="Book Antiqua" w:hAnsi="Book Antiqua" w:cs="Arial"/>
        </w:rPr>
        <w:t xml:space="preserve">Section 8 </w:t>
      </w:r>
      <w:r w:rsidR="00830C1E">
        <w:rPr>
          <w:rFonts w:ascii="Book Antiqua" w:hAnsi="Book Antiqua" w:cs="Arial"/>
        </w:rPr>
        <w:t xml:space="preserve">of the Asylum, Immigration (Treatment of Claimants etc) Act 2004 </w:t>
      </w:r>
      <w:r>
        <w:rPr>
          <w:rFonts w:ascii="Book Antiqua" w:hAnsi="Book Antiqua" w:cs="Arial"/>
        </w:rPr>
        <w:t>weighed against the Appellant because she did not claim asylum in Greece after allegedly escaping from a situation of domestic servitude.</w:t>
      </w:r>
    </w:p>
    <w:p w:rsidR="000271FE" w:rsidRDefault="000271FE" w:rsidP="00C869BC">
      <w:pPr>
        <w:numPr>
          <w:ilvl w:val="0"/>
          <w:numId w:val="1"/>
        </w:numPr>
        <w:tabs>
          <w:tab w:val="left" w:pos="567"/>
        </w:tabs>
        <w:ind w:left="567" w:right="567"/>
        <w:jc w:val="both"/>
        <w:rPr>
          <w:rFonts w:ascii="Book Antiqua" w:hAnsi="Book Antiqua" w:cs="Arial"/>
        </w:rPr>
      </w:pPr>
      <w:r>
        <w:rPr>
          <w:rFonts w:ascii="Book Antiqua" w:hAnsi="Book Antiqua" w:cs="Arial"/>
        </w:rPr>
        <w:t>The appeal was thereby dismissed.</w:t>
      </w:r>
    </w:p>
    <w:p w:rsidR="00AD1995" w:rsidRDefault="00AD1995" w:rsidP="00284A32">
      <w:pPr>
        <w:tabs>
          <w:tab w:val="left" w:pos="567"/>
        </w:tabs>
        <w:ind w:left="567" w:right="567"/>
        <w:jc w:val="both"/>
        <w:rPr>
          <w:rFonts w:ascii="Book Antiqua" w:hAnsi="Book Antiqua" w:cs="Arial"/>
          <w:b/>
        </w:rPr>
      </w:pPr>
    </w:p>
    <w:p w:rsidR="00284A32" w:rsidRPr="00284A32" w:rsidRDefault="00284A32" w:rsidP="00284A32">
      <w:pPr>
        <w:tabs>
          <w:tab w:val="left" w:pos="567"/>
        </w:tabs>
        <w:ind w:left="567" w:right="567"/>
        <w:jc w:val="both"/>
        <w:rPr>
          <w:rFonts w:ascii="Book Antiqua" w:hAnsi="Book Antiqua" w:cs="Arial"/>
          <w:b/>
        </w:rPr>
      </w:pPr>
      <w:r w:rsidRPr="00284A32">
        <w:rPr>
          <w:rFonts w:ascii="Book Antiqua" w:hAnsi="Book Antiqua" w:cs="Arial"/>
          <w:b/>
        </w:rPr>
        <w:t>The Appeal to the Upper Tribunal</w:t>
      </w:r>
    </w:p>
    <w:p w:rsidR="00625DC7" w:rsidRDefault="00625DC7" w:rsidP="000271FE">
      <w:pPr>
        <w:tabs>
          <w:tab w:val="left" w:pos="567"/>
        </w:tabs>
        <w:ind w:left="567" w:right="567"/>
        <w:jc w:val="both"/>
        <w:rPr>
          <w:rFonts w:ascii="Book Antiqua" w:hAnsi="Book Antiqua" w:cs="Arial"/>
        </w:rPr>
      </w:pPr>
    </w:p>
    <w:p w:rsidR="000271FE" w:rsidRDefault="000271FE" w:rsidP="00A26B0F">
      <w:pPr>
        <w:numPr>
          <w:ilvl w:val="0"/>
          <w:numId w:val="1"/>
        </w:numPr>
        <w:tabs>
          <w:tab w:val="left" w:pos="567"/>
        </w:tabs>
        <w:ind w:left="567" w:right="567"/>
        <w:jc w:val="both"/>
        <w:rPr>
          <w:rFonts w:ascii="Book Antiqua" w:hAnsi="Book Antiqua" w:cs="Arial"/>
        </w:rPr>
      </w:pPr>
      <w:r w:rsidRPr="00284A32">
        <w:rPr>
          <w:rFonts w:ascii="Book Antiqua" w:hAnsi="Book Antiqua" w:cs="Arial"/>
        </w:rPr>
        <w:t>The</w:t>
      </w:r>
      <w:r w:rsidR="00284A32" w:rsidRPr="00284A32">
        <w:rPr>
          <w:rFonts w:ascii="Book Antiqua" w:hAnsi="Book Antiqua" w:cs="Arial"/>
        </w:rPr>
        <w:t xml:space="preserve"> first ground concerned the </w:t>
      </w:r>
      <w:r w:rsidRPr="00284A32">
        <w:rPr>
          <w:rFonts w:ascii="Book Antiqua" w:hAnsi="Book Antiqua" w:cs="Arial"/>
        </w:rPr>
        <w:t>First-tier Tribunal</w:t>
      </w:r>
      <w:r w:rsidR="00284A32" w:rsidRPr="00284A32">
        <w:rPr>
          <w:rFonts w:ascii="Book Antiqua" w:hAnsi="Book Antiqua" w:cs="Arial"/>
        </w:rPr>
        <w:t>’s finding that the Appellant’s evidence was “significantly undermined” by her reluctance to have her case referred to the Competent Authority. The parties are in agreement that t</w:t>
      </w:r>
      <w:r w:rsidRPr="00284A32">
        <w:rPr>
          <w:rFonts w:ascii="Book Antiqua" w:hAnsi="Book Antiqua" w:cs="Arial"/>
        </w:rPr>
        <w:t xml:space="preserve">he </w:t>
      </w:r>
      <w:r w:rsidR="00284A32" w:rsidRPr="00284A32">
        <w:rPr>
          <w:rFonts w:ascii="Book Antiqua" w:hAnsi="Book Antiqua" w:cs="Arial"/>
        </w:rPr>
        <w:t>Tribunal</w:t>
      </w:r>
      <w:r w:rsidR="00284A32">
        <w:rPr>
          <w:rFonts w:ascii="Book Antiqua" w:hAnsi="Book Antiqua" w:cs="Arial"/>
        </w:rPr>
        <w:t xml:space="preserve"> could not rationally draw </w:t>
      </w:r>
      <w:r w:rsidR="00284A32" w:rsidRPr="00284A32">
        <w:rPr>
          <w:rFonts w:ascii="Book Antiqua" w:hAnsi="Book Antiqua" w:cs="Arial"/>
        </w:rPr>
        <w:t xml:space="preserve">adverse inference from that matter.  </w:t>
      </w:r>
      <w:r w:rsidR="00284A32">
        <w:rPr>
          <w:rFonts w:ascii="Book Antiqua" w:hAnsi="Book Antiqua" w:cs="Arial"/>
        </w:rPr>
        <w:t>T</w:t>
      </w:r>
      <w:r w:rsidRPr="00284A32">
        <w:rPr>
          <w:rFonts w:ascii="Book Antiqua" w:hAnsi="Book Antiqua" w:cs="Arial"/>
        </w:rPr>
        <w:t xml:space="preserve">he Appellant </w:t>
      </w:r>
      <w:r w:rsidR="00284A32">
        <w:rPr>
          <w:rFonts w:ascii="Book Antiqua" w:hAnsi="Book Antiqua" w:cs="Arial"/>
        </w:rPr>
        <w:t>had explained in her evidence that</w:t>
      </w:r>
      <w:r w:rsidRPr="00284A32">
        <w:rPr>
          <w:rFonts w:ascii="Book Antiqua" w:hAnsi="Book Antiqua" w:cs="Arial"/>
        </w:rPr>
        <w:t xml:space="preserve"> she was seeking to ‘close the chapter’ on her exploita</w:t>
      </w:r>
      <w:r w:rsidR="00284A32">
        <w:rPr>
          <w:rFonts w:ascii="Book Antiqua" w:hAnsi="Book Antiqua" w:cs="Arial"/>
        </w:rPr>
        <w:t>tion in Saudi Arabia and Greece; she did not want to talk about it and nor was she relying on it as part of her claim. She</w:t>
      </w:r>
      <w:r w:rsidRPr="00284A32">
        <w:rPr>
          <w:rFonts w:ascii="Book Antiqua" w:hAnsi="Book Antiqua" w:cs="Arial"/>
        </w:rPr>
        <w:t xml:space="preserve"> was no longer in a trafficking situation, </w:t>
      </w:r>
      <w:r w:rsidR="0032025B">
        <w:rPr>
          <w:rFonts w:ascii="Book Antiqua" w:hAnsi="Book Antiqua" w:cs="Arial"/>
        </w:rPr>
        <w:t>n</w:t>
      </w:r>
      <w:r w:rsidRPr="00284A32">
        <w:rPr>
          <w:rFonts w:ascii="Book Antiqua" w:hAnsi="Book Antiqua" w:cs="Arial"/>
        </w:rPr>
        <w:t>or at risk of that situation arising again. There was, from her perspective, nothing to be gained from e</w:t>
      </w:r>
      <w:r w:rsidR="00284A32">
        <w:rPr>
          <w:rFonts w:ascii="Book Antiqua" w:hAnsi="Book Antiqua" w:cs="Arial"/>
        </w:rPr>
        <w:t>ntering into the NRM. The evidence about what happened in Saudi Arabia was peripheral at best.</w:t>
      </w:r>
    </w:p>
    <w:p w:rsidR="00284A32" w:rsidRDefault="00284A32" w:rsidP="00284A32">
      <w:pPr>
        <w:tabs>
          <w:tab w:val="left" w:pos="567"/>
        </w:tabs>
        <w:ind w:left="567" w:right="567"/>
        <w:jc w:val="both"/>
        <w:rPr>
          <w:rFonts w:ascii="Book Antiqua" w:hAnsi="Book Antiqua" w:cs="Arial"/>
        </w:rPr>
      </w:pPr>
    </w:p>
    <w:p w:rsidR="00284A32" w:rsidRDefault="00284A32" w:rsidP="00A26B0F">
      <w:pPr>
        <w:numPr>
          <w:ilvl w:val="0"/>
          <w:numId w:val="1"/>
        </w:numPr>
        <w:tabs>
          <w:tab w:val="left" w:pos="567"/>
        </w:tabs>
        <w:ind w:left="567" w:right="567"/>
        <w:jc w:val="both"/>
        <w:rPr>
          <w:rFonts w:ascii="Book Antiqua" w:hAnsi="Book Antiqua" w:cs="Arial"/>
        </w:rPr>
      </w:pPr>
      <w:r>
        <w:rPr>
          <w:rFonts w:ascii="Book Antiqua" w:hAnsi="Book Antiqua" w:cs="Arial"/>
        </w:rPr>
        <w:lastRenderedPageBreak/>
        <w:t xml:space="preserve">The second ground is that the Tribunal acted improperly in applying s8 of AI(TC)A 2002. Mr Holmes has a number of complaints.  The Appellant had, it is claimed, escaped her traffickers in Greece, and flown directly to the UK.  She did not therefore pass through any third countries where it would have been reasonable for her to make a claim for asylum. </w:t>
      </w:r>
      <w:r w:rsidR="006E4796">
        <w:rPr>
          <w:rFonts w:ascii="Book Antiqua" w:hAnsi="Book Antiqua" w:cs="Arial"/>
        </w:rPr>
        <w:t>It was no doubt for that reason that the Respondent had not relied on s8 in the refusal letter. The Appellant was therefore quite unaware that the Tribunal was going to invoke the provision, and omitted to make submissions on it.    As I indicated at the hearing, I can find no error in the Tribunal considering a statutory provision that it is obliged to apply</w:t>
      </w:r>
      <w:r w:rsidR="00A907F0">
        <w:rPr>
          <w:rFonts w:ascii="Book Antiqua" w:hAnsi="Book Antiqua" w:cs="Arial"/>
        </w:rPr>
        <w:t xml:space="preserve">; it makes no difference whether the Respondent has raised it or not. What is significant is the fact that no submissions were invited on the point. Had they been, the Appellant would have had the opportunity to address the Tribunal’s concerns.   Before me Mr Holmes gave some indication of what his submissions might have been: </w:t>
      </w:r>
      <w:proofErr w:type="gramStart"/>
      <w:r w:rsidR="00A907F0">
        <w:rPr>
          <w:rFonts w:ascii="Book Antiqua" w:hAnsi="Book Antiqua" w:cs="Arial"/>
        </w:rPr>
        <w:t>the</w:t>
      </w:r>
      <w:proofErr w:type="gramEnd"/>
      <w:r w:rsidR="00A907F0">
        <w:rPr>
          <w:rFonts w:ascii="Book Antiqua" w:hAnsi="Book Antiqua" w:cs="Arial"/>
        </w:rPr>
        <w:t xml:space="preserve"> Appellant had good reason to want to get as far away from Greece as possible, and on the present state of Dublin Convention jurisprudence, there is nothing reasonable about claiming asylum in Greece.   </w:t>
      </w:r>
    </w:p>
    <w:p w:rsidR="00A907F0" w:rsidRDefault="00A907F0" w:rsidP="00A907F0">
      <w:pPr>
        <w:tabs>
          <w:tab w:val="left" w:pos="567"/>
        </w:tabs>
        <w:ind w:left="567" w:right="567"/>
        <w:jc w:val="both"/>
        <w:rPr>
          <w:rFonts w:ascii="Book Antiqua" w:hAnsi="Book Antiqua" w:cs="Arial"/>
        </w:rPr>
      </w:pPr>
    </w:p>
    <w:p w:rsidR="00A907F0" w:rsidRDefault="00A907F0" w:rsidP="00A26B0F">
      <w:pPr>
        <w:numPr>
          <w:ilvl w:val="0"/>
          <w:numId w:val="1"/>
        </w:numPr>
        <w:tabs>
          <w:tab w:val="left" w:pos="567"/>
        </w:tabs>
        <w:ind w:left="567" w:right="567"/>
        <w:jc w:val="both"/>
        <w:rPr>
          <w:rFonts w:ascii="Book Antiqua" w:hAnsi="Book Antiqua" w:cs="Arial"/>
        </w:rPr>
      </w:pPr>
      <w:r>
        <w:rPr>
          <w:rFonts w:ascii="Book Antiqua" w:hAnsi="Book Antiqua" w:cs="Arial"/>
        </w:rPr>
        <w:t>The third ground concerns the First-tier Tribunal’s finding that the Appellant gave inconsistent evidence about her eligibility for military service.</w:t>
      </w:r>
      <w:r w:rsidR="00F660C0">
        <w:rPr>
          <w:rFonts w:ascii="Book Antiqua" w:hAnsi="Book Antiqua" w:cs="Arial"/>
        </w:rPr>
        <w:t xml:space="preserve">  The Tribunal, quite properly, connected this issue to whether or not the Appellant had left the country illegally, so it assumed great significance in the overall risk assessment because it went to both issues (b) and (c) identified above.  At paragraph 18 of its decision the Tribunal noted the answer recorded in the Appellant’s asylum interview record at Q81, where she states that after her marriage in 1997 she was ‘exempted’ from military service. The determination then reads:</w:t>
      </w:r>
    </w:p>
    <w:p w:rsidR="00F660C0" w:rsidRPr="00D52490" w:rsidRDefault="00F660C0" w:rsidP="00D52490">
      <w:pPr>
        <w:tabs>
          <w:tab w:val="left" w:pos="567"/>
        </w:tabs>
        <w:spacing w:before="120" w:after="120"/>
        <w:ind w:left="1440" w:right="567"/>
        <w:jc w:val="both"/>
        <w:rPr>
          <w:rFonts w:ascii="Book Antiqua" w:hAnsi="Book Antiqua" w:cs="Arial"/>
          <w:sz w:val="22"/>
        </w:rPr>
      </w:pPr>
      <w:r w:rsidRPr="00D52490">
        <w:rPr>
          <w:rFonts w:ascii="Book Antiqua" w:hAnsi="Book Antiqua" w:cs="Arial"/>
          <w:sz w:val="22"/>
        </w:rPr>
        <w:t>“This earlier assertion of being exempt is in stark contrast with the appellant’s evidence at the hearing when she said that she received call up papers in 1993 and was visited regularly thereafter until they stopped asking her. She went on to imply that she was punished for failing to enlist by losing her rations and also by being forbidden from working. In cross-examination she claimed that she had continued to receive call-up papers well after 1997 (</w:t>
      </w:r>
      <w:proofErr w:type="spellStart"/>
      <w:r w:rsidRPr="00D52490">
        <w:rPr>
          <w:rFonts w:ascii="Book Antiqua" w:hAnsi="Book Antiqua" w:cs="Arial"/>
          <w:sz w:val="22"/>
        </w:rPr>
        <w:t>ie</w:t>
      </w:r>
      <w:proofErr w:type="spellEnd"/>
      <w:r w:rsidRPr="00D52490">
        <w:rPr>
          <w:rFonts w:ascii="Book Antiqua" w:hAnsi="Book Antiqua" w:cs="Arial"/>
          <w:sz w:val="22"/>
        </w:rPr>
        <w:t xml:space="preserve"> after getting married). I am not satisfied that what the appellant described was a “</w:t>
      </w:r>
      <w:r w:rsidRPr="00D52490">
        <w:rPr>
          <w:rFonts w:ascii="Book Antiqua" w:hAnsi="Book Antiqua" w:cs="Arial"/>
          <w:i/>
          <w:sz w:val="22"/>
        </w:rPr>
        <w:t>de facto</w:t>
      </w:r>
      <w:r w:rsidRPr="00D52490">
        <w:rPr>
          <w:rFonts w:ascii="Book Antiqua" w:hAnsi="Book Antiqua" w:cs="Arial"/>
          <w:sz w:val="22"/>
        </w:rPr>
        <w:t>” exemption as claimed by [Appellant’s Counsel] Mr Greer. There is no rational explanation for the complete change of evidence between the interview and the hearing from the appellant on this key issue in the case”.</w:t>
      </w:r>
    </w:p>
    <w:p w:rsidR="00A907F0" w:rsidRDefault="00F660C0" w:rsidP="00A26B0F">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Mr Bates agreed that looking at the interview record it is hard to say where the ‘stark contrast’ in evidence was. </w:t>
      </w:r>
      <w:r w:rsidR="005C0846">
        <w:rPr>
          <w:rFonts w:ascii="Book Antiqua" w:hAnsi="Book Antiqua" w:cs="Arial"/>
        </w:rPr>
        <w:t xml:space="preserve">  That is because almost everything that the Appellant said</w:t>
      </w:r>
      <w:r w:rsidR="00B74189">
        <w:rPr>
          <w:rFonts w:ascii="Book Antiqua" w:hAnsi="Book Antiqua" w:cs="Arial"/>
        </w:rPr>
        <w:t xml:space="preserve"> at the hearing, she had already </w:t>
      </w:r>
      <w:r w:rsidR="005C0846">
        <w:rPr>
          <w:rFonts w:ascii="Book Antiqua" w:hAnsi="Book Antiqua" w:cs="Arial"/>
        </w:rPr>
        <w:t>said at interview. Specifically, the Appellant mentioned being subject to sanctions such as losing her rations [Q78</w:t>
      </w:r>
      <w:proofErr w:type="gramStart"/>
      <w:r w:rsidR="005C0846">
        <w:rPr>
          <w:rFonts w:ascii="Book Antiqua" w:hAnsi="Book Antiqua" w:cs="Arial"/>
        </w:rPr>
        <w:t>],  receiving</w:t>
      </w:r>
      <w:proofErr w:type="gramEnd"/>
      <w:r w:rsidR="005C0846">
        <w:rPr>
          <w:rFonts w:ascii="Book Antiqua" w:hAnsi="Book Antiqua" w:cs="Arial"/>
        </w:rPr>
        <w:t xml:space="preserve"> call up papers “at least twice a year” [Q77, Q78], and that every time she received them she would have to explain her situation to the authorities [Q77]. She confirmed that being married, or having to look after disabled relatives was treated as a reason to ‘exempt’ you but also explained that this was not a formal ‘exemption’:</w:t>
      </w:r>
    </w:p>
    <w:p w:rsidR="005C0846" w:rsidRPr="00284A32" w:rsidRDefault="005C0846" w:rsidP="00D52490">
      <w:pPr>
        <w:tabs>
          <w:tab w:val="left" w:pos="567"/>
        </w:tabs>
        <w:spacing w:before="120" w:after="120"/>
        <w:ind w:left="1440"/>
        <w:jc w:val="both"/>
        <w:rPr>
          <w:rFonts w:ascii="Book Antiqua" w:hAnsi="Book Antiqua" w:cs="Arial"/>
        </w:rPr>
      </w:pPr>
      <w:r>
        <w:rPr>
          <w:rFonts w:ascii="Book Antiqua" w:hAnsi="Book Antiqua" w:cs="Arial"/>
        </w:rPr>
        <w:lastRenderedPageBreak/>
        <w:t>“I was not exempted because there is no such thing but as and when I received my call up letters from the authorities I would explain to them my family circumstances so I was literally deferred”</w:t>
      </w:r>
    </w:p>
    <w:p w:rsidR="005C0846" w:rsidRDefault="005C0846" w:rsidP="005C0846">
      <w:pPr>
        <w:tabs>
          <w:tab w:val="left" w:pos="567"/>
        </w:tabs>
        <w:ind w:left="567" w:right="567"/>
        <w:jc w:val="both"/>
        <w:rPr>
          <w:rFonts w:ascii="Book Antiqua" w:hAnsi="Book Antiqua" w:cs="Arial"/>
        </w:rPr>
      </w:pPr>
      <w:r>
        <w:rPr>
          <w:rFonts w:ascii="Book Antiqua" w:hAnsi="Book Antiqua" w:cs="Arial"/>
        </w:rPr>
        <w:t xml:space="preserve">The Appellant had therefore already explained that she was regularly required to report for duty, or give reasons why she should not be required to do so. The </w:t>
      </w:r>
    </w:p>
    <w:p w:rsidR="005C0846" w:rsidRDefault="005C0846" w:rsidP="005C0846">
      <w:pPr>
        <w:tabs>
          <w:tab w:val="left" w:pos="567"/>
        </w:tabs>
        <w:ind w:left="567" w:right="567"/>
        <w:jc w:val="both"/>
        <w:rPr>
          <w:rFonts w:ascii="Book Antiqua" w:hAnsi="Book Antiqua" w:cs="Arial"/>
        </w:rPr>
      </w:pPr>
      <w:r>
        <w:rPr>
          <w:rFonts w:ascii="Book Antiqua" w:hAnsi="Book Antiqua" w:cs="Arial"/>
        </w:rPr>
        <w:t>only omission in the interview record was that it is not specifically mentioned that this process continued after her marriage in 1997.  As Mr Holmes points out, and Mr Bates very fairly accepts, this question was not put to her</w:t>
      </w:r>
      <w:r w:rsidR="00B74189">
        <w:rPr>
          <w:rFonts w:ascii="Book Antiqua" w:hAnsi="Book Antiqua" w:cs="Arial"/>
        </w:rPr>
        <w:t>. There is nothing in the interview to the effect that the regular service of call up papers ceased after she was married.</w:t>
      </w:r>
    </w:p>
    <w:p w:rsidR="005C0846" w:rsidRDefault="005C0846" w:rsidP="005C0846">
      <w:pPr>
        <w:tabs>
          <w:tab w:val="left" w:pos="567"/>
        </w:tabs>
        <w:ind w:right="567"/>
        <w:jc w:val="both"/>
        <w:rPr>
          <w:rFonts w:ascii="Book Antiqua" w:hAnsi="Book Antiqua" w:cs="Arial"/>
        </w:rPr>
      </w:pPr>
    </w:p>
    <w:p w:rsidR="00B74189" w:rsidRDefault="00B74189" w:rsidP="00C869BC">
      <w:pPr>
        <w:numPr>
          <w:ilvl w:val="0"/>
          <w:numId w:val="1"/>
        </w:numPr>
        <w:tabs>
          <w:tab w:val="left" w:pos="567"/>
        </w:tabs>
        <w:ind w:left="567" w:right="567"/>
        <w:jc w:val="both"/>
        <w:rPr>
          <w:rFonts w:ascii="Book Antiqua" w:hAnsi="Book Antiqua" w:cs="Arial"/>
        </w:rPr>
      </w:pPr>
      <w:r>
        <w:rPr>
          <w:rFonts w:ascii="Book Antiqua" w:hAnsi="Book Antiqua" w:cs="Arial"/>
        </w:rPr>
        <w:t xml:space="preserve">The fourth ground is really an extension of the third. The grounds refer to the headnote in </w:t>
      </w:r>
      <w:r w:rsidRPr="00B74189">
        <w:rPr>
          <w:rFonts w:ascii="Book Antiqua" w:hAnsi="Book Antiqua" w:cs="Arial"/>
          <w:u w:val="single"/>
        </w:rPr>
        <w:t>MST and Others (National Service –</w:t>
      </w:r>
      <w:r>
        <w:rPr>
          <w:rFonts w:ascii="Book Antiqua" w:hAnsi="Book Antiqua" w:cs="Arial"/>
          <w:u w:val="single"/>
        </w:rPr>
        <w:t xml:space="preserve"> R</w:t>
      </w:r>
      <w:r w:rsidRPr="00B74189">
        <w:rPr>
          <w:rFonts w:ascii="Book Antiqua" w:hAnsi="Book Antiqua" w:cs="Arial"/>
          <w:u w:val="single"/>
        </w:rPr>
        <w:t xml:space="preserve">isk </w:t>
      </w:r>
      <w:r>
        <w:rPr>
          <w:rFonts w:ascii="Book Antiqua" w:hAnsi="Book Antiqua" w:cs="Arial"/>
          <w:u w:val="single"/>
        </w:rPr>
        <w:t>C</w:t>
      </w:r>
      <w:r w:rsidRPr="00B74189">
        <w:rPr>
          <w:rFonts w:ascii="Book Antiqua" w:hAnsi="Book Antiqua" w:cs="Arial"/>
          <w:u w:val="single"/>
        </w:rPr>
        <w:t>ategories</w:t>
      </w:r>
      <w:r>
        <w:rPr>
          <w:rFonts w:ascii="Book Antiqua" w:hAnsi="Book Antiqua" w:cs="Arial"/>
        </w:rPr>
        <w:t xml:space="preserve">) CG [2016] UKUT 443 (IAC) to submit that the Tribunal failed to make clear findings on whether or not the Appellant had in fact completed her military service, and if not why not. As can be seen from the passage cited above, the Tribunal rejected the suggestion that the Appellant had been given </w:t>
      </w:r>
      <w:r w:rsidRPr="00B74189">
        <w:rPr>
          <w:rFonts w:ascii="Book Antiqua" w:hAnsi="Book Antiqua" w:cs="Arial"/>
          <w:i/>
        </w:rPr>
        <w:t>de facto</w:t>
      </w:r>
      <w:r>
        <w:rPr>
          <w:rFonts w:ascii="Book Antiqua" w:hAnsi="Book Antiqua" w:cs="Arial"/>
        </w:rPr>
        <w:t xml:space="preserve"> exemption, but since the reasoning underpinning that finding is agreed to be misconceived that finding must be set aside.</w:t>
      </w:r>
    </w:p>
    <w:p w:rsidR="00EF7BC5" w:rsidRDefault="00EF7BC5" w:rsidP="00EF7BC5">
      <w:pPr>
        <w:tabs>
          <w:tab w:val="left" w:pos="567"/>
        </w:tabs>
        <w:ind w:left="567" w:right="567"/>
        <w:jc w:val="both"/>
        <w:rPr>
          <w:rFonts w:ascii="Book Antiqua" w:hAnsi="Book Antiqua" w:cs="Arial"/>
        </w:rPr>
      </w:pPr>
    </w:p>
    <w:p w:rsidR="00EF7BC5" w:rsidRDefault="00EF7BC5" w:rsidP="00C869BC">
      <w:pPr>
        <w:numPr>
          <w:ilvl w:val="0"/>
          <w:numId w:val="1"/>
        </w:numPr>
        <w:tabs>
          <w:tab w:val="left" w:pos="567"/>
        </w:tabs>
        <w:ind w:left="567" w:right="567"/>
        <w:jc w:val="both"/>
        <w:rPr>
          <w:rFonts w:ascii="Book Antiqua" w:hAnsi="Book Antiqua" w:cs="Arial"/>
        </w:rPr>
      </w:pPr>
      <w:r>
        <w:rPr>
          <w:rFonts w:ascii="Book Antiqua" w:hAnsi="Book Antiqua" w:cs="Arial"/>
        </w:rPr>
        <w:t>That is the extent of the agreement between the parties. The Secretary of State invites me to set aside the Tribunal’s findings on the NRM, section 8, and whether or not the Appellant was exempt from military service. Mr Bates was not however prepared to concede ground five.</w:t>
      </w:r>
    </w:p>
    <w:p w:rsidR="00EF7BC5" w:rsidRDefault="00EF7BC5" w:rsidP="00EF7BC5">
      <w:pPr>
        <w:pStyle w:val="ListParagraph"/>
        <w:rPr>
          <w:rFonts w:ascii="Book Antiqua" w:hAnsi="Book Antiqua" w:cs="Arial"/>
        </w:rPr>
      </w:pPr>
    </w:p>
    <w:p w:rsidR="0032025B" w:rsidRDefault="00EF7BC5" w:rsidP="0032025B">
      <w:pPr>
        <w:numPr>
          <w:ilvl w:val="0"/>
          <w:numId w:val="1"/>
        </w:numPr>
        <w:tabs>
          <w:tab w:val="left" w:pos="567"/>
        </w:tabs>
        <w:ind w:left="567" w:right="567"/>
        <w:jc w:val="both"/>
        <w:rPr>
          <w:rFonts w:ascii="Book Antiqua" w:hAnsi="Book Antiqua" w:cs="Arial"/>
        </w:rPr>
      </w:pPr>
      <w:r>
        <w:rPr>
          <w:rFonts w:ascii="Book Antiqua" w:hAnsi="Book Antiqua" w:cs="Arial"/>
        </w:rPr>
        <w:t xml:space="preserve">Ground five is that the Tribunal failed to take material evidence into account when reaching its findings on the Appellant’s claimed illegal exit from Eritrea. The Appellant said that she was taken out of Eritrea into Sudan by car. Having initially claimed that she did not encounter the Eritrean authorities on this journey she then said in cross examination that the car had been stopped at a checkpoint but the driver had said that she was ill and so they had been waived through. Mr Holmes took me to country background material which indicated that the border is porous, and that the Eritrean authorities are well aware that many people travel to Sudan for medical treatment.  </w:t>
      </w:r>
      <w:r w:rsidR="0032025B">
        <w:rPr>
          <w:rFonts w:ascii="Book Antiqua" w:hAnsi="Book Antiqua" w:cs="Arial"/>
        </w:rPr>
        <w:t xml:space="preserve">He submitted that the Tribunal failed to have regard to that evidence when reaching its findings on the plausibility of the Appellant’s illegal exit.   </w:t>
      </w:r>
    </w:p>
    <w:p w:rsidR="0032025B" w:rsidRDefault="0032025B" w:rsidP="0032025B">
      <w:pPr>
        <w:pStyle w:val="ListParagraph"/>
        <w:rPr>
          <w:rFonts w:ascii="Book Antiqua" w:hAnsi="Book Antiqua" w:cs="Arial"/>
        </w:rPr>
      </w:pPr>
    </w:p>
    <w:p w:rsidR="0032025B" w:rsidRDefault="0032025B" w:rsidP="0032025B">
      <w:pPr>
        <w:numPr>
          <w:ilvl w:val="0"/>
          <w:numId w:val="1"/>
        </w:numPr>
        <w:tabs>
          <w:tab w:val="left" w:pos="567"/>
        </w:tabs>
        <w:ind w:left="567" w:right="567"/>
        <w:jc w:val="both"/>
        <w:rPr>
          <w:rFonts w:ascii="Book Antiqua" w:hAnsi="Book Antiqua" w:cs="Arial"/>
        </w:rPr>
      </w:pPr>
      <w:r>
        <w:rPr>
          <w:rFonts w:ascii="Book Antiqua" w:hAnsi="Book Antiqua" w:cs="Arial"/>
        </w:rPr>
        <w:t>Had the findings of the Tribunal been based on ‘plausibility’ I would have agreed.   They were not</w:t>
      </w:r>
      <w:r w:rsidR="009E7840">
        <w:rPr>
          <w:rFonts w:ascii="Book Antiqua" w:hAnsi="Book Antiqua" w:cs="Arial"/>
        </w:rPr>
        <w:t>, however,</w:t>
      </w:r>
      <w:r>
        <w:rPr>
          <w:rFonts w:ascii="Book Antiqua" w:hAnsi="Book Antiqua" w:cs="Arial"/>
        </w:rPr>
        <w:t xml:space="preserve"> so premised. The point made at paragraph 19 of the determination is that the Appellant gave inconsistent accounts about her exit. The Tribunal was plainly entitled to draw adverse inference from that. I do not find ground five to be made out.</w:t>
      </w:r>
    </w:p>
    <w:p w:rsidR="0032025B" w:rsidRDefault="0032025B" w:rsidP="0032025B">
      <w:pPr>
        <w:pStyle w:val="ListParagraph"/>
        <w:rPr>
          <w:rFonts w:ascii="Book Antiqua" w:hAnsi="Book Antiqua" w:cs="Arial"/>
        </w:rPr>
      </w:pPr>
    </w:p>
    <w:p w:rsidR="00EF7BC5" w:rsidRDefault="0032025B" w:rsidP="0032025B">
      <w:pPr>
        <w:numPr>
          <w:ilvl w:val="0"/>
          <w:numId w:val="1"/>
        </w:numPr>
        <w:tabs>
          <w:tab w:val="left" w:pos="567"/>
        </w:tabs>
        <w:ind w:left="567" w:right="567"/>
        <w:jc w:val="both"/>
        <w:rPr>
          <w:rFonts w:ascii="Book Antiqua" w:hAnsi="Book Antiqua" w:cs="Arial"/>
        </w:rPr>
      </w:pPr>
      <w:r>
        <w:rPr>
          <w:rFonts w:ascii="Book Antiqua" w:hAnsi="Book Antiqua" w:cs="Arial"/>
        </w:rPr>
        <w:t>The question now arises: are the cumulative errors identified in grounds (</w:t>
      </w:r>
      <w:proofErr w:type="gramStart"/>
      <w:r>
        <w:rPr>
          <w:rFonts w:ascii="Book Antiqua" w:hAnsi="Book Antiqua" w:cs="Arial"/>
        </w:rPr>
        <w:t>1)-(</w:t>
      </w:r>
      <w:proofErr w:type="gramEnd"/>
      <w:r>
        <w:rPr>
          <w:rFonts w:ascii="Book Antiqua" w:hAnsi="Book Antiqua" w:cs="Arial"/>
        </w:rPr>
        <w:t xml:space="preserve">4) so material that the decision overall must be set aside? </w:t>
      </w:r>
      <w:r w:rsidR="00EF7BC5" w:rsidRPr="0032025B">
        <w:rPr>
          <w:rFonts w:ascii="Book Antiqua" w:hAnsi="Book Antiqua" w:cs="Arial"/>
        </w:rPr>
        <w:t xml:space="preserve"> </w:t>
      </w:r>
      <w:r>
        <w:rPr>
          <w:rFonts w:ascii="Book Antiqua" w:hAnsi="Book Antiqua" w:cs="Arial"/>
        </w:rPr>
        <w:t xml:space="preserve"> Although in his submissions Mr Bates suggested that the real question was illegal exit, it is plain </w:t>
      </w:r>
      <w:r>
        <w:rPr>
          <w:rFonts w:ascii="Book Antiqua" w:hAnsi="Book Antiqua" w:cs="Arial"/>
        </w:rPr>
        <w:lastRenderedPageBreak/>
        <w:t>from the reasoning that the Tribunal did consider credibility in the round. Having reached strongly adverse conclusions about the matters arising in grounds (</w:t>
      </w:r>
      <w:proofErr w:type="gramStart"/>
      <w:r>
        <w:rPr>
          <w:rFonts w:ascii="Book Antiqua" w:hAnsi="Book Antiqua" w:cs="Arial"/>
        </w:rPr>
        <w:t>1)-(</w:t>
      </w:r>
      <w:proofErr w:type="gramEnd"/>
      <w:r>
        <w:rPr>
          <w:rFonts w:ascii="Book Antiqua" w:hAnsi="Book Antiqua" w:cs="Arial"/>
        </w:rPr>
        <w:t>4) I cannot be satisfied that the Tribunal was not influenced by those conclusions when it came to assess the evidence about the Appellant’s departure from Eritrea.</w:t>
      </w:r>
      <w:r w:rsidR="009E7840">
        <w:rPr>
          <w:rFonts w:ascii="Book Antiqua" w:hAnsi="Book Antiqua" w:cs="Arial"/>
        </w:rPr>
        <w:t xml:space="preserve"> Nor can I be satisfied that the </w:t>
      </w:r>
      <w:r w:rsidR="004F1D33">
        <w:rPr>
          <w:rFonts w:ascii="Book Antiqua" w:hAnsi="Book Antiqua" w:cs="Arial"/>
        </w:rPr>
        <w:t xml:space="preserve">other </w:t>
      </w:r>
      <w:r w:rsidR="009E7840">
        <w:rPr>
          <w:rFonts w:ascii="Book Antiqua" w:hAnsi="Book Antiqua" w:cs="Arial"/>
        </w:rPr>
        <w:t xml:space="preserve">undisturbed findings (see </w:t>
      </w:r>
      <w:r w:rsidR="004F1D33">
        <w:rPr>
          <w:rFonts w:ascii="Book Antiqua" w:hAnsi="Book Antiqua" w:cs="Arial"/>
        </w:rPr>
        <w:t>my paragraph 7(ii)(iii)</w:t>
      </w:r>
      <w:r>
        <w:rPr>
          <w:rFonts w:ascii="Book Antiqua" w:hAnsi="Book Antiqua" w:cs="Arial"/>
        </w:rPr>
        <w:t xml:space="preserve"> </w:t>
      </w:r>
      <w:r w:rsidR="004F1D33">
        <w:rPr>
          <w:rFonts w:ascii="Book Antiqua" w:hAnsi="Book Antiqua" w:cs="Arial"/>
        </w:rPr>
        <w:t>above) are such that the decision can properly stand.</w:t>
      </w:r>
      <w:r>
        <w:rPr>
          <w:rFonts w:ascii="Book Antiqua" w:hAnsi="Book Antiqua" w:cs="Arial"/>
        </w:rPr>
        <w:t xml:space="preserve">   I must therefore set the decision aside in its entirety. The parties invited me to remit the matter to the First-tier Tribunal for hearing </w:t>
      </w:r>
      <w:r w:rsidRPr="0032025B">
        <w:rPr>
          <w:rFonts w:ascii="Book Antiqua" w:hAnsi="Book Antiqua" w:cs="Arial"/>
          <w:i/>
        </w:rPr>
        <w:t>de novo</w:t>
      </w:r>
      <w:r>
        <w:rPr>
          <w:rFonts w:ascii="Book Antiqua" w:hAnsi="Book Antiqua" w:cs="Arial"/>
        </w:rPr>
        <w:t>.   Given the extent of judicial fact finding required, I accept that this is the proper disposal.</w:t>
      </w:r>
    </w:p>
    <w:p w:rsidR="002B0CAA" w:rsidRDefault="002B0CAA" w:rsidP="0032025B">
      <w:pPr>
        <w:pStyle w:val="ListParagraph"/>
        <w:rPr>
          <w:rFonts w:ascii="Book Antiqua" w:hAnsi="Book Antiqua" w:cs="Arial"/>
        </w:rPr>
      </w:pPr>
    </w:p>
    <w:p w:rsidR="002B0CAA" w:rsidRPr="00077465" w:rsidRDefault="002B0CAA" w:rsidP="002B0CAA">
      <w:pPr>
        <w:tabs>
          <w:tab w:val="left" w:pos="567"/>
        </w:tabs>
        <w:ind w:left="567" w:right="567"/>
        <w:jc w:val="both"/>
        <w:rPr>
          <w:rFonts w:ascii="Book Antiqua" w:hAnsi="Book Antiqua" w:cs="Arial"/>
          <w:b/>
        </w:rPr>
      </w:pPr>
      <w:r w:rsidRPr="00077465">
        <w:rPr>
          <w:rFonts w:ascii="Book Antiqua" w:hAnsi="Book Antiqua" w:cs="Arial"/>
          <w:b/>
        </w:rPr>
        <w:t>Anonymity Order</w:t>
      </w:r>
    </w:p>
    <w:p w:rsidR="002B0CAA" w:rsidRDefault="002B0CAA" w:rsidP="002B0CAA">
      <w:pPr>
        <w:pStyle w:val="ListParagraph"/>
        <w:rPr>
          <w:rFonts w:ascii="Book Antiqua" w:hAnsi="Book Antiqua" w:cs="Arial"/>
        </w:rPr>
      </w:pPr>
    </w:p>
    <w:p w:rsidR="002B0CAA" w:rsidRPr="00742C45" w:rsidRDefault="002B0CAA" w:rsidP="002B0CAA">
      <w:pPr>
        <w:numPr>
          <w:ilvl w:val="0"/>
          <w:numId w:val="1"/>
        </w:numPr>
        <w:tabs>
          <w:tab w:val="clear" w:pos="786"/>
          <w:tab w:val="left" w:pos="567"/>
          <w:tab w:val="num" w:pos="1080"/>
        </w:tabs>
        <w:ind w:left="567" w:right="567"/>
        <w:jc w:val="both"/>
        <w:rPr>
          <w:rFonts w:ascii="Book Antiqua" w:hAnsi="Book Antiqua" w:cs="Arial"/>
        </w:rPr>
      </w:pPr>
      <w:r>
        <w:rPr>
          <w:rFonts w:ascii="Book Antiqua" w:hAnsi="Book Antiqua" w:cs="Arial"/>
        </w:rPr>
        <w:t xml:space="preserve">This appeal concerns the Refugee Convention.  </w:t>
      </w:r>
      <w:r w:rsidRPr="00742C45">
        <w:rPr>
          <w:rFonts w:ascii="Book Antiqua" w:hAnsi="Book Antiqua" w:cs="Arial"/>
        </w:rPr>
        <w:t xml:space="preserve">Having had regard to Rule 14 of the Tribunal Procedure (Upper Tribunal) Rules 2008 and the Presidential Guidance Note No 1 of 2013: Anonymity Orders I therefore consider it appropriate to make an order in the following terms: </w:t>
      </w:r>
    </w:p>
    <w:p w:rsidR="002B0CAA" w:rsidRDefault="002B0CAA" w:rsidP="002B0CAA">
      <w:pPr>
        <w:ind w:left="1080" w:right="1134"/>
        <w:jc w:val="both"/>
        <w:rPr>
          <w:rFonts w:ascii="Book Antiqua" w:hAnsi="Book Antiqua" w:cs="Arial"/>
        </w:rPr>
      </w:pPr>
    </w:p>
    <w:p w:rsidR="002B0CAA" w:rsidRPr="00A011FA" w:rsidRDefault="002B0CAA" w:rsidP="002B0CAA">
      <w:pPr>
        <w:ind w:left="1080" w:right="1134"/>
        <w:jc w:val="both"/>
        <w:rPr>
          <w:rFonts w:ascii="Book Antiqua" w:hAnsi="Book Antiqua"/>
        </w:rPr>
      </w:pPr>
      <w:r>
        <w:rPr>
          <w:rFonts w:ascii="Book Antiqua" w:hAnsi="Book Antiqua"/>
        </w:rPr>
        <w:t xml:space="preserve"> “</w:t>
      </w:r>
      <w:r w:rsidRPr="00A011FA">
        <w:rPr>
          <w:rFonts w:ascii="Book Antiqua" w:hAnsi="Book Antiqua"/>
        </w:rPr>
        <w:t>Unless and until a tribunal or court directs otherwise, the</w:t>
      </w:r>
      <w:r>
        <w:rPr>
          <w:rFonts w:ascii="Book Antiqua" w:hAnsi="Book Antiqua"/>
        </w:rPr>
        <w:t xml:space="preserve"> Appellant is</w:t>
      </w:r>
      <w:r w:rsidRPr="00A011FA">
        <w:rPr>
          <w:rFonts w:ascii="Book Antiqua" w:hAnsi="Book Antiqua"/>
        </w:rPr>
        <w:t xml:space="preserve"> granted anonymity.  No report of these proceedings shall directly or indirectly ide</w:t>
      </w:r>
      <w:r>
        <w:rPr>
          <w:rFonts w:ascii="Book Antiqua" w:hAnsi="Book Antiqua"/>
        </w:rPr>
        <w:t>ntify her or any member of her</w:t>
      </w:r>
      <w:r w:rsidRPr="00A011FA">
        <w:rPr>
          <w:rFonts w:ascii="Book Antiqua" w:hAnsi="Book Antiqua"/>
        </w:rPr>
        <w:t xml:space="preserve"> family.  This direction applies</w:t>
      </w:r>
      <w:r>
        <w:rPr>
          <w:rFonts w:ascii="Book Antiqua" w:hAnsi="Book Antiqua"/>
        </w:rPr>
        <w:t xml:space="preserve"> to, amongst others,</w:t>
      </w:r>
      <w:r w:rsidRPr="00A011FA">
        <w:rPr>
          <w:rFonts w:ascii="Book Antiqua" w:hAnsi="Book Antiqua"/>
        </w:rPr>
        <w:t xml:space="preserve"> both the Appellant and the Respondent.  Failure to comply with this direction could lead to contempt of court proceedings</w:t>
      </w:r>
      <w:r>
        <w:rPr>
          <w:rFonts w:ascii="Book Antiqua" w:hAnsi="Book Antiqua"/>
        </w:rPr>
        <w:t>”</w:t>
      </w:r>
    </w:p>
    <w:p w:rsidR="002B0CAA" w:rsidRDefault="002B0CAA" w:rsidP="0032025B">
      <w:pPr>
        <w:pStyle w:val="ListParagraph"/>
        <w:rPr>
          <w:rFonts w:ascii="Book Antiqua" w:hAnsi="Book Antiqua" w:cs="Arial"/>
        </w:rPr>
      </w:pPr>
    </w:p>
    <w:p w:rsidR="00B93485" w:rsidRPr="00377999" w:rsidRDefault="004F1D33" w:rsidP="00B93485">
      <w:pPr>
        <w:tabs>
          <w:tab w:val="left" w:pos="567"/>
        </w:tabs>
        <w:ind w:left="567" w:right="567"/>
        <w:jc w:val="both"/>
        <w:rPr>
          <w:rFonts w:ascii="Book Antiqua" w:hAnsi="Book Antiqua" w:cs="Arial"/>
          <w:b/>
        </w:rPr>
      </w:pPr>
      <w:r>
        <w:rPr>
          <w:rFonts w:ascii="Book Antiqua" w:hAnsi="Book Antiqua" w:cs="Arial"/>
          <w:b/>
        </w:rPr>
        <w:t>D</w:t>
      </w:r>
      <w:r w:rsidR="00B93485" w:rsidRPr="00377999">
        <w:rPr>
          <w:rFonts w:ascii="Book Antiqua" w:hAnsi="Book Antiqua" w:cs="Arial"/>
          <w:b/>
        </w:rPr>
        <w:t xml:space="preserve">ecisions </w:t>
      </w:r>
    </w:p>
    <w:p w:rsidR="00B93485" w:rsidRPr="00377999" w:rsidRDefault="00B93485" w:rsidP="00B93485">
      <w:pPr>
        <w:tabs>
          <w:tab w:val="left" w:pos="567"/>
        </w:tabs>
        <w:ind w:left="567" w:right="567"/>
        <w:jc w:val="both"/>
        <w:rPr>
          <w:rFonts w:ascii="Book Antiqua" w:hAnsi="Book Antiqua" w:cs="Arial"/>
        </w:rPr>
      </w:pPr>
    </w:p>
    <w:p w:rsidR="00B93485" w:rsidRDefault="00B93485" w:rsidP="00B93485">
      <w:pPr>
        <w:numPr>
          <w:ilvl w:val="0"/>
          <w:numId w:val="1"/>
        </w:numPr>
        <w:tabs>
          <w:tab w:val="clear" w:pos="786"/>
          <w:tab w:val="left" w:pos="567"/>
          <w:tab w:val="num" w:pos="1080"/>
        </w:tabs>
        <w:ind w:left="567" w:right="567"/>
        <w:jc w:val="both"/>
        <w:rPr>
          <w:rFonts w:ascii="Book Antiqua" w:hAnsi="Book Antiqua" w:cs="Arial"/>
        </w:rPr>
      </w:pPr>
      <w:r w:rsidRPr="00377999">
        <w:rPr>
          <w:rFonts w:ascii="Book Antiqua" w:hAnsi="Book Antiqua" w:cs="Arial"/>
        </w:rPr>
        <w:t>The decision of the First-tier Tribunal contains a</w:t>
      </w:r>
      <w:r w:rsidR="00377999">
        <w:rPr>
          <w:rFonts w:ascii="Book Antiqua" w:hAnsi="Book Antiqua" w:cs="Arial"/>
        </w:rPr>
        <w:t>n</w:t>
      </w:r>
      <w:r w:rsidRPr="00377999">
        <w:rPr>
          <w:rFonts w:ascii="Book Antiqua" w:hAnsi="Book Antiqua" w:cs="Arial"/>
        </w:rPr>
        <w:t xml:space="preserve"> error of law such that the decision must be set aside.</w:t>
      </w:r>
    </w:p>
    <w:p w:rsidR="0032025B" w:rsidRDefault="0032025B" w:rsidP="0032025B">
      <w:pPr>
        <w:tabs>
          <w:tab w:val="left" w:pos="567"/>
        </w:tabs>
        <w:ind w:left="567" w:right="567"/>
        <w:jc w:val="both"/>
        <w:rPr>
          <w:rFonts w:ascii="Book Antiqua" w:hAnsi="Book Antiqua" w:cs="Arial"/>
        </w:rPr>
      </w:pPr>
    </w:p>
    <w:p w:rsidR="0032025B" w:rsidRPr="0032025B" w:rsidRDefault="0032025B" w:rsidP="0032025B">
      <w:pPr>
        <w:numPr>
          <w:ilvl w:val="0"/>
          <w:numId w:val="1"/>
        </w:numPr>
        <w:tabs>
          <w:tab w:val="clear" w:pos="786"/>
          <w:tab w:val="left" w:pos="567"/>
          <w:tab w:val="num" w:pos="1080"/>
        </w:tabs>
        <w:ind w:left="567" w:right="567"/>
        <w:jc w:val="both"/>
        <w:rPr>
          <w:rFonts w:ascii="Book Antiqua" w:hAnsi="Book Antiqua" w:cs="Arial"/>
        </w:rPr>
      </w:pPr>
      <w:r w:rsidRPr="0032025B">
        <w:rPr>
          <w:rFonts w:ascii="Book Antiqua" w:hAnsi="Book Antiqua" w:cs="Arial"/>
        </w:rPr>
        <w:t xml:space="preserve">The decision in the appeal will be remade following </w:t>
      </w:r>
      <w:r w:rsidRPr="002B0CAA">
        <w:rPr>
          <w:rFonts w:ascii="Book Antiqua" w:hAnsi="Book Antiqua" w:cs="Arial"/>
          <w:i/>
        </w:rPr>
        <w:t>de novo</w:t>
      </w:r>
      <w:r w:rsidRPr="0032025B">
        <w:rPr>
          <w:rFonts w:ascii="Book Antiqua" w:hAnsi="Book Antiqua" w:cs="Arial"/>
        </w:rPr>
        <w:t xml:space="preserve"> hearing in the First-tier Tribunal</w:t>
      </w:r>
      <w:r>
        <w:rPr>
          <w:rFonts w:ascii="Book Antiqua" w:hAnsi="Book Antiqua" w:cs="Arial"/>
        </w:rPr>
        <w:t>.</w:t>
      </w:r>
    </w:p>
    <w:p w:rsidR="00B93485" w:rsidRPr="00377999" w:rsidRDefault="00B93485" w:rsidP="00B93485">
      <w:pPr>
        <w:pStyle w:val="ListParagraph"/>
        <w:rPr>
          <w:rFonts w:ascii="Book Antiqua" w:hAnsi="Book Antiqua" w:cs="Arial"/>
        </w:rPr>
      </w:pPr>
    </w:p>
    <w:p w:rsidR="00B93485" w:rsidRPr="00377999" w:rsidRDefault="00B93485" w:rsidP="00B93485">
      <w:pPr>
        <w:numPr>
          <w:ilvl w:val="0"/>
          <w:numId w:val="1"/>
        </w:numPr>
        <w:tabs>
          <w:tab w:val="clear" w:pos="786"/>
          <w:tab w:val="left" w:pos="567"/>
          <w:tab w:val="num" w:pos="1080"/>
        </w:tabs>
        <w:ind w:left="567" w:right="567"/>
        <w:jc w:val="both"/>
        <w:rPr>
          <w:rFonts w:ascii="Book Antiqua" w:hAnsi="Book Antiqua" w:cs="Arial"/>
        </w:rPr>
      </w:pPr>
      <w:r w:rsidRPr="00377999">
        <w:rPr>
          <w:rFonts w:ascii="Book Antiqua" w:hAnsi="Book Antiqua" w:cs="Arial"/>
        </w:rPr>
        <w:t>There is an order for anonymity.</w:t>
      </w:r>
    </w:p>
    <w:p w:rsidR="00F66F55" w:rsidRPr="00377999" w:rsidRDefault="005316D4" w:rsidP="00377999">
      <w:pPr>
        <w:tabs>
          <w:tab w:val="left" w:pos="567"/>
        </w:tabs>
        <w:ind w:right="567"/>
        <w:jc w:val="both"/>
        <w:rPr>
          <w:rFonts w:ascii="Book Antiqua" w:hAnsi="Book Antiqua" w:cs="Arial"/>
          <w:highlight w:val="cyan"/>
        </w:rPr>
      </w:pPr>
      <w:r>
        <w:rPr>
          <w:rFonts w:ascii="Book Antiqua" w:hAnsi="Book Antiqua" w:cs="Arial"/>
          <w:highlight w:val="cyan"/>
        </w:rPr>
        <w:t xml:space="preserve"> </w:t>
      </w:r>
    </w:p>
    <w:p w:rsidR="00F62C83" w:rsidRPr="00B1620C" w:rsidRDefault="00F62C83" w:rsidP="00F62C83">
      <w:pPr>
        <w:tabs>
          <w:tab w:val="left" w:pos="567"/>
        </w:tabs>
        <w:ind w:left="567" w:right="567"/>
        <w:jc w:val="both"/>
        <w:rPr>
          <w:rFonts w:ascii="Book Antiqua" w:hAnsi="Book Antiqua" w:cs="Arial"/>
        </w:rPr>
      </w:pPr>
    </w:p>
    <w:p w:rsidR="00F62C83" w:rsidRPr="00F62C83" w:rsidRDefault="00F62C83" w:rsidP="00F62C83">
      <w:pPr>
        <w:tabs>
          <w:tab w:val="left" w:pos="567"/>
        </w:tabs>
        <w:ind w:left="567" w:right="567"/>
        <w:jc w:val="both"/>
        <w:rPr>
          <w:rFonts w:ascii="Book Antiqua" w:hAnsi="Book Antiqua" w:cs="Arial"/>
          <w:highlight w:val="yellow"/>
        </w:rPr>
      </w:pP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135F51">
        <w:rPr>
          <w:rFonts w:ascii="Book Antiqua" w:hAnsi="Book Antiqua" w:cs="Arial"/>
        </w:rPr>
        <w:t xml:space="preserve">  </w:t>
      </w:r>
      <w:r w:rsidR="004A7171">
        <w:rPr>
          <w:rFonts w:ascii="Book Antiqua" w:hAnsi="Book Antiqua" w:cs="Arial"/>
        </w:rPr>
        <w:t xml:space="preserve">   </w:t>
      </w:r>
      <w:r w:rsidR="0032025B">
        <w:rPr>
          <w:rFonts w:ascii="Book Antiqua" w:hAnsi="Book Antiqua" w:cs="Arial"/>
        </w:rPr>
        <w:t>21</w:t>
      </w:r>
      <w:r w:rsidR="0032025B" w:rsidRPr="0032025B">
        <w:rPr>
          <w:rFonts w:ascii="Book Antiqua" w:hAnsi="Book Antiqua" w:cs="Arial"/>
          <w:vertAlign w:val="superscript"/>
        </w:rPr>
        <w:t>st</w:t>
      </w:r>
      <w:r w:rsidR="0032025B">
        <w:rPr>
          <w:rFonts w:ascii="Book Antiqua" w:hAnsi="Book Antiqua" w:cs="Arial"/>
        </w:rPr>
        <w:t xml:space="preserve"> </w:t>
      </w:r>
      <w:r w:rsidR="004A7171">
        <w:rPr>
          <w:rFonts w:ascii="Book Antiqua" w:hAnsi="Book Antiqua" w:cs="Arial"/>
        </w:rPr>
        <w:t xml:space="preserve">June </w:t>
      </w:r>
      <w:r w:rsidR="00846230">
        <w:rPr>
          <w:rFonts w:ascii="Book Antiqua" w:hAnsi="Book Antiqua" w:cs="Arial"/>
        </w:rPr>
        <w:t>2018</w:t>
      </w:r>
    </w:p>
    <w:p w:rsidR="00135F51" w:rsidRDefault="00135F51" w:rsidP="008C6613">
      <w:pPr>
        <w:tabs>
          <w:tab w:val="left" w:pos="567"/>
        </w:tabs>
        <w:ind w:left="720"/>
        <w:jc w:val="center"/>
        <w:rPr>
          <w:rFonts w:ascii="Book Antiqua" w:hAnsi="Book Antiqua" w:cs="Arial"/>
        </w:rPr>
      </w:pPr>
    </w:p>
    <w:p w:rsidR="00135F51" w:rsidRDefault="00135F51" w:rsidP="008C6613">
      <w:pPr>
        <w:tabs>
          <w:tab w:val="left" w:pos="567"/>
        </w:tabs>
        <w:ind w:left="720"/>
        <w:jc w:val="center"/>
        <w:rPr>
          <w:rFonts w:ascii="Book Antiqua" w:hAnsi="Book Antiqua" w:cs="Arial"/>
        </w:rPr>
      </w:pPr>
    </w:p>
    <w:p w:rsidR="00135F51" w:rsidRDefault="00135F51" w:rsidP="008C6613">
      <w:pPr>
        <w:tabs>
          <w:tab w:val="left" w:pos="567"/>
        </w:tabs>
        <w:ind w:left="720"/>
        <w:jc w:val="center"/>
        <w:rPr>
          <w:rFonts w:ascii="Book Antiqua" w:hAnsi="Book Antiqua" w:cs="Arial"/>
        </w:rPr>
      </w:pPr>
    </w:p>
    <w:p w:rsidR="00135F51" w:rsidRPr="008C6613" w:rsidRDefault="00135F51" w:rsidP="008C6613">
      <w:pPr>
        <w:tabs>
          <w:tab w:val="left" w:pos="567"/>
        </w:tabs>
        <w:ind w:left="720"/>
        <w:jc w:val="center"/>
        <w:rPr>
          <w:rFonts w:ascii="Book Antiqua" w:hAnsi="Book Antiqua" w:cs="Arial"/>
        </w:rPr>
      </w:pPr>
    </w:p>
    <w:sectPr w:rsidR="00135F51" w:rsidRPr="008C6613" w:rsidSect="00256F9B">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6EA" w:rsidRDefault="00CF66EA">
      <w:r>
        <w:separator/>
      </w:r>
    </w:p>
  </w:endnote>
  <w:endnote w:type="continuationSeparator" w:id="0">
    <w:p w:rsidR="00CF66EA" w:rsidRDefault="00CF6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Yu Gothic"/>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593795" w:rsidRDefault="00AD620F"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13130">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090CF9" w:rsidRDefault="00AD620F" w:rsidP="00256F9B">
    <w:pPr>
      <w:jc w:val="center"/>
      <w:rPr>
        <w:rFonts w:ascii="Arial" w:hAnsi="Arial" w:cs="Arial"/>
        <w:b/>
      </w:rPr>
    </w:pPr>
    <w:r w:rsidRPr="00090CF9">
      <w:rPr>
        <w:rFonts w:ascii="Arial" w:hAnsi="Arial" w:cs="Arial"/>
        <w:b/>
        <w:spacing w:val="-6"/>
      </w:rPr>
      <w:t>©</w:t>
    </w:r>
    <w:r w:rsidR="000815D1">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6EA" w:rsidRDefault="00CF66EA">
      <w:r>
        <w:separator/>
      </w:r>
    </w:p>
  </w:footnote>
  <w:footnote w:type="continuationSeparator" w:id="0">
    <w:p w:rsidR="00CF66EA" w:rsidRDefault="00CF6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D25E1A" w:rsidRDefault="00625DC7" w:rsidP="00495A06">
    <w:pPr>
      <w:tabs>
        <w:tab w:val="right" w:pos="9720"/>
      </w:tabs>
      <w:ind w:right="-82"/>
      <w:rPr>
        <w:rFonts w:ascii="Book Antiqua" w:hAnsi="Book Antiqua"/>
        <w:sz w:val="20"/>
        <w:szCs w:val="20"/>
      </w:rPr>
    </w:pPr>
    <w:r>
      <w:rPr>
        <w:rFonts w:ascii="Book Antiqua" w:hAnsi="Book Antiqua" w:cs="Arial"/>
        <w:color w:val="000000"/>
        <w:sz w:val="20"/>
        <w:szCs w:val="20"/>
      </w:rPr>
      <w:tab/>
    </w:r>
    <w:r w:rsidR="00BC2C66">
      <w:rPr>
        <w:rFonts w:ascii="Book Antiqua" w:hAnsi="Book Antiqua" w:cs="Arial"/>
        <w:color w:val="000000"/>
        <w:sz w:val="20"/>
        <w:szCs w:val="20"/>
      </w:rPr>
      <w:t xml:space="preserve">Appeal number: </w:t>
    </w:r>
    <w:r w:rsidR="00495A06" w:rsidRPr="00495A06">
      <w:rPr>
        <w:rFonts w:ascii="Book Antiqua" w:hAnsi="Book Antiqua" w:cs="Arial"/>
        <w:color w:val="000000"/>
        <w:sz w:val="20"/>
        <w:szCs w:val="20"/>
      </w:rPr>
      <w:t>PA/09999/2017</w:t>
    </w:r>
  </w:p>
  <w:p w:rsidR="00AD620F" w:rsidRPr="00850A1F" w:rsidRDefault="00AD620F" w:rsidP="00850A1F">
    <w:pPr>
      <w:pStyle w:val="Header"/>
      <w:jc w:val="right"/>
      <w:rPr>
        <w:rFonts w:ascii="Book Antiqua" w:hAnsi="Book Antiqua"/>
        <w:sz w:val="16"/>
        <w:szCs w:val="16"/>
      </w:rPr>
    </w:pPr>
  </w:p>
  <w:p w:rsidR="00AD620F" w:rsidRPr="003C5CE5" w:rsidRDefault="00AD620F"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20F" w:rsidRPr="00FE1BCE" w:rsidRDefault="00AD620F"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AD620F" w:rsidRPr="00D25E1A" w:rsidRDefault="00AD620F"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C55F2F"/>
    <w:multiLevelType w:val="hybridMultilevel"/>
    <w:tmpl w:val="9A4CD864"/>
    <w:lvl w:ilvl="0" w:tplc="E02C7BB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3" w15:restartNumberingAfterBreak="0">
    <w:nsid w:val="0A580A28"/>
    <w:multiLevelType w:val="hybridMultilevel"/>
    <w:tmpl w:val="36362774"/>
    <w:lvl w:ilvl="0" w:tplc="61905102">
      <w:start w:val="2"/>
      <w:numFmt w:val="bullet"/>
      <w:lvlText w:val="-"/>
      <w:lvlJc w:val="left"/>
      <w:pPr>
        <w:ind w:left="927" w:hanging="360"/>
      </w:pPr>
      <w:rPr>
        <w:rFonts w:ascii="Book Antiqua" w:eastAsia="MS ??" w:hAnsi="Book Antiqua"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5"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7"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383039A5"/>
    <w:multiLevelType w:val="hybridMultilevel"/>
    <w:tmpl w:val="A0A8DB78"/>
    <w:lvl w:ilvl="0" w:tplc="BCE887A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3" w15:restartNumberingAfterBreak="0">
    <w:nsid w:val="413250B3"/>
    <w:multiLevelType w:val="hybridMultilevel"/>
    <w:tmpl w:val="2FFE689A"/>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14"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5"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B3C26"/>
    <w:multiLevelType w:val="hybridMultilevel"/>
    <w:tmpl w:val="73249B98"/>
    <w:lvl w:ilvl="0" w:tplc="5736318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9"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611738"/>
    <w:multiLevelType w:val="hybridMultilevel"/>
    <w:tmpl w:val="D40ED73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1"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2"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3"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8"/>
  </w:num>
  <w:num w:numId="2">
    <w:abstractNumId w:val="21"/>
  </w:num>
  <w:num w:numId="3">
    <w:abstractNumId w:val="9"/>
  </w:num>
  <w:num w:numId="4">
    <w:abstractNumId w:val="14"/>
  </w:num>
  <w:num w:numId="5">
    <w:abstractNumId w:val="7"/>
  </w:num>
  <w:num w:numId="6">
    <w:abstractNumId w:val="23"/>
  </w:num>
  <w:num w:numId="7">
    <w:abstractNumId w:val="0"/>
  </w:num>
  <w:num w:numId="8">
    <w:abstractNumId w:val="5"/>
  </w:num>
  <w:num w:numId="9">
    <w:abstractNumId w:val="17"/>
  </w:num>
  <w:num w:numId="10">
    <w:abstractNumId w:val="19"/>
  </w:num>
  <w:num w:numId="11">
    <w:abstractNumId w:val="15"/>
  </w:num>
  <w:num w:numId="12">
    <w:abstractNumId w:val="22"/>
  </w:num>
  <w:num w:numId="13">
    <w:abstractNumId w:val="4"/>
  </w:num>
  <w:num w:numId="14">
    <w:abstractNumId w:val="11"/>
  </w:num>
  <w:num w:numId="15">
    <w:abstractNumId w:val="6"/>
  </w:num>
  <w:num w:numId="16">
    <w:abstractNumId w:val="2"/>
  </w:num>
  <w:num w:numId="17">
    <w:abstractNumId w:val="16"/>
  </w:num>
  <w:num w:numId="18">
    <w:abstractNumId w:val="12"/>
  </w:num>
  <w:num w:numId="19">
    <w:abstractNumId w:val="1"/>
  </w:num>
  <w:num w:numId="20">
    <w:abstractNumId w:val="20"/>
  </w:num>
  <w:num w:numId="21">
    <w:abstractNumId w:val="13"/>
  </w:num>
  <w:num w:numId="22">
    <w:abstractNumId w:val="3"/>
  </w:num>
  <w:num w:numId="23">
    <w:abstractNumId w:val="10"/>
  </w:num>
  <w:num w:numId="24">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BC8"/>
    <w:rsid w:val="00010F16"/>
    <w:rsid w:val="0001157F"/>
    <w:rsid w:val="0001581F"/>
    <w:rsid w:val="00016034"/>
    <w:rsid w:val="0001755E"/>
    <w:rsid w:val="00026010"/>
    <w:rsid w:val="000271FE"/>
    <w:rsid w:val="000303CD"/>
    <w:rsid w:val="000306E4"/>
    <w:rsid w:val="00030A29"/>
    <w:rsid w:val="000314AA"/>
    <w:rsid w:val="00031577"/>
    <w:rsid w:val="00031EE3"/>
    <w:rsid w:val="000359E1"/>
    <w:rsid w:val="000367D1"/>
    <w:rsid w:val="000456D9"/>
    <w:rsid w:val="0005475F"/>
    <w:rsid w:val="000573C1"/>
    <w:rsid w:val="000603B5"/>
    <w:rsid w:val="00061881"/>
    <w:rsid w:val="00061A71"/>
    <w:rsid w:val="00061DAB"/>
    <w:rsid w:val="00062F11"/>
    <w:rsid w:val="00063897"/>
    <w:rsid w:val="000709A6"/>
    <w:rsid w:val="000724F8"/>
    <w:rsid w:val="00073049"/>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4723"/>
    <w:rsid w:val="000A48CD"/>
    <w:rsid w:val="000B62F5"/>
    <w:rsid w:val="000C2A47"/>
    <w:rsid w:val="000C4611"/>
    <w:rsid w:val="000C4C40"/>
    <w:rsid w:val="000C4DCB"/>
    <w:rsid w:val="000D3144"/>
    <w:rsid w:val="000E1274"/>
    <w:rsid w:val="000E2DE4"/>
    <w:rsid w:val="000F0936"/>
    <w:rsid w:val="000F53DF"/>
    <w:rsid w:val="001072D3"/>
    <w:rsid w:val="00107AFB"/>
    <w:rsid w:val="00107DD5"/>
    <w:rsid w:val="0011297E"/>
    <w:rsid w:val="00114635"/>
    <w:rsid w:val="00114FC1"/>
    <w:rsid w:val="00115B62"/>
    <w:rsid w:val="00120ACC"/>
    <w:rsid w:val="00121965"/>
    <w:rsid w:val="00125F39"/>
    <w:rsid w:val="00127055"/>
    <w:rsid w:val="001343F7"/>
    <w:rsid w:val="00135F51"/>
    <w:rsid w:val="00137136"/>
    <w:rsid w:val="0014298F"/>
    <w:rsid w:val="0014562B"/>
    <w:rsid w:val="001463BD"/>
    <w:rsid w:val="0014764F"/>
    <w:rsid w:val="00150B50"/>
    <w:rsid w:val="001515D9"/>
    <w:rsid w:val="001526BE"/>
    <w:rsid w:val="0015610E"/>
    <w:rsid w:val="0017242D"/>
    <w:rsid w:val="00176367"/>
    <w:rsid w:val="0018031B"/>
    <w:rsid w:val="001835EF"/>
    <w:rsid w:val="00184C72"/>
    <w:rsid w:val="00187C19"/>
    <w:rsid w:val="00195782"/>
    <w:rsid w:val="0019638F"/>
    <w:rsid w:val="001A4307"/>
    <w:rsid w:val="001A52DE"/>
    <w:rsid w:val="001B026B"/>
    <w:rsid w:val="001B7FB0"/>
    <w:rsid w:val="001C02C2"/>
    <w:rsid w:val="001C1BBC"/>
    <w:rsid w:val="001D0A72"/>
    <w:rsid w:val="001D1E88"/>
    <w:rsid w:val="001E0004"/>
    <w:rsid w:val="001E2BF6"/>
    <w:rsid w:val="001E4A2B"/>
    <w:rsid w:val="001F0771"/>
    <w:rsid w:val="001F1C8A"/>
    <w:rsid w:val="001F2745"/>
    <w:rsid w:val="001F2D22"/>
    <w:rsid w:val="001F5A49"/>
    <w:rsid w:val="00200B97"/>
    <w:rsid w:val="00201EDB"/>
    <w:rsid w:val="00202103"/>
    <w:rsid w:val="002022F5"/>
    <w:rsid w:val="00206BBA"/>
    <w:rsid w:val="0021355E"/>
    <w:rsid w:val="0021520B"/>
    <w:rsid w:val="00230487"/>
    <w:rsid w:val="00230A0A"/>
    <w:rsid w:val="00233627"/>
    <w:rsid w:val="00234616"/>
    <w:rsid w:val="0023493B"/>
    <w:rsid w:val="00237E82"/>
    <w:rsid w:val="002438F7"/>
    <w:rsid w:val="00243C50"/>
    <w:rsid w:val="0024659B"/>
    <w:rsid w:val="00250646"/>
    <w:rsid w:val="0025455C"/>
    <w:rsid w:val="00254594"/>
    <w:rsid w:val="00256F9B"/>
    <w:rsid w:val="002621B2"/>
    <w:rsid w:val="0026298A"/>
    <w:rsid w:val="002641D7"/>
    <w:rsid w:val="002648D3"/>
    <w:rsid w:val="00264B7B"/>
    <w:rsid w:val="00266A8E"/>
    <w:rsid w:val="00270B84"/>
    <w:rsid w:val="00270E3C"/>
    <w:rsid w:val="00271175"/>
    <w:rsid w:val="002731CB"/>
    <w:rsid w:val="00284A32"/>
    <w:rsid w:val="0029559E"/>
    <w:rsid w:val="002965A3"/>
    <w:rsid w:val="002A2EA9"/>
    <w:rsid w:val="002A363E"/>
    <w:rsid w:val="002A37A8"/>
    <w:rsid w:val="002A4453"/>
    <w:rsid w:val="002A75C1"/>
    <w:rsid w:val="002B0CAA"/>
    <w:rsid w:val="002B4614"/>
    <w:rsid w:val="002B591E"/>
    <w:rsid w:val="002B5A2B"/>
    <w:rsid w:val="002B649D"/>
    <w:rsid w:val="002B781C"/>
    <w:rsid w:val="002C0DB8"/>
    <w:rsid w:val="002C0E62"/>
    <w:rsid w:val="002C30EF"/>
    <w:rsid w:val="002C3376"/>
    <w:rsid w:val="002C6905"/>
    <w:rsid w:val="002C703C"/>
    <w:rsid w:val="002D6068"/>
    <w:rsid w:val="002D7C57"/>
    <w:rsid w:val="002D7D6C"/>
    <w:rsid w:val="002E3BAE"/>
    <w:rsid w:val="002E6B4A"/>
    <w:rsid w:val="002E6F61"/>
    <w:rsid w:val="002E6FC1"/>
    <w:rsid w:val="002F0807"/>
    <w:rsid w:val="002F0836"/>
    <w:rsid w:val="002F55FA"/>
    <w:rsid w:val="0030356D"/>
    <w:rsid w:val="003069DF"/>
    <w:rsid w:val="003136C6"/>
    <w:rsid w:val="003139B3"/>
    <w:rsid w:val="0031473D"/>
    <w:rsid w:val="00317ACD"/>
    <w:rsid w:val="0032025B"/>
    <w:rsid w:val="003222CB"/>
    <w:rsid w:val="00323C1A"/>
    <w:rsid w:val="00326012"/>
    <w:rsid w:val="00326F1B"/>
    <w:rsid w:val="0032748C"/>
    <w:rsid w:val="00331032"/>
    <w:rsid w:val="00334C01"/>
    <w:rsid w:val="00337B01"/>
    <w:rsid w:val="00342564"/>
    <w:rsid w:val="00343950"/>
    <w:rsid w:val="003447F8"/>
    <w:rsid w:val="00346DB0"/>
    <w:rsid w:val="00347179"/>
    <w:rsid w:val="00352A26"/>
    <w:rsid w:val="00353CF1"/>
    <w:rsid w:val="003554AD"/>
    <w:rsid w:val="00357D45"/>
    <w:rsid w:val="00362425"/>
    <w:rsid w:val="00363022"/>
    <w:rsid w:val="003631B2"/>
    <w:rsid w:val="00363205"/>
    <w:rsid w:val="003657EB"/>
    <w:rsid w:val="00365F83"/>
    <w:rsid w:val="00372DE9"/>
    <w:rsid w:val="0037354C"/>
    <w:rsid w:val="00373D18"/>
    <w:rsid w:val="0037541C"/>
    <w:rsid w:val="00377999"/>
    <w:rsid w:val="00380BB4"/>
    <w:rsid w:val="003816CC"/>
    <w:rsid w:val="003839E0"/>
    <w:rsid w:val="003847A2"/>
    <w:rsid w:val="00385D5C"/>
    <w:rsid w:val="003874F8"/>
    <w:rsid w:val="0039024C"/>
    <w:rsid w:val="00390BCC"/>
    <w:rsid w:val="003950D6"/>
    <w:rsid w:val="00396522"/>
    <w:rsid w:val="00396E14"/>
    <w:rsid w:val="003A781E"/>
    <w:rsid w:val="003B04BA"/>
    <w:rsid w:val="003B1ADF"/>
    <w:rsid w:val="003B41AD"/>
    <w:rsid w:val="003C565F"/>
    <w:rsid w:val="003C5CE5"/>
    <w:rsid w:val="003C7807"/>
    <w:rsid w:val="003D0A31"/>
    <w:rsid w:val="003D0A9F"/>
    <w:rsid w:val="003D0CC1"/>
    <w:rsid w:val="003D43A6"/>
    <w:rsid w:val="003D49C9"/>
    <w:rsid w:val="003D6C95"/>
    <w:rsid w:val="003E0238"/>
    <w:rsid w:val="003E0433"/>
    <w:rsid w:val="003F1EF2"/>
    <w:rsid w:val="003F25C0"/>
    <w:rsid w:val="003F26D9"/>
    <w:rsid w:val="003F3816"/>
    <w:rsid w:val="003F6281"/>
    <w:rsid w:val="003F796A"/>
    <w:rsid w:val="004055F5"/>
    <w:rsid w:val="00414BBF"/>
    <w:rsid w:val="00425740"/>
    <w:rsid w:val="00430F12"/>
    <w:rsid w:val="004371A8"/>
    <w:rsid w:val="0044120F"/>
    <w:rsid w:val="00445B82"/>
    <w:rsid w:val="00447E1B"/>
    <w:rsid w:val="00455650"/>
    <w:rsid w:val="00456174"/>
    <w:rsid w:val="00461BBB"/>
    <w:rsid w:val="00466720"/>
    <w:rsid w:val="00466992"/>
    <w:rsid w:val="00466FED"/>
    <w:rsid w:val="00473C4B"/>
    <w:rsid w:val="0048104E"/>
    <w:rsid w:val="00485CCA"/>
    <w:rsid w:val="00490CEC"/>
    <w:rsid w:val="0049288D"/>
    <w:rsid w:val="00493AE6"/>
    <w:rsid w:val="00494224"/>
    <w:rsid w:val="00495A06"/>
    <w:rsid w:val="004A0A2C"/>
    <w:rsid w:val="004A1354"/>
    <w:rsid w:val="004A7171"/>
    <w:rsid w:val="004A735E"/>
    <w:rsid w:val="004B2BAD"/>
    <w:rsid w:val="004C2070"/>
    <w:rsid w:val="004D12F7"/>
    <w:rsid w:val="004D34E4"/>
    <w:rsid w:val="004E180C"/>
    <w:rsid w:val="004E3787"/>
    <w:rsid w:val="004E43D8"/>
    <w:rsid w:val="004E5313"/>
    <w:rsid w:val="004F0D19"/>
    <w:rsid w:val="004F1D33"/>
    <w:rsid w:val="004F60D7"/>
    <w:rsid w:val="00500FFF"/>
    <w:rsid w:val="00503887"/>
    <w:rsid w:val="00503D82"/>
    <w:rsid w:val="00505059"/>
    <w:rsid w:val="0050522D"/>
    <w:rsid w:val="00505D89"/>
    <w:rsid w:val="00512E56"/>
    <w:rsid w:val="005136B9"/>
    <w:rsid w:val="005145ED"/>
    <w:rsid w:val="00515521"/>
    <w:rsid w:val="005156F2"/>
    <w:rsid w:val="00516791"/>
    <w:rsid w:val="00522D04"/>
    <w:rsid w:val="00523269"/>
    <w:rsid w:val="00524664"/>
    <w:rsid w:val="0052675F"/>
    <w:rsid w:val="005316D4"/>
    <w:rsid w:val="00533FBE"/>
    <w:rsid w:val="005371B6"/>
    <w:rsid w:val="00555309"/>
    <w:rsid w:val="00555389"/>
    <w:rsid w:val="00557D4B"/>
    <w:rsid w:val="00560249"/>
    <w:rsid w:val="00565414"/>
    <w:rsid w:val="0056622B"/>
    <w:rsid w:val="00570AF5"/>
    <w:rsid w:val="00575E25"/>
    <w:rsid w:val="0058247C"/>
    <w:rsid w:val="005856F3"/>
    <w:rsid w:val="0058575E"/>
    <w:rsid w:val="0058601E"/>
    <w:rsid w:val="005871F4"/>
    <w:rsid w:val="005925A3"/>
    <w:rsid w:val="0059261D"/>
    <w:rsid w:val="00592BE6"/>
    <w:rsid w:val="00593795"/>
    <w:rsid w:val="00593EE8"/>
    <w:rsid w:val="00594CEF"/>
    <w:rsid w:val="005A2090"/>
    <w:rsid w:val="005A4826"/>
    <w:rsid w:val="005A7B23"/>
    <w:rsid w:val="005B5104"/>
    <w:rsid w:val="005B67E3"/>
    <w:rsid w:val="005B74F3"/>
    <w:rsid w:val="005B75C6"/>
    <w:rsid w:val="005C0846"/>
    <w:rsid w:val="005C6730"/>
    <w:rsid w:val="005D3C8B"/>
    <w:rsid w:val="005D53CE"/>
    <w:rsid w:val="005E51B0"/>
    <w:rsid w:val="005F4182"/>
    <w:rsid w:val="005F69C1"/>
    <w:rsid w:val="00600892"/>
    <w:rsid w:val="006033D6"/>
    <w:rsid w:val="00604B27"/>
    <w:rsid w:val="00604B2F"/>
    <w:rsid w:val="00611A62"/>
    <w:rsid w:val="00614229"/>
    <w:rsid w:val="00615376"/>
    <w:rsid w:val="006167D5"/>
    <w:rsid w:val="006170AF"/>
    <w:rsid w:val="00625DC7"/>
    <w:rsid w:val="006358B6"/>
    <w:rsid w:val="00643514"/>
    <w:rsid w:val="00651814"/>
    <w:rsid w:val="006576AB"/>
    <w:rsid w:val="00662B43"/>
    <w:rsid w:val="00667A06"/>
    <w:rsid w:val="00674F18"/>
    <w:rsid w:val="00676D39"/>
    <w:rsid w:val="00680FC9"/>
    <w:rsid w:val="00681497"/>
    <w:rsid w:val="006825A2"/>
    <w:rsid w:val="00682704"/>
    <w:rsid w:val="00686518"/>
    <w:rsid w:val="00687454"/>
    <w:rsid w:val="006946B1"/>
    <w:rsid w:val="00694C65"/>
    <w:rsid w:val="006A17DA"/>
    <w:rsid w:val="006A5B71"/>
    <w:rsid w:val="006B14FA"/>
    <w:rsid w:val="006B153F"/>
    <w:rsid w:val="006B6095"/>
    <w:rsid w:val="006C1A0A"/>
    <w:rsid w:val="006C6F7B"/>
    <w:rsid w:val="006D3255"/>
    <w:rsid w:val="006D375C"/>
    <w:rsid w:val="006D51E0"/>
    <w:rsid w:val="006E4796"/>
    <w:rsid w:val="006E5178"/>
    <w:rsid w:val="006E555E"/>
    <w:rsid w:val="006E5F4A"/>
    <w:rsid w:val="006E5FBE"/>
    <w:rsid w:val="006F04C5"/>
    <w:rsid w:val="006F4E5F"/>
    <w:rsid w:val="006F514D"/>
    <w:rsid w:val="006F54E4"/>
    <w:rsid w:val="006F5F52"/>
    <w:rsid w:val="006F6311"/>
    <w:rsid w:val="006F67CA"/>
    <w:rsid w:val="0070210A"/>
    <w:rsid w:val="00703916"/>
    <w:rsid w:val="00705639"/>
    <w:rsid w:val="007065FA"/>
    <w:rsid w:val="00706926"/>
    <w:rsid w:val="00706FF6"/>
    <w:rsid w:val="00707913"/>
    <w:rsid w:val="00716E39"/>
    <w:rsid w:val="00733F0D"/>
    <w:rsid w:val="007406E4"/>
    <w:rsid w:val="00742C45"/>
    <w:rsid w:val="007453E2"/>
    <w:rsid w:val="007536DE"/>
    <w:rsid w:val="00756B08"/>
    <w:rsid w:val="007574AC"/>
    <w:rsid w:val="00760441"/>
    <w:rsid w:val="0076387F"/>
    <w:rsid w:val="00764A18"/>
    <w:rsid w:val="00765AD5"/>
    <w:rsid w:val="00766F15"/>
    <w:rsid w:val="0077136A"/>
    <w:rsid w:val="00773D2E"/>
    <w:rsid w:val="00773FBC"/>
    <w:rsid w:val="00782B90"/>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B517B"/>
    <w:rsid w:val="007C081E"/>
    <w:rsid w:val="007C3E9C"/>
    <w:rsid w:val="007C6EC2"/>
    <w:rsid w:val="007D2AD0"/>
    <w:rsid w:val="007D2C89"/>
    <w:rsid w:val="007D5751"/>
    <w:rsid w:val="007D6EA5"/>
    <w:rsid w:val="007E03D3"/>
    <w:rsid w:val="007E2269"/>
    <w:rsid w:val="007E389D"/>
    <w:rsid w:val="007E3E26"/>
    <w:rsid w:val="007E3F1B"/>
    <w:rsid w:val="007E4B90"/>
    <w:rsid w:val="007E7D61"/>
    <w:rsid w:val="007F42AD"/>
    <w:rsid w:val="007F5B43"/>
    <w:rsid w:val="007F6FD2"/>
    <w:rsid w:val="00800967"/>
    <w:rsid w:val="0080500E"/>
    <w:rsid w:val="008057DE"/>
    <w:rsid w:val="0080705C"/>
    <w:rsid w:val="00807669"/>
    <w:rsid w:val="008133F6"/>
    <w:rsid w:val="00816297"/>
    <w:rsid w:val="00822B6E"/>
    <w:rsid w:val="008231B9"/>
    <w:rsid w:val="00824023"/>
    <w:rsid w:val="00827B48"/>
    <w:rsid w:val="00827F21"/>
    <w:rsid w:val="00830C1E"/>
    <w:rsid w:val="00835D03"/>
    <w:rsid w:val="00841009"/>
    <w:rsid w:val="00841C15"/>
    <w:rsid w:val="00842F69"/>
    <w:rsid w:val="00843020"/>
    <w:rsid w:val="00846230"/>
    <w:rsid w:val="00846D18"/>
    <w:rsid w:val="00847DAC"/>
    <w:rsid w:val="00850A1F"/>
    <w:rsid w:val="00853044"/>
    <w:rsid w:val="00857867"/>
    <w:rsid w:val="00862503"/>
    <w:rsid w:val="00863892"/>
    <w:rsid w:val="0086511A"/>
    <w:rsid w:val="00865602"/>
    <w:rsid w:val="00865722"/>
    <w:rsid w:val="00866E62"/>
    <w:rsid w:val="0087176C"/>
    <w:rsid w:val="00872C6C"/>
    <w:rsid w:val="00875182"/>
    <w:rsid w:val="00880492"/>
    <w:rsid w:val="00880E5A"/>
    <w:rsid w:val="008819F7"/>
    <w:rsid w:val="00883BC7"/>
    <w:rsid w:val="00883D7A"/>
    <w:rsid w:val="00887DBA"/>
    <w:rsid w:val="00890AC6"/>
    <w:rsid w:val="00890DFD"/>
    <w:rsid w:val="0089340E"/>
    <w:rsid w:val="00894E16"/>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1FFF"/>
    <w:rsid w:val="008E3E13"/>
    <w:rsid w:val="008E7314"/>
    <w:rsid w:val="008F1984"/>
    <w:rsid w:val="008F6C60"/>
    <w:rsid w:val="00901ED1"/>
    <w:rsid w:val="0090357B"/>
    <w:rsid w:val="00903D7E"/>
    <w:rsid w:val="009041D9"/>
    <w:rsid w:val="00913130"/>
    <w:rsid w:val="00915989"/>
    <w:rsid w:val="00915E38"/>
    <w:rsid w:val="0093283E"/>
    <w:rsid w:val="00932CE3"/>
    <w:rsid w:val="009330F5"/>
    <w:rsid w:val="00933A6F"/>
    <w:rsid w:val="00940FF9"/>
    <w:rsid w:val="00941832"/>
    <w:rsid w:val="009468E7"/>
    <w:rsid w:val="00946F89"/>
    <w:rsid w:val="009521DF"/>
    <w:rsid w:val="0096131A"/>
    <w:rsid w:val="00963BE5"/>
    <w:rsid w:val="009641FD"/>
    <w:rsid w:val="00967518"/>
    <w:rsid w:val="009705A4"/>
    <w:rsid w:val="00971AC9"/>
    <w:rsid w:val="00972A0B"/>
    <w:rsid w:val="00980249"/>
    <w:rsid w:val="0098660F"/>
    <w:rsid w:val="00992AA1"/>
    <w:rsid w:val="009A0C65"/>
    <w:rsid w:val="009A1B4B"/>
    <w:rsid w:val="009A229B"/>
    <w:rsid w:val="009A33E5"/>
    <w:rsid w:val="009A4981"/>
    <w:rsid w:val="009A6A20"/>
    <w:rsid w:val="009B0E5C"/>
    <w:rsid w:val="009B4535"/>
    <w:rsid w:val="009B7E6D"/>
    <w:rsid w:val="009C08B5"/>
    <w:rsid w:val="009C7831"/>
    <w:rsid w:val="009C7D5E"/>
    <w:rsid w:val="009E0AB8"/>
    <w:rsid w:val="009E27B2"/>
    <w:rsid w:val="009E515D"/>
    <w:rsid w:val="009E53A1"/>
    <w:rsid w:val="009E7840"/>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26B0F"/>
    <w:rsid w:val="00A32AF9"/>
    <w:rsid w:val="00A36B01"/>
    <w:rsid w:val="00A40021"/>
    <w:rsid w:val="00A418D6"/>
    <w:rsid w:val="00A460A8"/>
    <w:rsid w:val="00A463C0"/>
    <w:rsid w:val="00A46C64"/>
    <w:rsid w:val="00A50AB5"/>
    <w:rsid w:val="00A54F8B"/>
    <w:rsid w:val="00A74CBA"/>
    <w:rsid w:val="00A74F81"/>
    <w:rsid w:val="00A757FA"/>
    <w:rsid w:val="00A762C6"/>
    <w:rsid w:val="00A7647F"/>
    <w:rsid w:val="00A82F90"/>
    <w:rsid w:val="00A83C17"/>
    <w:rsid w:val="00A840FD"/>
    <w:rsid w:val="00A907F0"/>
    <w:rsid w:val="00A936B9"/>
    <w:rsid w:val="00A95CE6"/>
    <w:rsid w:val="00AA304D"/>
    <w:rsid w:val="00AA3BE8"/>
    <w:rsid w:val="00AA7821"/>
    <w:rsid w:val="00AB176C"/>
    <w:rsid w:val="00AB2694"/>
    <w:rsid w:val="00AB2D1A"/>
    <w:rsid w:val="00AB4441"/>
    <w:rsid w:val="00AB7E32"/>
    <w:rsid w:val="00AB7E58"/>
    <w:rsid w:val="00AC4DD4"/>
    <w:rsid w:val="00AC5228"/>
    <w:rsid w:val="00AC694F"/>
    <w:rsid w:val="00AC7467"/>
    <w:rsid w:val="00AC7984"/>
    <w:rsid w:val="00AD1995"/>
    <w:rsid w:val="00AD29BD"/>
    <w:rsid w:val="00AD44AB"/>
    <w:rsid w:val="00AD5EC2"/>
    <w:rsid w:val="00AD620F"/>
    <w:rsid w:val="00AE3221"/>
    <w:rsid w:val="00AE6286"/>
    <w:rsid w:val="00AE78CA"/>
    <w:rsid w:val="00B02B9C"/>
    <w:rsid w:val="00B15B31"/>
    <w:rsid w:val="00B1620C"/>
    <w:rsid w:val="00B16743"/>
    <w:rsid w:val="00B169D7"/>
    <w:rsid w:val="00B205E2"/>
    <w:rsid w:val="00B20C29"/>
    <w:rsid w:val="00B2408F"/>
    <w:rsid w:val="00B24E03"/>
    <w:rsid w:val="00B32EE4"/>
    <w:rsid w:val="00B3406D"/>
    <w:rsid w:val="00B341E5"/>
    <w:rsid w:val="00B35D97"/>
    <w:rsid w:val="00B401CC"/>
    <w:rsid w:val="00B444E9"/>
    <w:rsid w:val="00B4492F"/>
    <w:rsid w:val="00B44AE1"/>
    <w:rsid w:val="00B5019A"/>
    <w:rsid w:val="00B555FE"/>
    <w:rsid w:val="00B55D14"/>
    <w:rsid w:val="00B630C0"/>
    <w:rsid w:val="00B65EBB"/>
    <w:rsid w:val="00B66576"/>
    <w:rsid w:val="00B70C1A"/>
    <w:rsid w:val="00B71202"/>
    <w:rsid w:val="00B740FB"/>
    <w:rsid w:val="00B74189"/>
    <w:rsid w:val="00B84E76"/>
    <w:rsid w:val="00B8776D"/>
    <w:rsid w:val="00B908CC"/>
    <w:rsid w:val="00B92DD8"/>
    <w:rsid w:val="00B93485"/>
    <w:rsid w:val="00B93D0B"/>
    <w:rsid w:val="00B942E3"/>
    <w:rsid w:val="00B95862"/>
    <w:rsid w:val="00B958AC"/>
    <w:rsid w:val="00B96348"/>
    <w:rsid w:val="00BA1997"/>
    <w:rsid w:val="00BA601E"/>
    <w:rsid w:val="00BB0BED"/>
    <w:rsid w:val="00BB3DE4"/>
    <w:rsid w:val="00BB536A"/>
    <w:rsid w:val="00BC2C66"/>
    <w:rsid w:val="00BC3EF5"/>
    <w:rsid w:val="00BC7132"/>
    <w:rsid w:val="00BC7D84"/>
    <w:rsid w:val="00BD31C7"/>
    <w:rsid w:val="00BE1923"/>
    <w:rsid w:val="00BE2005"/>
    <w:rsid w:val="00BE3664"/>
    <w:rsid w:val="00BE3DFF"/>
    <w:rsid w:val="00BF1D3C"/>
    <w:rsid w:val="00C03009"/>
    <w:rsid w:val="00C07D2D"/>
    <w:rsid w:val="00C11930"/>
    <w:rsid w:val="00C141C5"/>
    <w:rsid w:val="00C15791"/>
    <w:rsid w:val="00C15B27"/>
    <w:rsid w:val="00C20821"/>
    <w:rsid w:val="00C2165D"/>
    <w:rsid w:val="00C21AC1"/>
    <w:rsid w:val="00C22F56"/>
    <w:rsid w:val="00C2313A"/>
    <w:rsid w:val="00C24189"/>
    <w:rsid w:val="00C2553B"/>
    <w:rsid w:val="00C25708"/>
    <w:rsid w:val="00C26016"/>
    <w:rsid w:val="00C32979"/>
    <w:rsid w:val="00C32DD1"/>
    <w:rsid w:val="00C33717"/>
    <w:rsid w:val="00C36DDB"/>
    <w:rsid w:val="00C4038C"/>
    <w:rsid w:val="00C419C9"/>
    <w:rsid w:val="00C4400E"/>
    <w:rsid w:val="00C565B6"/>
    <w:rsid w:val="00C5744C"/>
    <w:rsid w:val="00C63C94"/>
    <w:rsid w:val="00C66600"/>
    <w:rsid w:val="00C67476"/>
    <w:rsid w:val="00C736F2"/>
    <w:rsid w:val="00C763F5"/>
    <w:rsid w:val="00C837D6"/>
    <w:rsid w:val="00C8535C"/>
    <w:rsid w:val="00C85E53"/>
    <w:rsid w:val="00C869BC"/>
    <w:rsid w:val="00C87BD2"/>
    <w:rsid w:val="00C924BC"/>
    <w:rsid w:val="00C93F86"/>
    <w:rsid w:val="00C94463"/>
    <w:rsid w:val="00C9596E"/>
    <w:rsid w:val="00C97347"/>
    <w:rsid w:val="00CA25CA"/>
    <w:rsid w:val="00CA53B7"/>
    <w:rsid w:val="00CA7A46"/>
    <w:rsid w:val="00CB0A42"/>
    <w:rsid w:val="00CB32AF"/>
    <w:rsid w:val="00CB74B4"/>
    <w:rsid w:val="00CB7A6E"/>
    <w:rsid w:val="00CB7EA2"/>
    <w:rsid w:val="00CC2554"/>
    <w:rsid w:val="00CC71E2"/>
    <w:rsid w:val="00CD1205"/>
    <w:rsid w:val="00CD2141"/>
    <w:rsid w:val="00CD2B21"/>
    <w:rsid w:val="00CD3D71"/>
    <w:rsid w:val="00CD7808"/>
    <w:rsid w:val="00CD7A85"/>
    <w:rsid w:val="00CE4856"/>
    <w:rsid w:val="00CE5C5B"/>
    <w:rsid w:val="00CE6DB2"/>
    <w:rsid w:val="00CF00A1"/>
    <w:rsid w:val="00CF325C"/>
    <w:rsid w:val="00CF334F"/>
    <w:rsid w:val="00CF3D62"/>
    <w:rsid w:val="00CF47E7"/>
    <w:rsid w:val="00CF4F17"/>
    <w:rsid w:val="00CF66EA"/>
    <w:rsid w:val="00D01F79"/>
    <w:rsid w:val="00D038BD"/>
    <w:rsid w:val="00D1099C"/>
    <w:rsid w:val="00D1200E"/>
    <w:rsid w:val="00D1415A"/>
    <w:rsid w:val="00D219F1"/>
    <w:rsid w:val="00D25E1A"/>
    <w:rsid w:val="00D30A1B"/>
    <w:rsid w:val="00D346B2"/>
    <w:rsid w:val="00D35454"/>
    <w:rsid w:val="00D40585"/>
    <w:rsid w:val="00D42933"/>
    <w:rsid w:val="00D43B57"/>
    <w:rsid w:val="00D466BC"/>
    <w:rsid w:val="00D51CE6"/>
    <w:rsid w:val="00D52490"/>
    <w:rsid w:val="00D57C07"/>
    <w:rsid w:val="00D600E0"/>
    <w:rsid w:val="00D61E5A"/>
    <w:rsid w:val="00D62E24"/>
    <w:rsid w:val="00D66004"/>
    <w:rsid w:val="00D66941"/>
    <w:rsid w:val="00D676BC"/>
    <w:rsid w:val="00D716F5"/>
    <w:rsid w:val="00D743A4"/>
    <w:rsid w:val="00D74572"/>
    <w:rsid w:val="00D7462C"/>
    <w:rsid w:val="00D80370"/>
    <w:rsid w:val="00D806C5"/>
    <w:rsid w:val="00D873D6"/>
    <w:rsid w:val="00DA0272"/>
    <w:rsid w:val="00DA454A"/>
    <w:rsid w:val="00DA6A1C"/>
    <w:rsid w:val="00DA77D9"/>
    <w:rsid w:val="00DC3931"/>
    <w:rsid w:val="00DC4D33"/>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74ED"/>
    <w:rsid w:val="00E20AE6"/>
    <w:rsid w:val="00E31F3E"/>
    <w:rsid w:val="00E32DD6"/>
    <w:rsid w:val="00E33B66"/>
    <w:rsid w:val="00E33EA4"/>
    <w:rsid w:val="00E352E3"/>
    <w:rsid w:val="00E40B2C"/>
    <w:rsid w:val="00E41883"/>
    <w:rsid w:val="00E41A12"/>
    <w:rsid w:val="00E421CF"/>
    <w:rsid w:val="00E536DD"/>
    <w:rsid w:val="00E55787"/>
    <w:rsid w:val="00E60B2F"/>
    <w:rsid w:val="00E62B62"/>
    <w:rsid w:val="00E63C56"/>
    <w:rsid w:val="00E658C6"/>
    <w:rsid w:val="00E65A68"/>
    <w:rsid w:val="00E71723"/>
    <w:rsid w:val="00E7302F"/>
    <w:rsid w:val="00E75986"/>
    <w:rsid w:val="00E75A19"/>
    <w:rsid w:val="00E82D8A"/>
    <w:rsid w:val="00E84985"/>
    <w:rsid w:val="00E90DF8"/>
    <w:rsid w:val="00E91542"/>
    <w:rsid w:val="00E91D95"/>
    <w:rsid w:val="00E97964"/>
    <w:rsid w:val="00EA778D"/>
    <w:rsid w:val="00EB19CE"/>
    <w:rsid w:val="00EB3580"/>
    <w:rsid w:val="00EB3D21"/>
    <w:rsid w:val="00EC13DF"/>
    <w:rsid w:val="00EC35B3"/>
    <w:rsid w:val="00EC5FA8"/>
    <w:rsid w:val="00ED1A87"/>
    <w:rsid w:val="00ED2509"/>
    <w:rsid w:val="00ED7C3A"/>
    <w:rsid w:val="00EE237B"/>
    <w:rsid w:val="00EF1AE3"/>
    <w:rsid w:val="00EF2367"/>
    <w:rsid w:val="00EF40EB"/>
    <w:rsid w:val="00EF7BC5"/>
    <w:rsid w:val="00F032E8"/>
    <w:rsid w:val="00F03917"/>
    <w:rsid w:val="00F03F51"/>
    <w:rsid w:val="00F118DE"/>
    <w:rsid w:val="00F1518B"/>
    <w:rsid w:val="00F205B2"/>
    <w:rsid w:val="00F22B04"/>
    <w:rsid w:val="00F2314D"/>
    <w:rsid w:val="00F257EE"/>
    <w:rsid w:val="00F2600D"/>
    <w:rsid w:val="00F26576"/>
    <w:rsid w:val="00F27330"/>
    <w:rsid w:val="00F33EF9"/>
    <w:rsid w:val="00F3749E"/>
    <w:rsid w:val="00F43936"/>
    <w:rsid w:val="00F504EE"/>
    <w:rsid w:val="00F540F1"/>
    <w:rsid w:val="00F60618"/>
    <w:rsid w:val="00F62C83"/>
    <w:rsid w:val="00F660C0"/>
    <w:rsid w:val="00F6633A"/>
    <w:rsid w:val="00F66F55"/>
    <w:rsid w:val="00F6716F"/>
    <w:rsid w:val="00F74D65"/>
    <w:rsid w:val="00F754CD"/>
    <w:rsid w:val="00F81530"/>
    <w:rsid w:val="00F81CDF"/>
    <w:rsid w:val="00F8447E"/>
    <w:rsid w:val="00F851D4"/>
    <w:rsid w:val="00F86DF2"/>
    <w:rsid w:val="00F94A95"/>
    <w:rsid w:val="00F97369"/>
    <w:rsid w:val="00FA04E1"/>
    <w:rsid w:val="00FA3320"/>
    <w:rsid w:val="00FA48BD"/>
    <w:rsid w:val="00FB537F"/>
    <w:rsid w:val="00FB6EEF"/>
    <w:rsid w:val="00FB7FFE"/>
    <w:rsid w:val="00FC1FDF"/>
    <w:rsid w:val="00FC3B5B"/>
    <w:rsid w:val="00FC3D7C"/>
    <w:rsid w:val="00FD0696"/>
    <w:rsid w:val="00FD2B63"/>
    <w:rsid w:val="00FD43C3"/>
    <w:rsid w:val="00FD6447"/>
    <w:rsid w:val="00FD71BF"/>
    <w:rsid w:val="00FD7FC7"/>
    <w:rsid w:val="00FE0310"/>
    <w:rsid w:val="00FE1BCE"/>
    <w:rsid w:val="00FF0844"/>
    <w:rsid w:val="00FF19A9"/>
    <w:rsid w:val="00FF369D"/>
    <w:rsid w:val="00FF4292"/>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3F6DA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757888">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703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83A2A-B425-419E-9238-C1C4CA79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2463</Words>
  <Characters>12074</Characters>
  <Application>Microsoft Office Word</Application>
  <DocSecurity>0</DocSecurity>
  <Lines>100</Lines>
  <Paragraphs>29</Paragraphs>
  <ScaleCrop>false</ScaleCrop>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2018-07-16T15:28:00Z</dcterms:created>
  <dcterms:modified xsi:type="dcterms:W3CDTF">2018-07-16T15:28:00Z</dcterms:modified>
</cp:coreProperties>
</file>