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041C4" w:rsidRDefault="00756520" w:rsidP="008A6059">
      <w:pPr>
        <w:jc w:val="center"/>
        <w:rPr>
          <w:rFonts w:ascii="Book Antiqua" w:hAnsi="Book Antiqua" w:cs="Arial"/>
          <w:caps/>
          <w:color w:val="000000"/>
          <w:sz w:val="16"/>
          <w:szCs w:val="16"/>
        </w:rPr>
      </w:pPr>
      <w:r w:rsidRPr="009041C4">
        <w:rPr>
          <w:noProof/>
          <w:sz w:val="16"/>
          <w:szCs w:val="16"/>
        </w:rPr>
        <w:drawing>
          <wp:inline distT="0" distB="0" distL="0" distR="0" wp14:anchorId="207B21B0" wp14:editId="20938207">
            <wp:extent cx="1054100" cy="901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901700"/>
                    </a:xfrm>
                    <a:prstGeom prst="rect">
                      <a:avLst/>
                    </a:prstGeom>
                    <a:noFill/>
                    <a:ln>
                      <a:noFill/>
                    </a:ln>
                  </pic:spPr>
                </pic:pic>
              </a:graphicData>
            </a:graphic>
          </wp:inline>
        </w:drawing>
      </w:r>
    </w:p>
    <w:p w:rsidR="00D94AFC" w:rsidRPr="009041C4"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D03E2E" w:rsidRPr="009B7433" w:rsidRDefault="008A6059" w:rsidP="000E4909">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03E2E">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820A4F">
        <w:rPr>
          <w:rFonts w:ascii="Book Antiqua" w:hAnsi="Book Antiqua" w:cs="Arial"/>
          <w:color w:val="000000"/>
        </w:rPr>
        <w:t>PA/10043/2017</w:t>
      </w:r>
      <w:bookmarkEnd w:id="0"/>
    </w:p>
    <w:p w:rsidR="00C345E1" w:rsidRPr="009B7433" w:rsidRDefault="00C345E1" w:rsidP="00C345E1">
      <w:pPr>
        <w:jc w:val="center"/>
        <w:rPr>
          <w:rFonts w:ascii="Book Antiqua" w:hAnsi="Book Antiqua" w:cs="Arial"/>
          <w:color w:val="000000"/>
        </w:rPr>
      </w:pPr>
    </w:p>
    <w:p w:rsidR="009041C4" w:rsidRDefault="009041C4"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9041C4" w:rsidRPr="009B7433" w:rsidRDefault="009041C4"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98"/>
        <w:gridCol w:w="950"/>
        <w:gridCol w:w="3960"/>
      </w:tblGrid>
      <w:tr w:rsidR="00D22636" w:rsidRPr="00A549E8" w:rsidTr="0051087C">
        <w:tc>
          <w:tcPr>
            <w:tcW w:w="5098" w:type="dxa"/>
            <w:shd w:val="clear" w:color="auto" w:fill="auto"/>
          </w:tcPr>
          <w:p w:rsidR="00D22636" w:rsidRPr="00A549E8" w:rsidRDefault="00D22636" w:rsidP="00D05EE8">
            <w:pPr>
              <w:jc w:val="both"/>
              <w:rPr>
                <w:rFonts w:ascii="Book Antiqua" w:hAnsi="Book Antiqua" w:cs="Arial"/>
                <w:b/>
              </w:rPr>
            </w:pPr>
            <w:r w:rsidRPr="00A549E8">
              <w:rPr>
                <w:rFonts w:ascii="Book Antiqua" w:hAnsi="Book Antiqua" w:cs="Arial"/>
                <w:b/>
              </w:rPr>
              <w:t xml:space="preserve">Heard at </w:t>
            </w:r>
            <w:r w:rsidR="004A0C54">
              <w:rPr>
                <w:rFonts w:ascii="Book Antiqua" w:hAnsi="Book Antiqua" w:cs="Arial"/>
                <w:b/>
              </w:rPr>
              <w:t xml:space="preserve">Field </w:t>
            </w:r>
            <w:r w:rsidR="003E2F5E">
              <w:rPr>
                <w:rFonts w:ascii="Book Antiqua" w:hAnsi="Book Antiqua" w:cs="Arial"/>
                <w:b/>
              </w:rPr>
              <w:t>House</w:t>
            </w:r>
          </w:p>
        </w:tc>
        <w:tc>
          <w:tcPr>
            <w:tcW w:w="4910" w:type="dxa"/>
            <w:gridSpan w:val="2"/>
            <w:shd w:val="clear" w:color="auto" w:fill="auto"/>
          </w:tcPr>
          <w:p w:rsidR="00D22636" w:rsidRPr="00A549E8" w:rsidRDefault="00D949B7" w:rsidP="00A549E8">
            <w:pPr>
              <w:jc w:val="both"/>
              <w:rPr>
                <w:rFonts w:ascii="Book Antiqua" w:hAnsi="Book Antiqua" w:cs="Arial"/>
                <w:b/>
                <w:color w:val="000000"/>
              </w:rPr>
            </w:pPr>
            <w:r w:rsidRPr="00A549E8">
              <w:rPr>
                <w:rFonts w:ascii="Book Antiqua" w:hAnsi="Book Antiqua" w:cs="Arial"/>
                <w:b/>
                <w:color w:val="000000"/>
              </w:rPr>
              <w:t>Decision &amp; Reasons</w:t>
            </w:r>
            <w:r w:rsidR="00283659" w:rsidRPr="00A549E8">
              <w:rPr>
                <w:rFonts w:ascii="Book Antiqua" w:hAnsi="Book Antiqua" w:cs="Arial"/>
                <w:b/>
                <w:color w:val="000000"/>
              </w:rPr>
              <w:t xml:space="preserve"> Promulgated</w:t>
            </w:r>
          </w:p>
        </w:tc>
      </w:tr>
      <w:tr w:rsidR="00D22636" w:rsidRPr="00A549E8" w:rsidTr="0051087C">
        <w:tc>
          <w:tcPr>
            <w:tcW w:w="5098" w:type="dxa"/>
            <w:shd w:val="clear" w:color="auto" w:fill="auto"/>
          </w:tcPr>
          <w:p w:rsidR="00D22636" w:rsidRPr="00A549E8" w:rsidRDefault="00D22636" w:rsidP="004677EC">
            <w:pPr>
              <w:jc w:val="both"/>
              <w:rPr>
                <w:rFonts w:ascii="Book Antiqua" w:hAnsi="Book Antiqua" w:cs="Arial"/>
                <w:b/>
              </w:rPr>
            </w:pPr>
            <w:r w:rsidRPr="00A549E8">
              <w:rPr>
                <w:rFonts w:ascii="Book Antiqua" w:hAnsi="Book Antiqua" w:cs="Arial"/>
                <w:b/>
              </w:rPr>
              <w:t xml:space="preserve">On </w:t>
            </w:r>
            <w:r w:rsidR="000E4909">
              <w:rPr>
                <w:rFonts w:ascii="Book Antiqua" w:hAnsi="Book Antiqua" w:cs="Arial"/>
                <w:b/>
              </w:rPr>
              <w:t xml:space="preserve">14 August </w:t>
            </w:r>
            <w:r w:rsidR="00585B6E">
              <w:rPr>
                <w:rFonts w:ascii="Book Antiqua" w:hAnsi="Book Antiqua" w:cs="Arial"/>
                <w:b/>
              </w:rPr>
              <w:t>2018</w:t>
            </w:r>
          </w:p>
        </w:tc>
        <w:tc>
          <w:tcPr>
            <w:tcW w:w="4910" w:type="dxa"/>
            <w:gridSpan w:val="2"/>
            <w:shd w:val="clear" w:color="auto" w:fill="auto"/>
          </w:tcPr>
          <w:p w:rsidR="00D22636" w:rsidRPr="00A549E8" w:rsidRDefault="0051087C" w:rsidP="00A549E8">
            <w:pPr>
              <w:jc w:val="both"/>
              <w:rPr>
                <w:rFonts w:ascii="Book Antiqua" w:hAnsi="Book Antiqua" w:cs="Arial"/>
                <w:b/>
              </w:rPr>
            </w:pPr>
            <w:r>
              <w:rPr>
                <w:rFonts w:ascii="Book Antiqua" w:hAnsi="Book Antiqua" w:cs="Arial"/>
                <w:b/>
              </w:rPr>
              <w:t xml:space="preserve">On 04 September 2018 </w:t>
            </w:r>
          </w:p>
        </w:tc>
      </w:tr>
      <w:tr w:rsidR="00D22636" w:rsidRPr="00A549E8" w:rsidTr="0051087C">
        <w:trPr>
          <w:trHeight w:val="251"/>
        </w:trPr>
        <w:tc>
          <w:tcPr>
            <w:tcW w:w="6048" w:type="dxa"/>
            <w:gridSpan w:val="2"/>
            <w:shd w:val="clear" w:color="auto" w:fill="auto"/>
          </w:tcPr>
          <w:p w:rsidR="00D22636" w:rsidRPr="00A549E8" w:rsidRDefault="00D22636" w:rsidP="00A549E8">
            <w:pPr>
              <w:jc w:val="both"/>
              <w:rPr>
                <w:rFonts w:ascii="Book Antiqua" w:hAnsi="Book Antiqua" w:cs="Arial"/>
                <w:b/>
              </w:rPr>
            </w:pPr>
          </w:p>
        </w:tc>
        <w:tc>
          <w:tcPr>
            <w:tcW w:w="3960" w:type="dxa"/>
            <w:shd w:val="clear" w:color="auto" w:fill="auto"/>
          </w:tcPr>
          <w:p w:rsidR="00D22636" w:rsidRPr="00A549E8" w:rsidRDefault="00D22636" w:rsidP="00A549E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Default="00D20757" w:rsidP="00A15234">
      <w:pPr>
        <w:jc w:val="center"/>
        <w:rPr>
          <w:rFonts w:ascii="Book Antiqua" w:hAnsi="Book Antiqua" w:cs="Arial"/>
          <w:b/>
        </w:rPr>
      </w:pPr>
    </w:p>
    <w:p w:rsidR="009041C4" w:rsidRPr="009B7433" w:rsidRDefault="009041C4" w:rsidP="00A15234">
      <w:pPr>
        <w:jc w:val="center"/>
        <w:rPr>
          <w:rFonts w:ascii="Book Antiqua" w:hAnsi="Book Antiqua" w:cs="Arial"/>
          <w:b/>
        </w:rPr>
      </w:pPr>
    </w:p>
    <w:p w:rsidR="00A845DC" w:rsidRPr="009B7433" w:rsidRDefault="00A845DC" w:rsidP="009041C4">
      <w:pPr>
        <w:jc w:val="center"/>
        <w:rPr>
          <w:rFonts w:ascii="Book Antiqua" w:hAnsi="Book Antiqua" w:cs="Arial"/>
          <w:b/>
        </w:rPr>
      </w:pPr>
      <w:r w:rsidRPr="009B7433">
        <w:rPr>
          <w:rFonts w:ascii="Book Antiqua" w:hAnsi="Book Antiqua" w:cs="Arial"/>
          <w:b/>
        </w:rPr>
        <w:t>Between</w:t>
      </w:r>
    </w:p>
    <w:p w:rsidR="009041C4" w:rsidRDefault="009041C4" w:rsidP="00A15234">
      <w:pPr>
        <w:jc w:val="center"/>
        <w:rPr>
          <w:rFonts w:ascii="Book Antiqua" w:hAnsi="Book Antiqua" w:cs="Arial"/>
          <w:b/>
        </w:rPr>
      </w:pPr>
    </w:p>
    <w:p w:rsidR="00A845DC" w:rsidRPr="009B7433" w:rsidRDefault="00820A4F" w:rsidP="00A15234">
      <w:pPr>
        <w:jc w:val="center"/>
        <w:rPr>
          <w:rFonts w:ascii="Book Antiqua" w:hAnsi="Book Antiqua" w:cs="Arial"/>
          <w:b/>
        </w:rPr>
      </w:pPr>
      <w:r>
        <w:rPr>
          <w:rFonts w:ascii="Book Antiqua" w:hAnsi="Book Antiqua" w:cs="Arial"/>
          <w:b/>
        </w:rPr>
        <w:t xml:space="preserve">S </w:t>
      </w:r>
      <w:proofErr w:type="spellStart"/>
      <w:r>
        <w:rPr>
          <w:rFonts w:ascii="Book Antiqua" w:hAnsi="Book Antiqua" w:cs="Arial"/>
          <w:b/>
        </w:rPr>
        <w:t>S</w:t>
      </w:r>
      <w:proofErr w:type="spellEnd"/>
    </w:p>
    <w:p w:rsidR="00820A4F" w:rsidRPr="009041C4" w:rsidRDefault="00820A4F" w:rsidP="00820A4F">
      <w:pPr>
        <w:jc w:val="center"/>
        <w:rPr>
          <w:rFonts w:ascii="Book Antiqua" w:hAnsi="Book Antiqua" w:cs="Arial"/>
          <w:b/>
          <w:sz w:val="22"/>
        </w:rPr>
      </w:pPr>
      <w:r w:rsidRPr="009041C4">
        <w:rPr>
          <w:rFonts w:ascii="Book Antiqua" w:hAnsi="Book Antiqua" w:cs="Arial"/>
          <w:b/>
          <w:caps/>
          <w:sz w:val="22"/>
        </w:rPr>
        <w:t>(ANONYMITY DIRECTION MADE)</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0E4909" w:rsidRPr="009B7433" w:rsidRDefault="00820A4F" w:rsidP="000E4909">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r w:rsidRPr="00D949B7">
        <w:rPr>
          <w:rFonts w:ascii="Book Antiqua" w:hAnsi="Book Antiqua" w:cs="Arial"/>
          <w:b/>
          <w:caps/>
        </w:rPr>
        <w:t xml:space="preserve"> </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820A4F" w:rsidRPr="009B7433" w:rsidRDefault="00820A4F"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9041C4">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820A4F">
        <w:rPr>
          <w:rFonts w:ascii="Book Antiqua" w:hAnsi="Book Antiqua" w:cs="Arial"/>
        </w:rPr>
        <w:t>Mr A Janjua, instructed by Morden Solicitors</w:t>
      </w:r>
    </w:p>
    <w:p w:rsidR="00DE7DB7" w:rsidRPr="009B7433" w:rsidRDefault="00DE7DB7" w:rsidP="009041C4">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20A4F">
        <w:rPr>
          <w:rFonts w:ascii="Book Antiqua" w:hAnsi="Book Antiqua" w:cs="Arial"/>
        </w:rPr>
        <w:t>Mr D Clarke, Senior Home Office Presenting Officer</w:t>
      </w:r>
    </w:p>
    <w:p w:rsidR="00820A4F" w:rsidRDefault="00820A4F" w:rsidP="00325561">
      <w:pPr>
        <w:tabs>
          <w:tab w:val="left" w:pos="2520"/>
        </w:tabs>
        <w:jc w:val="center"/>
        <w:rPr>
          <w:rFonts w:ascii="Book Antiqua" w:hAnsi="Book Antiqua" w:cs="Arial"/>
          <w:b/>
          <w:u w:val="single"/>
        </w:rPr>
      </w:pPr>
    </w:p>
    <w:p w:rsidR="00820A4F" w:rsidRDefault="00820A4F" w:rsidP="00325561">
      <w:pPr>
        <w:tabs>
          <w:tab w:val="left" w:pos="2520"/>
        </w:tabs>
        <w:jc w:val="center"/>
        <w:rPr>
          <w:rFonts w:ascii="Book Antiqua" w:hAnsi="Book Antiqua" w:cs="Arial"/>
          <w:b/>
          <w:u w:val="single"/>
        </w:rPr>
      </w:pPr>
    </w:p>
    <w:p w:rsidR="00325561" w:rsidRDefault="00D949B7" w:rsidP="00325561">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820A4F" w:rsidRDefault="0092058D" w:rsidP="009041C4">
      <w:pPr>
        <w:widowControl w:val="0"/>
        <w:numPr>
          <w:ilvl w:val="0"/>
          <w:numId w:val="1"/>
        </w:numPr>
        <w:tabs>
          <w:tab w:val="clear" w:pos="567"/>
        </w:tabs>
        <w:spacing w:before="160"/>
        <w:jc w:val="both"/>
        <w:rPr>
          <w:rFonts w:ascii="Book Antiqua" w:hAnsi="Book Antiqua"/>
        </w:rPr>
      </w:pPr>
      <w:r w:rsidRPr="00325561">
        <w:rPr>
          <w:rFonts w:ascii="Book Antiqua" w:hAnsi="Book Antiqua"/>
        </w:rPr>
        <w:t xml:space="preserve">The </w:t>
      </w:r>
      <w:r w:rsidR="00820A4F">
        <w:rPr>
          <w:rFonts w:ascii="Book Antiqua" w:hAnsi="Book Antiqua"/>
        </w:rPr>
        <w:t>appellant</w:t>
      </w:r>
      <w:r w:rsidR="000E4909">
        <w:rPr>
          <w:rFonts w:ascii="Book Antiqua" w:hAnsi="Book Antiqua"/>
        </w:rPr>
        <w:t xml:space="preserve"> appeals with permission against the decision of First-tier Tribunal Judge </w:t>
      </w:r>
      <w:proofErr w:type="spellStart"/>
      <w:r w:rsidR="00820A4F">
        <w:rPr>
          <w:rFonts w:ascii="Book Antiqua" w:hAnsi="Book Antiqua"/>
        </w:rPr>
        <w:t>O’Garro</w:t>
      </w:r>
      <w:proofErr w:type="spellEnd"/>
      <w:r w:rsidR="000E4909">
        <w:rPr>
          <w:rFonts w:ascii="Book Antiqua" w:hAnsi="Book Antiqua"/>
        </w:rPr>
        <w:t xml:space="preserve"> promulgated on </w:t>
      </w:r>
      <w:r w:rsidR="00820A4F">
        <w:rPr>
          <w:rFonts w:ascii="Book Antiqua" w:hAnsi="Book Antiqua"/>
        </w:rPr>
        <w:t xml:space="preserve">21 November 2018 </w:t>
      </w:r>
      <w:r w:rsidR="000E4909">
        <w:rPr>
          <w:rFonts w:ascii="Book Antiqua" w:hAnsi="Book Antiqua"/>
        </w:rPr>
        <w:t xml:space="preserve">in which she </w:t>
      </w:r>
      <w:r w:rsidR="00820A4F">
        <w:rPr>
          <w:rFonts w:ascii="Book Antiqua" w:hAnsi="Book Antiqua"/>
        </w:rPr>
        <w:t xml:space="preserve">dismissed his </w:t>
      </w:r>
      <w:r w:rsidR="000E4909">
        <w:rPr>
          <w:rFonts w:ascii="Book Antiqua" w:hAnsi="Book Antiqua"/>
        </w:rPr>
        <w:t xml:space="preserve">against the decision made on </w:t>
      </w:r>
      <w:r w:rsidR="00820A4F">
        <w:rPr>
          <w:rFonts w:ascii="Book Antiqua" w:hAnsi="Book Antiqua"/>
        </w:rPr>
        <w:t>27 September 2017</w:t>
      </w:r>
      <w:r w:rsidR="000E4909">
        <w:rPr>
          <w:rFonts w:ascii="Book Antiqua" w:hAnsi="Book Antiqua"/>
        </w:rPr>
        <w:t xml:space="preserve"> </w:t>
      </w:r>
      <w:r w:rsidR="00820A4F">
        <w:rPr>
          <w:rFonts w:ascii="Book Antiqua" w:hAnsi="Book Antiqua"/>
        </w:rPr>
        <w:t xml:space="preserve">to refuse his asylum and protection claim. </w:t>
      </w:r>
    </w:p>
    <w:p w:rsidR="00D03E2E" w:rsidRDefault="00820A4F" w:rsidP="009041C4">
      <w:pPr>
        <w:widowControl w:val="0"/>
        <w:numPr>
          <w:ilvl w:val="0"/>
          <w:numId w:val="1"/>
        </w:numPr>
        <w:tabs>
          <w:tab w:val="clear" w:pos="567"/>
        </w:tabs>
        <w:spacing w:before="160"/>
        <w:jc w:val="both"/>
        <w:rPr>
          <w:rFonts w:ascii="Book Antiqua" w:hAnsi="Book Antiqua"/>
        </w:rPr>
      </w:pPr>
      <w:r>
        <w:rPr>
          <w:rFonts w:ascii="Book Antiqua" w:hAnsi="Book Antiqua"/>
        </w:rPr>
        <w:t xml:space="preserve">The applicant was at the time of the hearing a minor. </w:t>
      </w:r>
      <w:r w:rsidR="00501949">
        <w:rPr>
          <w:rFonts w:ascii="Book Antiqua" w:hAnsi="Book Antiqua"/>
        </w:rPr>
        <w:t xml:space="preserve">The appellant had lived in </w:t>
      </w:r>
      <w:proofErr w:type="spellStart"/>
      <w:r w:rsidR="00501949">
        <w:rPr>
          <w:rFonts w:ascii="Book Antiqua" w:hAnsi="Book Antiqua"/>
        </w:rPr>
        <w:t>Kapran</w:t>
      </w:r>
      <w:proofErr w:type="spellEnd"/>
      <w:r w:rsidR="00501949">
        <w:rPr>
          <w:rFonts w:ascii="Book Antiqua" w:hAnsi="Book Antiqua"/>
        </w:rPr>
        <w:t xml:space="preserve"> Village, </w:t>
      </w:r>
      <w:proofErr w:type="spellStart"/>
      <w:r w:rsidR="00501949">
        <w:rPr>
          <w:rFonts w:ascii="Book Antiqua" w:hAnsi="Book Antiqua"/>
        </w:rPr>
        <w:t>Gowear</w:t>
      </w:r>
      <w:proofErr w:type="spellEnd"/>
      <w:r w:rsidR="00501949">
        <w:rPr>
          <w:rFonts w:ascii="Book Antiqua" w:hAnsi="Book Antiqua"/>
        </w:rPr>
        <w:t xml:space="preserve"> Town in a Kurdish area. He is a citizen of Iraq of Kurdish origin, and feared ill-treatment on account of his father’s involvement with the Ba’ath party under the Saddam Hussein regime. His father died when the appellant was 10 but his mother told him that she feared that he would be targeted by Kurdish forces </w:t>
      </w:r>
      <w:r w:rsidR="00501949">
        <w:rPr>
          <w:rFonts w:ascii="Book Antiqua" w:hAnsi="Book Antiqua"/>
        </w:rPr>
        <w:lastRenderedPageBreak/>
        <w:t xml:space="preserve">due to his father past misdeeds; and, as a result of that fear arranged for him to be sent to Europe, leaving Iraq at the age of 15.  </w:t>
      </w:r>
    </w:p>
    <w:p w:rsidR="00501949" w:rsidRDefault="00501949" w:rsidP="009041C4">
      <w:pPr>
        <w:widowControl w:val="0"/>
        <w:numPr>
          <w:ilvl w:val="0"/>
          <w:numId w:val="1"/>
        </w:numPr>
        <w:tabs>
          <w:tab w:val="clear" w:pos="567"/>
        </w:tabs>
        <w:spacing w:before="160"/>
        <w:jc w:val="both"/>
        <w:rPr>
          <w:rFonts w:ascii="Book Antiqua" w:hAnsi="Book Antiqua"/>
        </w:rPr>
      </w:pPr>
      <w:r>
        <w:rPr>
          <w:rFonts w:ascii="Book Antiqua" w:hAnsi="Book Antiqua"/>
        </w:rPr>
        <w:t xml:space="preserve">The respondent accepted the appellant’s nationality, age and identity.  He also accepted that </w:t>
      </w:r>
      <w:r w:rsidR="00460E03">
        <w:rPr>
          <w:rFonts w:ascii="Book Antiqua" w:hAnsi="Book Antiqua"/>
        </w:rPr>
        <w:t xml:space="preserve">the father had been involved with the Ba’ath party. Although accepting [40] that he had a subjective fear on return, the respondent concluded that in the light of the background evidence that fear was not well-founded, and on that basis rejected the claim on asylum and humanitarian protection. He also refused the claim </w:t>
      </w:r>
      <w:r w:rsidR="00B90859">
        <w:rPr>
          <w:rFonts w:ascii="Book Antiqua" w:hAnsi="Book Antiqua"/>
        </w:rPr>
        <w:t>on article 8 grounds.</w:t>
      </w:r>
    </w:p>
    <w:p w:rsidR="00B90859" w:rsidRDefault="00B90859" w:rsidP="009041C4">
      <w:pPr>
        <w:widowControl w:val="0"/>
        <w:numPr>
          <w:ilvl w:val="0"/>
          <w:numId w:val="1"/>
        </w:numPr>
        <w:tabs>
          <w:tab w:val="clear" w:pos="567"/>
        </w:tabs>
        <w:spacing w:before="160"/>
        <w:jc w:val="both"/>
        <w:rPr>
          <w:rFonts w:ascii="Book Antiqua" w:hAnsi="Book Antiqua"/>
        </w:rPr>
      </w:pPr>
      <w:r>
        <w:rPr>
          <w:rFonts w:ascii="Book Antiqua" w:hAnsi="Book Antiqua"/>
        </w:rPr>
        <w:t xml:space="preserve">Judge </w:t>
      </w:r>
      <w:proofErr w:type="spellStart"/>
      <w:r>
        <w:rPr>
          <w:rFonts w:ascii="Book Antiqua" w:hAnsi="Book Antiqua"/>
        </w:rPr>
        <w:t>O’Garro</w:t>
      </w:r>
      <w:proofErr w:type="spellEnd"/>
      <w:r>
        <w:rPr>
          <w:rFonts w:ascii="Book Antiqua" w:hAnsi="Book Antiqua"/>
        </w:rPr>
        <w:t xml:space="preserve"> directed herself [27] that she should bear in mind that the appellant was a minor; and, having considered the objective (sic) evidence [28] found that:</w:t>
      </w:r>
    </w:p>
    <w:p w:rsidR="00B90859" w:rsidRDefault="00B90859"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the appellant’s claim is not credible and that had the father been targeted, his mother would have told him about it [29], and the family would not have been able to live in the home area from 2003 until the father’s death in 2003;</w:t>
      </w:r>
    </w:p>
    <w:p w:rsidR="00B90859" w:rsidRDefault="00B90859"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the appellant had not shown he would be at risk on return because his father was a member of the Ba’ath party [32];</w:t>
      </w:r>
    </w:p>
    <w:p w:rsidR="00B90859" w:rsidRDefault="00B90859"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 xml:space="preserve">the appellant’s case depends entirely on his credibility and nothing in his personal circumstances </w:t>
      </w:r>
      <w:r w:rsidR="00B81077">
        <w:rPr>
          <w:rFonts w:ascii="Book Antiqua" w:hAnsi="Book Antiqua"/>
        </w:rPr>
        <w:t>gave her reason to believe his claim, and she was not persuaded that he was telling the truth about his claimed fear [33];</w:t>
      </w:r>
    </w:p>
    <w:p w:rsidR="00B81077" w:rsidRDefault="00B81077"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as the claim had not been found to be credible</w:t>
      </w:r>
      <w:r w:rsidR="00A85711">
        <w:rPr>
          <w:rFonts w:ascii="Book Antiqua" w:hAnsi="Book Antiqua"/>
        </w:rPr>
        <w:t xml:space="preserve"> [35]</w:t>
      </w:r>
      <w:r>
        <w:rPr>
          <w:rFonts w:ascii="Book Antiqua" w:hAnsi="Book Antiqua"/>
        </w:rPr>
        <w:t xml:space="preserve">, </w:t>
      </w:r>
      <w:r w:rsidR="00A85711">
        <w:rPr>
          <w:rFonts w:ascii="Book Antiqua" w:hAnsi="Book Antiqua"/>
        </w:rPr>
        <w:t>it was not shown that his relatives no longer lived in the village where he left them; and, he was still touch with his mother who is still living in Kirkuk</w:t>
      </w:r>
      <w:r w:rsidR="009041C4">
        <w:rPr>
          <w:rFonts w:ascii="Book Antiqua" w:hAnsi="Book Antiqua"/>
        </w:rPr>
        <w:t xml:space="preserve"> </w:t>
      </w:r>
      <w:r w:rsidR="00A85711">
        <w:rPr>
          <w:rFonts w:ascii="Book Antiqua" w:hAnsi="Book Antiqua"/>
        </w:rPr>
        <w:t>[36] and he had not shown he had lost his ID documentation [38];</w:t>
      </w:r>
    </w:p>
    <w:p w:rsidR="00A85711" w:rsidRDefault="00A85711"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the appellant could get the necessary documentation to return [44] and so could be returned to Iraq, but could not be returned to Baghdad [44]; he could, however safely relocate to the IKR [45];</w:t>
      </w:r>
    </w:p>
    <w:p w:rsidR="00A85711" w:rsidRDefault="00A85711" w:rsidP="009041C4">
      <w:pPr>
        <w:widowControl w:val="0"/>
        <w:numPr>
          <w:ilvl w:val="2"/>
          <w:numId w:val="1"/>
        </w:numPr>
        <w:tabs>
          <w:tab w:val="clear" w:pos="1701"/>
          <w:tab w:val="num" w:pos="1276"/>
        </w:tabs>
        <w:spacing w:before="120"/>
        <w:ind w:left="1276" w:hanging="709"/>
        <w:jc w:val="both"/>
        <w:rPr>
          <w:rFonts w:ascii="Book Antiqua" w:hAnsi="Book Antiqua"/>
        </w:rPr>
      </w:pPr>
      <w:r>
        <w:rPr>
          <w:rFonts w:ascii="Book Antiqua" w:hAnsi="Book Antiqua"/>
        </w:rPr>
        <w:t>there was no article 15 (c) risk;</w:t>
      </w:r>
    </w:p>
    <w:p w:rsidR="00A85711" w:rsidRDefault="00A85711" w:rsidP="009041C4">
      <w:pPr>
        <w:widowControl w:val="0"/>
        <w:numPr>
          <w:ilvl w:val="0"/>
          <w:numId w:val="1"/>
        </w:numPr>
        <w:tabs>
          <w:tab w:val="clear" w:pos="567"/>
        </w:tabs>
        <w:spacing w:before="160"/>
        <w:jc w:val="both"/>
        <w:rPr>
          <w:rFonts w:ascii="Book Antiqua" w:hAnsi="Book Antiqua"/>
        </w:rPr>
      </w:pPr>
      <w:r>
        <w:rPr>
          <w:rFonts w:ascii="Book Antiqua" w:hAnsi="Book Antiqua"/>
        </w:rPr>
        <w:t xml:space="preserve">Judge </w:t>
      </w:r>
      <w:proofErr w:type="spellStart"/>
      <w:r>
        <w:rPr>
          <w:rFonts w:ascii="Book Antiqua" w:hAnsi="Book Antiqua"/>
        </w:rPr>
        <w:t>O’Garro</w:t>
      </w:r>
      <w:proofErr w:type="spellEnd"/>
      <w:r>
        <w:rPr>
          <w:rFonts w:ascii="Book Antiqua" w:hAnsi="Book Antiqua"/>
        </w:rPr>
        <w:t xml:space="preserve"> then dismissed the appeal on all grounds.</w:t>
      </w:r>
    </w:p>
    <w:p w:rsidR="002E7E60" w:rsidRDefault="002E7E60" w:rsidP="009041C4">
      <w:pPr>
        <w:widowControl w:val="0"/>
        <w:numPr>
          <w:ilvl w:val="0"/>
          <w:numId w:val="1"/>
        </w:numPr>
        <w:tabs>
          <w:tab w:val="clear" w:pos="567"/>
        </w:tabs>
        <w:spacing w:before="160"/>
        <w:jc w:val="both"/>
        <w:rPr>
          <w:rFonts w:ascii="Book Antiqua" w:hAnsi="Book Antiqua"/>
        </w:rPr>
      </w:pPr>
      <w:r>
        <w:rPr>
          <w:rFonts w:ascii="Book Antiqua" w:hAnsi="Book Antiqua"/>
        </w:rPr>
        <w:t xml:space="preserve">The </w:t>
      </w:r>
      <w:r w:rsidR="00A85711">
        <w:rPr>
          <w:rFonts w:ascii="Book Antiqua" w:hAnsi="Book Antiqua"/>
        </w:rPr>
        <w:t>appellant</w:t>
      </w:r>
      <w:r>
        <w:rPr>
          <w:rFonts w:ascii="Book Antiqua" w:hAnsi="Book Antiqua"/>
        </w:rPr>
        <w:t xml:space="preserve"> sought permission to appeal on the grounds that </w:t>
      </w:r>
      <w:r w:rsidR="00AF09D8">
        <w:rPr>
          <w:rFonts w:ascii="Book Antiqua" w:hAnsi="Book Antiqua"/>
        </w:rPr>
        <w:t xml:space="preserve">Judge </w:t>
      </w:r>
      <w:proofErr w:type="spellStart"/>
      <w:r w:rsidR="00AF09D8">
        <w:rPr>
          <w:rFonts w:ascii="Book Antiqua" w:hAnsi="Book Antiqua"/>
        </w:rPr>
        <w:t>O’Garro</w:t>
      </w:r>
      <w:proofErr w:type="spellEnd"/>
      <w:r>
        <w:rPr>
          <w:rFonts w:ascii="Book Antiqua" w:hAnsi="Book Antiqua"/>
        </w:rPr>
        <w:t xml:space="preserve"> had erred:</w:t>
      </w:r>
    </w:p>
    <w:p w:rsidR="00EA6B7C" w:rsidRDefault="00EA6B7C" w:rsidP="009041C4">
      <w:pPr>
        <w:widowControl w:val="0"/>
        <w:numPr>
          <w:ilvl w:val="2"/>
          <w:numId w:val="1"/>
        </w:numPr>
        <w:tabs>
          <w:tab w:val="clear" w:pos="1701"/>
          <w:tab w:val="num" w:pos="1418"/>
        </w:tabs>
        <w:spacing w:before="120"/>
        <w:ind w:left="1418" w:hanging="851"/>
        <w:jc w:val="both"/>
        <w:rPr>
          <w:rFonts w:ascii="Book Antiqua" w:hAnsi="Book Antiqua"/>
        </w:rPr>
      </w:pPr>
      <w:r>
        <w:rPr>
          <w:rFonts w:ascii="Book Antiqua" w:hAnsi="Book Antiqua"/>
        </w:rPr>
        <w:t>In not making findings as to the risk to the appellant in his home area which</w:t>
      </w:r>
      <w:r w:rsidR="00AF09D8">
        <w:rPr>
          <w:rFonts w:ascii="Book Antiqua" w:hAnsi="Book Antiqua"/>
        </w:rPr>
        <w:t xml:space="preserve"> is in a contested area being within Mosul, </w:t>
      </w:r>
      <w:proofErr w:type="spellStart"/>
      <w:r w:rsidR="00AF09D8">
        <w:rPr>
          <w:rFonts w:ascii="Book Antiqua" w:hAnsi="Book Antiqua"/>
        </w:rPr>
        <w:t>Ninewah</w:t>
      </w:r>
      <w:proofErr w:type="spellEnd"/>
      <w:r w:rsidR="00AF09D8">
        <w:rPr>
          <w:rFonts w:ascii="Book Antiqua" w:hAnsi="Book Antiqua"/>
        </w:rPr>
        <w:t xml:space="preserve"> governorate, Judge </w:t>
      </w:r>
      <w:proofErr w:type="spellStart"/>
      <w:r w:rsidR="00AF09D8">
        <w:rPr>
          <w:rFonts w:ascii="Book Antiqua" w:hAnsi="Book Antiqua"/>
        </w:rPr>
        <w:t>O’Garro</w:t>
      </w:r>
      <w:proofErr w:type="spellEnd"/>
      <w:r w:rsidR="00AF09D8">
        <w:rPr>
          <w:rFonts w:ascii="Book Antiqua" w:hAnsi="Book Antiqua"/>
        </w:rPr>
        <w:t xml:space="preserve"> mistakenly believing that the appellant was from the IKR</w:t>
      </w:r>
    </w:p>
    <w:p w:rsidR="00AF09D8" w:rsidRDefault="00AF09D8" w:rsidP="009041C4">
      <w:pPr>
        <w:widowControl w:val="0"/>
        <w:numPr>
          <w:ilvl w:val="2"/>
          <w:numId w:val="1"/>
        </w:numPr>
        <w:tabs>
          <w:tab w:val="clear" w:pos="1701"/>
          <w:tab w:val="num" w:pos="1418"/>
        </w:tabs>
        <w:spacing w:before="120"/>
        <w:ind w:left="1418" w:hanging="851"/>
        <w:jc w:val="both"/>
        <w:rPr>
          <w:rFonts w:ascii="Book Antiqua" w:hAnsi="Book Antiqua"/>
        </w:rPr>
      </w:pPr>
      <w:r>
        <w:rPr>
          <w:rFonts w:ascii="Book Antiqua" w:hAnsi="Book Antiqua"/>
        </w:rPr>
        <w:t xml:space="preserve">In failing to take into account that the respondent had accepted the appellant’s father had been involved in the </w:t>
      </w:r>
      <w:proofErr w:type="spellStart"/>
      <w:r>
        <w:rPr>
          <w:rFonts w:ascii="Book Antiqua" w:hAnsi="Book Antiqua"/>
        </w:rPr>
        <w:t>Baa’ath</w:t>
      </w:r>
      <w:proofErr w:type="spellEnd"/>
      <w:r>
        <w:rPr>
          <w:rFonts w:ascii="Book Antiqua" w:hAnsi="Book Antiqua"/>
        </w:rPr>
        <w:t xml:space="preserve"> party, and his subjective fear;</w:t>
      </w:r>
    </w:p>
    <w:p w:rsidR="00AF09D8" w:rsidRDefault="00AF09D8" w:rsidP="009041C4">
      <w:pPr>
        <w:widowControl w:val="0"/>
        <w:numPr>
          <w:ilvl w:val="2"/>
          <w:numId w:val="1"/>
        </w:numPr>
        <w:tabs>
          <w:tab w:val="clear" w:pos="1701"/>
          <w:tab w:val="num" w:pos="1418"/>
        </w:tabs>
        <w:spacing w:before="120"/>
        <w:ind w:left="1418" w:hanging="851"/>
        <w:jc w:val="both"/>
        <w:rPr>
          <w:rFonts w:ascii="Book Antiqua" w:hAnsi="Book Antiqua"/>
        </w:rPr>
      </w:pPr>
      <w:r>
        <w:rPr>
          <w:rFonts w:ascii="Book Antiqua" w:hAnsi="Book Antiqua"/>
        </w:rPr>
        <w:t>In failing properly to evaluate the background evidence;</w:t>
      </w:r>
    </w:p>
    <w:p w:rsidR="00AF09D8" w:rsidRDefault="00F000D4" w:rsidP="009041C4">
      <w:pPr>
        <w:widowControl w:val="0"/>
        <w:numPr>
          <w:ilvl w:val="2"/>
          <w:numId w:val="1"/>
        </w:numPr>
        <w:tabs>
          <w:tab w:val="clear" w:pos="1701"/>
          <w:tab w:val="num" w:pos="1418"/>
        </w:tabs>
        <w:spacing w:before="120"/>
        <w:ind w:left="1418" w:hanging="851"/>
        <w:jc w:val="both"/>
        <w:rPr>
          <w:rFonts w:ascii="Book Antiqua" w:hAnsi="Book Antiqua"/>
        </w:rPr>
      </w:pPr>
      <w:r>
        <w:rPr>
          <w:rFonts w:ascii="Book Antiqua" w:hAnsi="Book Antiqua"/>
        </w:rPr>
        <w:t>In failing to take into account the appellant’s age in assessing the possibility of internal relocation;</w:t>
      </w:r>
    </w:p>
    <w:p w:rsidR="006A0D57" w:rsidRDefault="006A0D57" w:rsidP="009041C4">
      <w:pPr>
        <w:numPr>
          <w:ilvl w:val="0"/>
          <w:numId w:val="1"/>
        </w:numPr>
        <w:tabs>
          <w:tab w:val="clear" w:pos="567"/>
        </w:tabs>
        <w:spacing w:before="160"/>
        <w:jc w:val="both"/>
        <w:rPr>
          <w:rFonts w:ascii="Book Antiqua" w:hAnsi="Book Antiqua" w:cs="Arial"/>
        </w:rPr>
      </w:pPr>
      <w:r>
        <w:rPr>
          <w:rFonts w:ascii="Book Antiqua" w:hAnsi="Book Antiqua" w:cs="Arial"/>
        </w:rPr>
        <w:t xml:space="preserve">On </w:t>
      </w:r>
      <w:r w:rsidR="00622208">
        <w:rPr>
          <w:rFonts w:ascii="Book Antiqua" w:hAnsi="Book Antiqua" w:cs="Arial"/>
        </w:rPr>
        <w:t>26 June 2018 U</w:t>
      </w:r>
      <w:r>
        <w:rPr>
          <w:rFonts w:ascii="Book Antiqua" w:hAnsi="Book Antiqua" w:cs="Arial"/>
        </w:rPr>
        <w:t xml:space="preserve">pper Tribunal Judge </w:t>
      </w:r>
      <w:r w:rsidR="00622208">
        <w:rPr>
          <w:rFonts w:ascii="Book Antiqua" w:hAnsi="Book Antiqua" w:cs="Arial"/>
        </w:rPr>
        <w:t>Rimington</w:t>
      </w:r>
      <w:r>
        <w:rPr>
          <w:rFonts w:ascii="Book Antiqua" w:hAnsi="Book Antiqua" w:cs="Arial"/>
        </w:rPr>
        <w:t xml:space="preserve"> granted permission</w:t>
      </w:r>
      <w:r w:rsidR="00622208">
        <w:rPr>
          <w:rFonts w:ascii="Book Antiqua" w:hAnsi="Book Antiqua" w:cs="Arial"/>
        </w:rPr>
        <w:t xml:space="preserve"> on all grounds.</w:t>
      </w:r>
    </w:p>
    <w:p w:rsidR="00622208" w:rsidRDefault="005D4713" w:rsidP="009041C4">
      <w:pPr>
        <w:numPr>
          <w:ilvl w:val="0"/>
          <w:numId w:val="1"/>
        </w:numPr>
        <w:tabs>
          <w:tab w:val="clear" w:pos="567"/>
        </w:tabs>
        <w:spacing w:before="160"/>
        <w:jc w:val="both"/>
        <w:rPr>
          <w:rFonts w:ascii="Book Antiqua" w:hAnsi="Book Antiqua" w:cs="Arial"/>
        </w:rPr>
      </w:pPr>
      <w:r w:rsidRPr="00BB5A4B">
        <w:rPr>
          <w:rFonts w:ascii="Book Antiqua" w:hAnsi="Book Antiqua" w:cs="Arial"/>
        </w:rPr>
        <w:lastRenderedPageBreak/>
        <w:t xml:space="preserve">In analysing the appellant’s claim, </w:t>
      </w:r>
      <w:r w:rsidR="00562018" w:rsidRPr="00BB5A4B">
        <w:rPr>
          <w:rFonts w:ascii="Book Antiqua" w:hAnsi="Book Antiqua" w:cs="Arial"/>
        </w:rPr>
        <w:t xml:space="preserve">Judge </w:t>
      </w:r>
      <w:proofErr w:type="spellStart"/>
      <w:r w:rsidR="00562018" w:rsidRPr="00BB5A4B">
        <w:rPr>
          <w:rFonts w:ascii="Book Antiqua" w:hAnsi="Book Antiqua" w:cs="Arial"/>
        </w:rPr>
        <w:t>O’Garro</w:t>
      </w:r>
      <w:proofErr w:type="spellEnd"/>
      <w:r w:rsidRPr="00BB5A4B">
        <w:rPr>
          <w:rFonts w:ascii="Book Antiqua" w:hAnsi="Book Antiqua" w:cs="Arial"/>
        </w:rPr>
        <w:t xml:space="preserve"> did not take </w:t>
      </w:r>
      <w:r w:rsidR="00562018" w:rsidRPr="00BB5A4B">
        <w:rPr>
          <w:rFonts w:ascii="Book Antiqua" w:hAnsi="Book Antiqua" w:cs="Arial"/>
        </w:rPr>
        <w:t>proper</w:t>
      </w:r>
      <w:r w:rsidRPr="00BB5A4B">
        <w:rPr>
          <w:rFonts w:ascii="Book Antiqua" w:hAnsi="Book Antiqua" w:cs="Arial"/>
        </w:rPr>
        <w:t xml:space="preserve"> account </w:t>
      </w:r>
      <w:r w:rsidR="00562018" w:rsidRPr="00BB5A4B">
        <w:rPr>
          <w:rFonts w:ascii="Book Antiqua" w:hAnsi="Book Antiqua" w:cs="Arial"/>
        </w:rPr>
        <w:t xml:space="preserve">of </w:t>
      </w:r>
      <w:r w:rsidRPr="00BB5A4B">
        <w:rPr>
          <w:rFonts w:ascii="Book Antiqua" w:hAnsi="Book Antiqua" w:cs="Arial"/>
        </w:rPr>
        <w:t>the respondent’s concessions identified above</w:t>
      </w:r>
      <w:r w:rsidR="006E4768" w:rsidRPr="00BB5A4B">
        <w:rPr>
          <w:rFonts w:ascii="Book Antiqua" w:hAnsi="Book Antiqua" w:cs="Arial"/>
        </w:rPr>
        <w:t xml:space="preserve"> and, in her findings, went behind them with no justification. </w:t>
      </w:r>
      <w:r w:rsidR="000C02D6" w:rsidRPr="00BB5A4B">
        <w:rPr>
          <w:rFonts w:ascii="Book Antiqua" w:hAnsi="Book Antiqua" w:cs="Arial"/>
        </w:rPr>
        <w:t xml:space="preserve">It was not the respondent’s case that the appellant’s claim was not credible, but that there was no objective justification for his fears. </w:t>
      </w:r>
      <w:r w:rsidR="00C47D15" w:rsidRPr="00BB5A4B">
        <w:rPr>
          <w:rFonts w:ascii="Book Antiqua" w:hAnsi="Book Antiqua" w:cs="Arial"/>
        </w:rPr>
        <w:t>It was not the case that what had occurred in the past was disbelieved, it was that the</w:t>
      </w:r>
      <w:r w:rsidR="00BB5A4B" w:rsidRPr="00BB5A4B">
        <w:rPr>
          <w:rFonts w:ascii="Book Antiqua" w:hAnsi="Book Antiqua" w:cs="Arial"/>
        </w:rPr>
        <w:t xml:space="preserve"> fear was not well-founded. That is not the same as the claim not being credible. </w:t>
      </w:r>
      <w:r w:rsidR="00941008" w:rsidRPr="00BB5A4B">
        <w:rPr>
          <w:rFonts w:ascii="Book Antiqua" w:hAnsi="Book Antiqua" w:cs="Arial"/>
        </w:rPr>
        <w:t xml:space="preserve">The decision thus proceeded on a misconceived basis. </w:t>
      </w:r>
    </w:p>
    <w:p w:rsidR="00BB5A4B" w:rsidRDefault="00BB5A4B" w:rsidP="009041C4">
      <w:pPr>
        <w:numPr>
          <w:ilvl w:val="0"/>
          <w:numId w:val="1"/>
        </w:numPr>
        <w:tabs>
          <w:tab w:val="clear" w:pos="567"/>
        </w:tabs>
        <w:spacing w:before="160"/>
        <w:jc w:val="both"/>
        <w:rPr>
          <w:rFonts w:ascii="Book Antiqua" w:hAnsi="Book Antiqua" w:cs="Arial"/>
        </w:rPr>
      </w:pPr>
      <w:r>
        <w:rPr>
          <w:rFonts w:ascii="Book Antiqua" w:hAnsi="Book Antiqua" w:cs="Arial"/>
        </w:rPr>
        <w:t xml:space="preserve">This error led Judge </w:t>
      </w:r>
      <w:proofErr w:type="spellStart"/>
      <w:r>
        <w:rPr>
          <w:rFonts w:ascii="Book Antiqua" w:hAnsi="Book Antiqua" w:cs="Arial"/>
        </w:rPr>
        <w:t>O’Garro</w:t>
      </w:r>
      <w:proofErr w:type="spellEnd"/>
      <w:r>
        <w:rPr>
          <w:rFonts w:ascii="Book Antiqua" w:hAnsi="Book Antiqua" w:cs="Arial"/>
        </w:rPr>
        <w:t xml:space="preserve"> into making a further error at </w:t>
      </w:r>
      <w:r w:rsidR="008F32D7">
        <w:rPr>
          <w:rFonts w:ascii="Book Antiqua" w:hAnsi="Book Antiqua" w:cs="Arial"/>
        </w:rPr>
        <w:t xml:space="preserve">[33] where she wrongly stated that the case depended on credibility, which it clearly did not, and that in effect she did not believe a word he said. </w:t>
      </w:r>
      <w:r w:rsidR="00C3292A">
        <w:rPr>
          <w:rFonts w:ascii="Book Antiqua" w:hAnsi="Book Antiqua" w:cs="Arial"/>
        </w:rPr>
        <w:t>This led to fi</w:t>
      </w:r>
      <w:r w:rsidR="009A6F10">
        <w:rPr>
          <w:rFonts w:ascii="Book Antiqua" w:hAnsi="Book Antiqua" w:cs="Arial"/>
        </w:rPr>
        <w:t>n</w:t>
      </w:r>
      <w:r w:rsidR="00C3292A">
        <w:rPr>
          <w:rFonts w:ascii="Book Antiqua" w:hAnsi="Book Antiqua" w:cs="Arial"/>
        </w:rPr>
        <w:t>d</w:t>
      </w:r>
      <w:r w:rsidR="009A6F10">
        <w:rPr>
          <w:rFonts w:ascii="Book Antiqua" w:hAnsi="Book Antiqua" w:cs="Arial"/>
        </w:rPr>
        <w:t>i</w:t>
      </w:r>
      <w:r w:rsidR="00C3292A">
        <w:rPr>
          <w:rFonts w:ascii="Book Antiqua" w:hAnsi="Book Antiqua" w:cs="Arial"/>
        </w:rPr>
        <w:t xml:space="preserve">ngs as to other facts at [35] based on </w:t>
      </w:r>
      <w:r w:rsidR="009A6F10">
        <w:rPr>
          <w:rFonts w:ascii="Book Antiqua" w:hAnsi="Book Antiqua" w:cs="Arial"/>
        </w:rPr>
        <w:t>credibility which are equally flaw</w:t>
      </w:r>
      <w:r w:rsidR="00772582">
        <w:rPr>
          <w:rFonts w:ascii="Book Antiqua" w:hAnsi="Book Antiqua" w:cs="Arial"/>
        </w:rPr>
        <w:t>e</w:t>
      </w:r>
      <w:r w:rsidR="009A6F10">
        <w:rPr>
          <w:rFonts w:ascii="Book Antiqua" w:hAnsi="Book Antiqua" w:cs="Arial"/>
        </w:rPr>
        <w:t>d</w:t>
      </w:r>
      <w:r w:rsidR="00772582">
        <w:rPr>
          <w:rFonts w:ascii="Book Antiqua" w:hAnsi="Book Antiqua" w:cs="Arial"/>
        </w:rPr>
        <w:t>.</w:t>
      </w:r>
    </w:p>
    <w:p w:rsidR="009A6F10" w:rsidRPr="00BB5A4B" w:rsidRDefault="009A6F10" w:rsidP="009041C4">
      <w:pPr>
        <w:numPr>
          <w:ilvl w:val="0"/>
          <w:numId w:val="1"/>
        </w:numPr>
        <w:tabs>
          <w:tab w:val="clear" w:pos="567"/>
        </w:tabs>
        <w:spacing w:before="16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O’Garro</w:t>
      </w:r>
      <w:proofErr w:type="spellEnd"/>
      <w:r>
        <w:rPr>
          <w:rFonts w:ascii="Book Antiqua" w:hAnsi="Book Antiqua" w:cs="Arial"/>
        </w:rPr>
        <w:t xml:space="preserve"> was also inconsistent in that, having found that she did not believe the appellant, she then at [44] made findings whic</w:t>
      </w:r>
      <w:r w:rsidR="00571A28">
        <w:rPr>
          <w:rFonts w:ascii="Book Antiqua" w:hAnsi="Book Antiqua" w:cs="Arial"/>
        </w:rPr>
        <w:t xml:space="preserve">h were based on the appellant’s evidence. </w:t>
      </w:r>
    </w:p>
    <w:p w:rsidR="00622208" w:rsidRPr="00622208" w:rsidRDefault="004413EE" w:rsidP="009041C4">
      <w:pPr>
        <w:numPr>
          <w:ilvl w:val="0"/>
          <w:numId w:val="1"/>
        </w:numPr>
        <w:tabs>
          <w:tab w:val="clear" w:pos="567"/>
        </w:tabs>
        <w:spacing w:before="160"/>
        <w:jc w:val="both"/>
        <w:rPr>
          <w:rFonts w:ascii="Book Antiqua" w:hAnsi="Book Antiqua" w:cs="Arial"/>
        </w:rPr>
      </w:pPr>
      <w:r>
        <w:rPr>
          <w:rFonts w:ascii="Book Antiqua" w:hAnsi="Book Antiqua" w:cs="Arial"/>
        </w:rPr>
        <w:t xml:space="preserve">In analysing the risk to the appellant on return, it was incumbent on Judge </w:t>
      </w:r>
      <w:proofErr w:type="spellStart"/>
      <w:r>
        <w:rPr>
          <w:rFonts w:ascii="Book Antiqua" w:hAnsi="Book Antiqua" w:cs="Arial"/>
        </w:rPr>
        <w:t>O’Garro</w:t>
      </w:r>
      <w:proofErr w:type="spellEnd"/>
      <w:r>
        <w:rPr>
          <w:rFonts w:ascii="Book Antiqua" w:hAnsi="Book Antiqua" w:cs="Arial"/>
        </w:rPr>
        <w:t xml:space="preserve"> to make a finding as to the home area which she did not do. I agree with the submission that she misunderstood the home area to be in the IKR; not all Kurdish area in Iraq are with</w:t>
      </w:r>
      <w:r w:rsidR="0086553F">
        <w:rPr>
          <w:rFonts w:ascii="Book Antiqua" w:hAnsi="Book Antiqua" w:cs="Arial"/>
        </w:rPr>
        <w:t xml:space="preserve">in that specific region. This in turn led to a flawed and unsustainable </w:t>
      </w:r>
      <w:r w:rsidR="007856D7">
        <w:rPr>
          <w:rFonts w:ascii="Book Antiqua" w:hAnsi="Book Antiqua" w:cs="Arial"/>
        </w:rPr>
        <w:t xml:space="preserve">assessment of the dangers of return. </w:t>
      </w:r>
    </w:p>
    <w:p w:rsidR="009E4B90" w:rsidRPr="00A2287D" w:rsidRDefault="007856D7" w:rsidP="009041C4">
      <w:pPr>
        <w:numPr>
          <w:ilvl w:val="0"/>
          <w:numId w:val="1"/>
        </w:numPr>
        <w:tabs>
          <w:tab w:val="clear" w:pos="567"/>
        </w:tabs>
        <w:spacing w:before="160"/>
        <w:jc w:val="both"/>
        <w:rPr>
          <w:rFonts w:ascii="Book Antiqua" w:hAnsi="Book Antiqua" w:cs="Arial"/>
        </w:rPr>
      </w:pPr>
      <w:r>
        <w:rPr>
          <w:rFonts w:ascii="Book Antiqua" w:hAnsi="Book Antiqua"/>
        </w:rPr>
        <w:t xml:space="preserve">For these reasons, the decision of the First-tier Tribunal involved the making of an error of law and it is set aside.  The fact-finding is so tainted by error that none of the </w:t>
      </w:r>
      <w:r w:rsidR="00A2287D">
        <w:rPr>
          <w:rFonts w:ascii="Book Antiqua" w:hAnsi="Book Antiqua"/>
        </w:rPr>
        <w:t xml:space="preserve">findings can be preserved. </w:t>
      </w:r>
    </w:p>
    <w:p w:rsidR="00A2287D" w:rsidRPr="009E4B90" w:rsidRDefault="00386460" w:rsidP="009041C4">
      <w:pPr>
        <w:numPr>
          <w:ilvl w:val="0"/>
          <w:numId w:val="1"/>
        </w:numPr>
        <w:tabs>
          <w:tab w:val="clear" w:pos="567"/>
        </w:tabs>
        <w:spacing w:before="160"/>
        <w:jc w:val="both"/>
        <w:rPr>
          <w:rFonts w:ascii="Book Antiqua" w:hAnsi="Book Antiqua" w:cs="Arial"/>
        </w:rPr>
      </w:pPr>
      <w:r>
        <w:rPr>
          <w:rFonts w:ascii="Book Antiqua" w:hAnsi="Book Antiqua" w:cs="Arial"/>
        </w:rPr>
        <w:t>I have</w:t>
      </w:r>
      <w:r w:rsidR="00A2287D">
        <w:rPr>
          <w:rFonts w:ascii="Book Antiqua" w:hAnsi="Book Antiqua" w:cs="Arial"/>
        </w:rPr>
        <w:t xml:space="preserve"> consider</w:t>
      </w:r>
      <w:r>
        <w:rPr>
          <w:rFonts w:ascii="Book Antiqua" w:hAnsi="Book Antiqua" w:cs="Arial"/>
        </w:rPr>
        <w:t>ed whether it</w:t>
      </w:r>
      <w:r w:rsidR="00A2287D">
        <w:rPr>
          <w:rFonts w:ascii="Book Antiqua" w:hAnsi="Book Antiqua" w:cs="Arial"/>
        </w:rPr>
        <w:t xml:space="preserve"> is necessary to remit the appeal to the First-tier Tribunal given that, in light of the narrowness of the issues in the </w:t>
      </w:r>
      <w:r>
        <w:rPr>
          <w:rFonts w:ascii="Book Antiqua" w:hAnsi="Book Antiqua" w:cs="Arial"/>
        </w:rPr>
        <w:t xml:space="preserve">light of the concessions made, but I, given that all relevant findings will need to be remade, and as </w:t>
      </w:r>
      <w:r w:rsidR="003079EC">
        <w:rPr>
          <w:rFonts w:ascii="Book Antiqua" w:hAnsi="Book Antiqua" w:cs="Arial"/>
        </w:rPr>
        <w:t xml:space="preserve">fresh evidence will need to be heard in light of </w:t>
      </w:r>
      <w:r w:rsidR="003079EC" w:rsidRPr="007B1D65">
        <w:rPr>
          <w:rFonts w:ascii="Book Antiqua" w:hAnsi="Book Antiqua" w:cs="Arial"/>
          <w:u w:val="single"/>
        </w:rPr>
        <w:t xml:space="preserve">AAH </w:t>
      </w:r>
      <w:r w:rsidR="009C461F" w:rsidRPr="007B1D65">
        <w:rPr>
          <w:rFonts w:ascii="Book Antiqua" w:hAnsi="Book Antiqua" w:cs="Arial"/>
          <w:u w:val="single"/>
        </w:rPr>
        <w:t>(Iraqi Kurds) Iraq CG</w:t>
      </w:r>
      <w:r w:rsidR="009C461F" w:rsidRPr="009041C4">
        <w:rPr>
          <w:rFonts w:ascii="Book Antiqua" w:hAnsi="Book Antiqua" w:cs="Arial"/>
          <w:b/>
        </w:rPr>
        <w:t xml:space="preserve"> </w:t>
      </w:r>
      <w:r w:rsidR="009C461F">
        <w:rPr>
          <w:rFonts w:ascii="Book Antiqua" w:hAnsi="Book Antiqua" w:cs="Arial"/>
        </w:rPr>
        <w:t xml:space="preserve">[2018] UKUT 00212, I conclude that bearing in mind the relevant </w:t>
      </w:r>
      <w:r w:rsidR="00CD7F1B">
        <w:rPr>
          <w:rFonts w:ascii="Book Antiqua" w:hAnsi="Book Antiqua" w:cs="Arial"/>
        </w:rPr>
        <w:t>guidance, that remittal is appropriate.</w:t>
      </w:r>
    </w:p>
    <w:p w:rsidR="00D949B7" w:rsidRPr="00866909" w:rsidRDefault="00BB00D3" w:rsidP="009041C4">
      <w:pPr>
        <w:spacing w:before="160"/>
        <w:jc w:val="both"/>
        <w:rPr>
          <w:rFonts w:ascii="Book Antiqua" w:hAnsi="Book Antiqua" w:cs="Arial"/>
          <w:b/>
          <w:u w:val="single"/>
        </w:rPr>
      </w:pPr>
      <w:r w:rsidRPr="00866909">
        <w:rPr>
          <w:rFonts w:ascii="Book Antiqua" w:hAnsi="Book Antiqua" w:cs="Arial"/>
          <w:b/>
          <w:u w:val="single"/>
        </w:rPr>
        <w:t>SUMMARY OF CONCLUSIONS</w:t>
      </w:r>
    </w:p>
    <w:p w:rsidR="00BB00D3" w:rsidRPr="00CD7F1B" w:rsidRDefault="00BB00D3" w:rsidP="009041C4">
      <w:pPr>
        <w:numPr>
          <w:ilvl w:val="6"/>
          <w:numId w:val="1"/>
        </w:numPr>
        <w:tabs>
          <w:tab w:val="clear" w:pos="2520"/>
          <w:tab w:val="num" w:pos="567"/>
        </w:tabs>
        <w:spacing w:before="160"/>
        <w:ind w:left="567" w:hanging="567"/>
        <w:jc w:val="both"/>
        <w:rPr>
          <w:rFonts w:ascii="Book Antiqua" w:hAnsi="Book Antiqua" w:cs="Arial"/>
        </w:rPr>
      </w:pPr>
      <w:r>
        <w:rPr>
          <w:rFonts w:ascii="Book Antiqua" w:hAnsi="Book Antiqua" w:cs="Arial"/>
        </w:rPr>
        <w:t>The decision of the First-tier Tribunal involved the making of an e</w:t>
      </w:r>
      <w:r w:rsidR="00866909">
        <w:rPr>
          <w:rFonts w:ascii="Book Antiqua" w:hAnsi="Book Antiqua" w:cs="Arial"/>
        </w:rPr>
        <w:t xml:space="preserve">rror of law and I set </w:t>
      </w:r>
      <w:r w:rsidR="00866909" w:rsidRPr="00CD7F1B">
        <w:rPr>
          <w:rFonts w:ascii="Book Antiqua" w:hAnsi="Book Antiqua" w:cs="Arial"/>
        </w:rPr>
        <w:t xml:space="preserve">it aside. </w:t>
      </w:r>
    </w:p>
    <w:p w:rsidR="009E4B90" w:rsidRDefault="00CD7F1B" w:rsidP="009041C4">
      <w:pPr>
        <w:numPr>
          <w:ilvl w:val="6"/>
          <w:numId w:val="1"/>
        </w:numPr>
        <w:tabs>
          <w:tab w:val="clear" w:pos="2520"/>
          <w:tab w:val="num" w:pos="567"/>
        </w:tabs>
        <w:spacing w:before="160"/>
        <w:ind w:left="567" w:hanging="567"/>
        <w:jc w:val="both"/>
        <w:rPr>
          <w:rFonts w:ascii="Book Antiqua" w:hAnsi="Book Antiqua" w:cs="Arial"/>
        </w:rPr>
      </w:pPr>
      <w:r>
        <w:rPr>
          <w:rFonts w:ascii="Book Antiqua" w:hAnsi="Book Antiqua" w:cs="Arial"/>
        </w:rPr>
        <w:t xml:space="preserve">I remit the decision to the First-tier Tribunal for the decision to be made afresh. None of the findings made </w:t>
      </w:r>
      <w:r w:rsidR="007B1D65">
        <w:rPr>
          <w:rFonts w:ascii="Book Antiqua" w:hAnsi="Book Antiqua" w:cs="Arial"/>
        </w:rPr>
        <w:t xml:space="preserve">by Judge </w:t>
      </w:r>
      <w:proofErr w:type="spellStart"/>
      <w:r w:rsidR="007B1D65">
        <w:rPr>
          <w:rFonts w:ascii="Book Antiqua" w:hAnsi="Book Antiqua" w:cs="Arial"/>
        </w:rPr>
        <w:t>O’Garro</w:t>
      </w:r>
      <w:proofErr w:type="spellEnd"/>
      <w:r w:rsidR="007B1D65">
        <w:rPr>
          <w:rFonts w:ascii="Book Antiqua" w:hAnsi="Book Antiqua" w:cs="Arial"/>
        </w:rPr>
        <w:t xml:space="preserve"> are preserved.</w:t>
      </w:r>
    </w:p>
    <w:p w:rsidR="009E4B90" w:rsidRDefault="007B1D65" w:rsidP="009041C4">
      <w:pPr>
        <w:numPr>
          <w:ilvl w:val="6"/>
          <w:numId w:val="1"/>
        </w:numPr>
        <w:tabs>
          <w:tab w:val="clear" w:pos="2520"/>
          <w:tab w:val="num" w:pos="567"/>
        </w:tabs>
        <w:spacing w:before="160"/>
        <w:ind w:left="567" w:hanging="567"/>
        <w:jc w:val="both"/>
        <w:rPr>
          <w:rFonts w:ascii="Book Antiqua" w:hAnsi="Book Antiqua" w:cs="Arial"/>
        </w:rPr>
      </w:pPr>
      <w:r>
        <w:rPr>
          <w:rFonts w:ascii="Book Antiqua" w:hAnsi="Book Antiqua" w:cs="Arial"/>
        </w:rPr>
        <w:t>The anonymity order made by the First-tier tribunal is preserved</w:t>
      </w:r>
      <w:r w:rsidR="009E4B90">
        <w:rPr>
          <w:rFonts w:ascii="Book Antiqua" w:hAnsi="Book Antiqua" w:cs="Arial"/>
        </w:rPr>
        <w:t xml:space="preserve">. </w:t>
      </w:r>
    </w:p>
    <w:p w:rsidR="00D949B7" w:rsidRDefault="00D949B7" w:rsidP="00D949B7">
      <w:pPr>
        <w:jc w:val="both"/>
        <w:rPr>
          <w:rFonts w:ascii="Book Antiqua" w:hAnsi="Book Antiqua" w:cs="Arial"/>
        </w:rPr>
      </w:pPr>
    </w:p>
    <w:p w:rsidR="009041C4" w:rsidRPr="00D949B7" w:rsidRDefault="009041C4" w:rsidP="00D949B7">
      <w:pPr>
        <w:jc w:val="both"/>
        <w:rPr>
          <w:rFonts w:ascii="Book Antiqua" w:hAnsi="Book Antiqua" w:cs="Arial"/>
        </w:rPr>
      </w:pPr>
    </w:p>
    <w:p w:rsidR="00D949B7" w:rsidRPr="009B7433" w:rsidRDefault="00D949B7" w:rsidP="00D949B7">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866909">
        <w:rPr>
          <w:rFonts w:ascii="Book Antiqua" w:hAnsi="Book Antiqua" w:cs="Arial"/>
        </w:rPr>
        <w:t>:</w:t>
      </w:r>
      <w:r w:rsidR="00BB00D3">
        <w:rPr>
          <w:rFonts w:ascii="Book Antiqua" w:hAnsi="Book Antiqua" w:cs="Arial"/>
        </w:rPr>
        <w:t xml:space="preserve">  </w:t>
      </w:r>
      <w:r w:rsidR="007B1D65">
        <w:rPr>
          <w:rFonts w:ascii="Book Antiqua" w:hAnsi="Book Antiqua" w:cs="Arial"/>
        </w:rPr>
        <w:t>24</w:t>
      </w:r>
      <w:r w:rsidR="009E4B90">
        <w:rPr>
          <w:rFonts w:ascii="Book Antiqua" w:hAnsi="Book Antiqua" w:cs="Arial"/>
        </w:rPr>
        <w:t xml:space="preserve"> August </w:t>
      </w:r>
      <w:r w:rsidR="00866909">
        <w:rPr>
          <w:rFonts w:ascii="Book Antiqua" w:hAnsi="Book Antiqua" w:cs="Arial"/>
        </w:rPr>
        <w:t>2018</w:t>
      </w:r>
    </w:p>
    <w:p w:rsidR="00D949B7" w:rsidRPr="009B7433" w:rsidRDefault="00756520" w:rsidP="00D949B7">
      <w:pPr>
        <w:tabs>
          <w:tab w:val="left" w:pos="2520"/>
        </w:tabs>
        <w:ind w:left="540" w:hanging="540"/>
        <w:jc w:val="both"/>
        <w:rPr>
          <w:rFonts w:ascii="Book Antiqua" w:hAnsi="Book Antiqua" w:cs="Arial"/>
        </w:rPr>
      </w:pPr>
      <w:r>
        <w:rPr>
          <w:rFonts w:ascii="Book Antiqua" w:hAnsi="Book Antiqua" w:cs="Arial"/>
          <w:noProof/>
          <w:color w:val="000000"/>
        </w:rPr>
        <w:drawing>
          <wp:inline distT="0" distB="0" distL="0" distR="0" wp14:anchorId="3B319031" wp14:editId="35EFBDE4">
            <wp:extent cx="2044700" cy="800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4700" cy="800100"/>
                    </a:xfrm>
                    <a:prstGeom prst="rect">
                      <a:avLst/>
                    </a:prstGeom>
                    <a:noFill/>
                    <a:ln>
                      <a:noFill/>
                    </a:ln>
                  </pic:spPr>
                </pic:pic>
              </a:graphicData>
            </a:graphic>
          </wp:inline>
        </w:drawing>
      </w:r>
    </w:p>
    <w:p w:rsidR="00D949B7" w:rsidRDefault="00D949B7" w:rsidP="00D949B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proofErr w:type="spellStart"/>
      <w:r>
        <w:rPr>
          <w:rFonts w:ascii="Book Antiqua" w:hAnsi="Book Antiqua" w:cs="Arial"/>
          <w:color w:val="000000"/>
        </w:rPr>
        <w:t>Rintoul</w:t>
      </w:r>
      <w:proofErr w:type="spellEnd"/>
    </w:p>
    <w:sectPr w:rsidR="00D949B7"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D5D" w:rsidRDefault="00F01D5D">
      <w:r>
        <w:separator/>
      </w:r>
    </w:p>
  </w:endnote>
  <w:endnote w:type="continuationSeparator" w:id="0">
    <w:p w:rsidR="00F01D5D" w:rsidRDefault="00F0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711" w:rsidRPr="009B7433" w:rsidRDefault="00A8571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077F6">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711" w:rsidRPr="009B7433" w:rsidRDefault="00A85711"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D5D" w:rsidRDefault="00F01D5D">
      <w:r>
        <w:separator/>
      </w:r>
    </w:p>
  </w:footnote>
  <w:footnote w:type="continuationSeparator" w:id="0">
    <w:p w:rsidR="00F01D5D" w:rsidRDefault="00F01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711" w:rsidRPr="001A5957" w:rsidRDefault="00A85711" w:rsidP="009E4B90">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w:t>
    </w:r>
    <w:r w:rsidR="0051087C" w:rsidRPr="0051087C">
      <w:rPr>
        <w:rFonts w:ascii="Book Antiqua" w:hAnsi="Book Antiqua" w:cs="Arial"/>
        <w:sz w:val="16"/>
        <w:szCs w:val="16"/>
      </w:rPr>
      <w:t>PA/10043/2017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711" w:rsidRPr="009B7433" w:rsidRDefault="00A8571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969CE"/>
    <w:multiLevelType w:val="hybridMultilevel"/>
    <w:tmpl w:val="C2527ABE"/>
    <w:lvl w:ilvl="0" w:tplc="BACA7E04">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C5"/>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B36D5"/>
    <w:rsid w:val="000C02D6"/>
    <w:rsid w:val="000C47ED"/>
    <w:rsid w:val="000D5D94"/>
    <w:rsid w:val="000E0DEA"/>
    <w:rsid w:val="000E4909"/>
    <w:rsid w:val="000E6B9D"/>
    <w:rsid w:val="000F1A0E"/>
    <w:rsid w:val="001165A7"/>
    <w:rsid w:val="00116A79"/>
    <w:rsid w:val="00130477"/>
    <w:rsid w:val="001311C2"/>
    <w:rsid w:val="00151266"/>
    <w:rsid w:val="0016508E"/>
    <w:rsid w:val="00167D3A"/>
    <w:rsid w:val="00173F50"/>
    <w:rsid w:val="00185986"/>
    <w:rsid w:val="001A3082"/>
    <w:rsid w:val="001A5957"/>
    <w:rsid w:val="001B13C5"/>
    <w:rsid w:val="001B186A"/>
    <w:rsid w:val="001B2F75"/>
    <w:rsid w:val="001C6F5F"/>
    <w:rsid w:val="001D6167"/>
    <w:rsid w:val="001E4141"/>
    <w:rsid w:val="001F2716"/>
    <w:rsid w:val="001F3AC0"/>
    <w:rsid w:val="00207617"/>
    <w:rsid w:val="00222467"/>
    <w:rsid w:val="00230016"/>
    <w:rsid w:val="0023134B"/>
    <w:rsid w:val="00252473"/>
    <w:rsid w:val="002542D9"/>
    <w:rsid w:val="00283659"/>
    <w:rsid w:val="002909C0"/>
    <w:rsid w:val="00292581"/>
    <w:rsid w:val="002B1892"/>
    <w:rsid w:val="002C68FF"/>
    <w:rsid w:val="002C6BD4"/>
    <w:rsid w:val="002D68BF"/>
    <w:rsid w:val="002E4541"/>
    <w:rsid w:val="002E7E60"/>
    <w:rsid w:val="002F6B98"/>
    <w:rsid w:val="00304A81"/>
    <w:rsid w:val="003079EC"/>
    <w:rsid w:val="00310F73"/>
    <w:rsid w:val="003235A2"/>
    <w:rsid w:val="00325561"/>
    <w:rsid w:val="00336CBF"/>
    <w:rsid w:val="00343FE3"/>
    <w:rsid w:val="003546C8"/>
    <w:rsid w:val="003825D4"/>
    <w:rsid w:val="00386460"/>
    <w:rsid w:val="00391FDF"/>
    <w:rsid w:val="003A7CF2"/>
    <w:rsid w:val="003C5CE5"/>
    <w:rsid w:val="003D6FAD"/>
    <w:rsid w:val="003E267B"/>
    <w:rsid w:val="003E2F5E"/>
    <w:rsid w:val="003E7CD1"/>
    <w:rsid w:val="00402B9E"/>
    <w:rsid w:val="0042037F"/>
    <w:rsid w:val="004249CB"/>
    <w:rsid w:val="0044127D"/>
    <w:rsid w:val="004413EE"/>
    <w:rsid w:val="00441E70"/>
    <w:rsid w:val="004448DB"/>
    <w:rsid w:val="00446C9A"/>
    <w:rsid w:val="00452F2B"/>
    <w:rsid w:val="00460E03"/>
    <w:rsid w:val="004677EC"/>
    <w:rsid w:val="00477193"/>
    <w:rsid w:val="004A0C54"/>
    <w:rsid w:val="004A1848"/>
    <w:rsid w:val="004A6F4A"/>
    <w:rsid w:val="004B6300"/>
    <w:rsid w:val="004B70D7"/>
    <w:rsid w:val="004D6B45"/>
    <w:rsid w:val="004E4717"/>
    <w:rsid w:val="00501949"/>
    <w:rsid w:val="00507FEC"/>
    <w:rsid w:val="0051087C"/>
    <w:rsid w:val="00510F0E"/>
    <w:rsid w:val="0051417F"/>
    <w:rsid w:val="005479E1"/>
    <w:rsid w:val="00553E0A"/>
    <w:rsid w:val="005570FD"/>
    <w:rsid w:val="005575EA"/>
    <w:rsid w:val="00562018"/>
    <w:rsid w:val="00571A28"/>
    <w:rsid w:val="0057790C"/>
    <w:rsid w:val="00585B6E"/>
    <w:rsid w:val="0059298F"/>
    <w:rsid w:val="00593795"/>
    <w:rsid w:val="005A75FF"/>
    <w:rsid w:val="005D10AB"/>
    <w:rsid w:val="005D4713"/>
    <w:rsid w:val="00601D8F"/>
    <w:rsid w:val="00605582"/>
    <w:rsid w:val="00607146"/>
    <w:rsid w:val="006077F6"/>
    <w:rsid w:val="00611F34"/>
    <w:rsid w:val="00621FE8"/>
    <w:rsid w:val="00622208"/>
    <w:rsid w:val="006434B6"/>
    <w:rsid w:val="006530CE"/>
    <w:rsid w:val="00653E97"/>
    <w:rsid w:val="006667DB"/>
    <w:rsid w:val="0068198B"/>
    <w:rsid w:val="00684A74"/>
    <w:rsid w:val="0068620A"/>
    <w:rsid w:val="00690B8A"/>
    <w:rsid w:val="006A0D57"/>
    <w:rsid w:val="006E4768"/>
    <w:rsid w:val="006F2CF1"/>
    <w:rsid w:val="007038ED"/>
    <w:rsid w:val="00703BC3"/>
    <w:rsid w:val="00704B61"/>
    <w:rsid w:val="007148B1"/>
    <w:rsid w:val="00715A64"/>
    <w:rsid w:val="00730416"/>
    <w:rsid w:val="00740C1F"/>
    <w:rsid w:val="007461C1"/>
    <w:rsid w:val="007552A9"/>
    <w:rsid w:val="00756520"/>
    <w:rsid w:val="0075658A"/>
    <w:rsid w:val="00761858"/>
    <w:rsid w:val="00767D59"/>
    <w:rsid w:val="00772582"/>
    <w:rsid w:val="00776E97"/>
    <w:rsid w:val="00780F86"/>
    <w:rsid w:val="007856D7"/>
    <w:rsid w:val="007912AD"/>
    <w:rsid w:val="007B0824"/>
    <w:rsid w:val="007B1D65"/>
    <w:rsid w:val="007B5D3C"/>
    <w:rsid w:val="007C7430"/>
    <w:rsid w:val="007D012C"/>
    <w:rsid w:val="00815011"/>
    <w:rsid w:val="00820A4F"/>
    <w:rsid w:val="00821B72"/>
    <w:rsid w:val="00823EF2"/>
    <w:rsid w:val="008303B8"/>
    <w:rsid w:val="00833DCE"/>
    <w:rsid w:val="0083799A"/>
    <w:rsid w:val="00842588"/>
    <w:rsid w:val="008627B9"/>
    <w:rsid w:val="0086553F"/>
    <w:rsid w:val="00866909"/>
    <w:rsid w:val="00871D34"/>
    <w:rsid w:val="00886284"/>
    <w:rsid w:val="008A25EC"/>
    <w:rsid w:val="008A6059"/>
    <w:rsid w:val="008B270C"/>
    <w:rsid w:val="008B5078"/>
    <w:rsid w:val="008B5D2F"/>
    <w:rsid w:val="008C3D3D"/>
    <w:rsid w:val="008D4131"/>
    <w:rsid w:val="008F1932"/>
    <w:rsid w:val="008F32D7"/>
    <w:rsid w:val="0090151B"/>
    <w:rsid w:val="009041C4"/>
    <w:rsid w:val="009042A9"/>
    <w:rsid w:val="0092058D"/>
    <w:rsid w:val="00921062"/>
    <w:rsid w:val="00924F5F"/>
    <w:rsid w:val="00941008"/>
    <w:rsid w:val="009722BC"/>
    <w:rsid w:val="009727A3"/>
    <w:rsid w:val="00987774"/>
    <w:rsid w:val="009A11E8"/>
    <w:rsid w:val="009A3F65"/>
    <w:rsid w:val="009A6F10"/>
    <w:rsid w:val="009B7433"/>
    <w:rsid w:val="009C461F"/>
    <w:rsid w:val="009C57C8"/>
    <w:rsid w:val="009E4B90"/>
    <w:rsid w:val="009F5220"/>
    <w:rsid w:val="00A07919"/>
    <w:rsid w:val="00A15234"/>
    <w:rsid w:val="00A201AB"/>
    <w:rsid w:val="00A2287D"/>
    <w:rsid w:val="00A31C8B"/>
    <w:rsid w:val="00A509FA"/>
    <w:rsid w:val="00A549E8"/>
    <w:rsid w:val="00A845DC"/>
    <w:rsid w:val="00A85711"/>
    <w:rsid w:val="00A9051E"/>
    <w:rsid w:val="00AA1FAF"/>
    <w:rsid w:val="00AD0E20"/>
    <w:rsid w:val="00AF09D8"/>
    <w:rsid w:val="00B06A57"/>
    <w:rsid w:val="00B26AA2"/>
    <w:rsid w:val="00B34CFA"/>
    <w:rsid w:val="00B3524D"/>
    <w:rsid w:val="00B40F69"/>
    <w:rsid w:val="00B46616"/>
    <w:rsid w:val="00B528BB"/>
    <w:rsid w:val="00B7040A"/>
    <w:rsid w:val="00B81077"/>
    <w:rsid w:val="00B83391"/>
    <w:rsid w:val="00B90859"/>
    <w:rsid w:val="00B95326"/>
    <w:rsid w:val="00BB00D3"/>
    <w:rsid w:val="00BB5A4B"/>
    <w:rsid w:val="00BD4196"/>
    <w:rsid w:val="00BD55A3"/>
    <w:rsid w:val="00BF22CA"/>
    <w:rsid w:val="00BF23BB"/>
    <w:rsid w:val="00C004F1"/>
    <w:rsid w:val="00C25114"/>
    <w:rsid w:val="00C26032"/>
    <w:rsid w:val="00C3292A"/>
    <w:rsid w:val="00C345E1"/>
    <w:rsid w:val="00C3727F"/>
    <w:rsid w:val="00C43BFD"/>
    <w:rsid w:val="00C47D15"/>
    <w:rsid w:val="00C6048A"/>
    <w:rsid w:val="00C8114E"/>
    <w:rsid w:val="00CB6E35"/>
    <w:rsid w:val="00CD7B31"/>
    <w:rsid w:val="00CD7F1B"/>
    <w:rsid w:val="00CE1A46"/>
    <w:rsid w:val="00D03E2E"/>
    <w:rsid w:val="00D05EE8"/>
    <w:rsid w:val="00D0749D"/>
    <w:rsid w:val="00D20757"/>
    <w:rsid w:val="00D22636"/>
    <w:rsid w:val="00D34BB5"/>
    <w:rsid w:val="00D40FD9"/>
    <w:rsid w:val="00D53769"/>
    <w:rsid w:val="00D6602D"/>
    <w:rsid w:val="00D85C13"/>
    <w:rsid w:val="00D9111A"/>
    <w:rsid w:val="00D91BE3"/>
    <w:rsid w:val="00D949B7"/>
    <w:rsid w:val="00D94AFC"/>
    <w:rsid w:val="00DB70AE"/>
    <w:rsid w:val="00DD5071"/>
    <w:rsid w:val="00DD5C39"/>
    <w:rsid w:val="00DE2428"/>
    <w:rsid w:val="00DE41ED"/>
    <w:rsid w:val="00DE6B31"/>
    <w:rsid w:val="00DE7DB7"/>
    <w:rsid w:val="00E00A0A"/>
    <w:rsid w:val="00E066DE"/>
    <w:rsid w:val="00E07F57"/>
    <w:rsid w:val="00E1182B"/>
    <w:rsid w:val="00E30683"/>
    <w:rsid w:val="00E42107"/>
    <w:rsid w:val="00E453D8"/>
    <w:rsid w:val="00E50BCE"/>
    <w:rsid w:val="00E574BF"/>
    <w:rsid w:val="00E61292"/>
    <w:rsid w:val="00E77C4D"/>
    <w:rsid w:val="00E81D01"/>
    <w:rsid w:val="00EA6B7C"/>
    <w:rsid w:val="00EB485A"/>
    <w:rsid w:val="00EE45D8"/>
    <w:rsid w:val="00F000D4"/>
    <w:rsid w:val="00F00448"/>
    <w:rsid w:val="00F01D5D"/>
    <w:rsid w:val="00F22EDA"/>
    <w:rsid w:val="00F5589A"/>
    <w:rsid w:val="00F67804"/>
    <w:rsid w:val="00F817B2"/>
    <w:rsid w:val="00FC40FA"/>
    <w:rsid w:val="00FE3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26DD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74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DF63-2E88-4688-B1EF-16198C36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5127</Characters>
  <Application>Microsoft Office Word</Application>
  <DocSecurity>0</DocSecurity>
  <Lines>42</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2018-09-18T15:32:00Z</dcterms:created>
  <dcterms:modified xsi:type="dcterms:W3CDTF">2018-09-18T15:32:00Z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