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380C45" w:rsidRDefault="00A53185" w:rsidP="0050388A">
      <w:pPr>
        <w:jc w:val="center"/>
        <w:rPr>
          <w:rFonts w:ascii="Book Antiqua" w:hAnsi="Book Antiqua" w:cs="Arial"/>
          <w:caps/>
          <w:color w:val="000000"/>
          <w:sz w:val="16"/>
          <w:szCs w:val="16"/>
        </w:rPr>
      </w:pPr>
      <w:r w:rsidRPr="00380C45">
        <w:rPr>
          <w:noProof/>
          <w:sz w:val="16"/>
          <w:szCs w:val="16"/>
        </w:rPr>
        <w:drawing>
          <wp:inline distT="0" distB="0" distL="0" distR="0" wp14:anchorId="092DEA82" wp14:editId="43B2AF34">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rsidR="003257CA" w:rsidRPr="00380C45" w:rsidRDefault="003257CA">
      <w:pPr>
        <w:rPr>
          <w:rFonts w:ascii="Book Antiqua" w:hAnsi="Book Antiqua" w:cs="Arial"/>
          <w:color w:val="000000"/>
          <w:sz w:val="16"/>
          <w:szCs w:val="16"/>
        </w:rPr>
      </w:pPr>
    </w:p>
    <w:p w:rsidR="003257CA" w:rsidRPr="002630D9" w:rsidRDefault="003257CA"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rsidR="003257CA" w:rsidRDefault="003257CA"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 xml:space="preserve">Appeal Number: </w:t>
      </w:r>
      <w:bookmarkStart w:id="0" w:name="_GoBack"/>
      <w:r w:rsidR="001207DF">
        <w:rPr>
          <w:rFonts w:cs="Arial"/>
          <w:b/>
          <w:color w:val="000000"/>
        </w:rPr>
        <w:t>PA/</w:t>
      </w:r>
      <w:r w:rsidR="00EC7B40">
        <w:rPr>
          <w:rFonts w:cs="Arial"/>
          <w:b/>
          <w:color w:val="000000"/>
        </w:rPr>
        <w:t>10165</w:t>
      </w:r>
      <w:r w:rsidR="001207DF">
        <w:rPr>
          <w:rFonts w:cs="Arial"/>
          <w:b/>
          <w:color w:val="000000"/>
        </w:rPr>
        <w:t>/2017</w:t>
      </w:r>
      <w:bookmarkEnd w:id="0"/>
    </w:p>
    <w:p w:rsidR="00CB6CFF" w:rsidRDefault="00CB6CFF" w:rsidP="002630D9">
      <w:pPr>
        <w:tabs>
          <w:tab w:val="right" w:pos="9720"/>
        </w:tabs>
        <w:spacing w:line="360" w:lineRule="auto"/>
        <w:ind w:right="-82"/>
        <w:rPr>
          <w:rFonts w:cs="Arial"/>
          <w:b/>
          <w:color w:val="000000"/>
        </w:rPr>
      </w:pPr>
      <w:r>
        <w:rPr>
          <w:rFonts w:cs="Arial"/>
          <w:b/>
          <w:color w:val="000000"/>
        </w:rPr>
        <w:t xml:space="preserve">                                                                                                                                                                                                                                                  </w:t>
      </w:r>
    </w:p>
    <w:p w:rsidR="003257CA" w:rsidRDefault="003257CA" w:rsidP="002630D9">
      <w:pPr>
        <w:spacing w:line="360" w:lineRule="auto"/>
        <w:jc w:val="center"/>
        <w:rPr>
          <w:rFonts w:cs="Arial"/>
          <w:b/>
          <w:color w:val="000000"/>
          <w:u w:val="single"/>
        </w:rPr>
      </w:pPr>
      <w:r w:rsidRPr="00217865">
        <w:rPr>
          <w:rFonts w:cs="Arial"/>
          <w:b/>
          <w:color w:val="000000"/>
          <w:u w:val="single"/>
        </w:rPr>
        <w:t>THE IMMIGRATION ACTS</w:t>
      </w:r>
    </w:p>
    <w:p w:rsidR="00380C45" w:rsidRPr="00217865" w:rsidRDefault="00380C45" w:rsidP="002630D9">
      <w:pPr>
        <w:spacing w:line="360" w:lineRule="auto"/>
        <w:jc w:val="center"/>
        <w:rPr>
          <w:rFonts w:cs="Arial"/>
          <w:b/>
          <w:color w:val="000000"/>
          <w:u w:val="single"/>
        </w:rPr>
      </w:pPr>
    </w:p>
    <w:tbl>
      <w:tblPr>
        <w:tblW w:w="0" w:type="auto"/>
        <w:tblLook w:val="01E0" w:firstRow="1" w:lastRow="1" w:firstColumn="1" w:lastColumn="1" w:noHBand="0" w:noVBand="0"/>
      </w:tblPr>
      <w:tblGrid>
        <w:gridCol w:w="5699"/>
        <w:gridCol w:w="3939"/>
      </w:tblGrid>
      <w:tr w:rsidR="003257CA" w:rsidRPr="002630D9" w:rsidTr="00E53E2F">
        <w:tc>
          <w:tcPr>
            <w:tcW w:w="5699" w:type="dxa"/>
          </w:tcPr>
          <w:p w:rsidR="003257CA" w:rsidRPr="002630D9" w:rsidRDefault="003257CA" w:rsidP="002630D9">
            <w:pPr>
              <w:spacing w:line="360" w:lineRule="auto"/>
              <w:jc w:val="both"/>
              <w:rPr>
                <w:rFonts w:cs="Arial"/>
                <w:b/>
              </w:rPr>
            </w:pPr>
            <w:r w:rsidRPr="002630D9">
              <w:rPr>
                <w:rFonts w:cs="Arial"/>
                <w:b/>
              </w:rPr>
              <w:t xml:space="preserve">Heard at </w:t>
            </w:r>
            <w:r>
              <w:rPr>
                <w:rFonts w:cs="Arial"/>
                <w:b/>
              </w:rPr>
              <w:t>Field House</w:t>
            </w:r>
          </w:p>
        </w:tc>
        <w:tc>
          <w:tcPr>
            <w:tcW w:w="3939" w:type="dxa"/>
          </w:tcPr>
          <w:p w:rsidR="003257CA" w:rsidRPr="002630D9" w:rsidRDefault="003257CA" w:rsidP="002630D9">
            <w:pPr>
              <w:spacing w:line="360" w:lineRule="auto"/>
              <w:jc w:val="both"/>
              <w:rPr>
                <w:rFonts w:cs="Arial"/>
                <w:b/>
                <w:color w:val="000000"/>
              </w:rPr>
            </w:pPr>
            <w:r w:rsidRPr="002630D9">
              <w:rPr>
                <w:rFonts w:cs="Arial"/>
                <w:b/>
                <w:color w:val="000000"/>
              </w:rPr>
              <w:t>Decision &amp; Reasons Promulgated</w:t>
            </w:r>
          </w:p>
        </w:tc>
      </w:tr>
      <w:tr w:rsidR="003257CA" w:rsidRPr="002630D9" w:rsidTr="00E53E2F">
        <w:tc>
          <w:tcPr>
            <w:tcW w:w="5699" w:type="dxa"/>
          </w:tcPr>
          <w:p w:rsidR="003257CA" w:rsidRPr="002630D9" w:rsidRDefault="003257CA" w:rsidP="002630D9">
            <w:pPr>
              <w:spacing w:line="360" w:lineRule="auto"/>
              <w:jc w:val="both"/>
              <w:rPr>
                <w:rFonts w:cs="Arial"/>
                <w:b/>
              </w:rPr>
            </w:pPr>
            <w:r w:rsidRPr="002630D9">
              <w:rPr>
                <w:rFonts w:cs="Arial"/>
                <w:b/>
              </w:rPr>
              <w:t xml:space="preserve">On </w:t>
            </w:r>
            <w:r w:rsidR="000D7E1F">
              <w:rPr>
                <w:rFonts w:cs="Arial"/>
                <w:b/>
              </w:rPr>
              <w:t>10 August</w:t>
            </w:r>
            <w:r>
              <w:rPr>
                <w:rFonts w:cs="Arial"/>
                <w:b/>
              </w:rPr>
              <w:t xml:space="preserve"> 2018</w:t>
            </w:r>
          </w:p>
        </w:tc>
        <w:tc>
          <w:tcPr>
            <w:tcW w:w="3939" w:type="dxa"/>
          </w:tcPr>
          <w:p w:rsidR="003257CA" w:rsidRPr="002630D9" w:rsidRDefault="004F1CDC" w:rsidP="002630D9">
            <w:pPr>
              <w:spacing w:line="360" w:lineRule="auto"/>
              <w:jc w:val="both"/>
              <w:rPr>
                <w:rFonts w:cs="Arial"/>
                <w:b/>
              </w:rPr>
            </w:pPr>
            <w:r>
              <w:rPr>
                <w:rFonts w:cs="Arial"/>
                <w:b/>
              </w:rPr>
              <w:t>On 22 August 2018</w:t>
            </w:r>
          </w:p>
        </w:tc>
      </w:tr>
    </w:tbl>
    <w:p w:rsidR="004F1CDC" w:rsidRDefault="004F1CDC" w:rsidP="002630D9">
      <w:pPr>
        <w:spacing w:line="360" w:lineRule="auto"/>
        <w:jc w:val="center"/>
        <w:rPr>
          <w:rFonts w:cs="Arial"/>
          <w:b/>
        </w:rPr>
      </w:pPr>
    </w:p>
    <w:p w:rsidR="003257CA" w:rsidRPr="002630D9" w:rsidRDefault="003257CA" w:rsidP="002630D9">
      <w:pPr>
        <w:spacing w:line="360" w:lineRule="auto"/>
        <w:jc w:val="center"/>
        <w:rPr>
          <w:rFonts w:cs="Arial"/>
          <w:b/>
        </w:rPr>
      </w:pPr>
      <w:r w:rsidRPr="002630D9">
        <w:rPr>
          <w:rFonts w:cs="Arial"/>
          <w:b/>
        </w:rPr>
        <w:t>Before</w:t>
      </w:r>
    </w:p>
    <w:p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rsidR="00380C45" w:rsidRDefault="00380C45" w:rsidP="002630D9">
      <w:pPr>
        <w:spacing w:line="360" w:lineRule="auto"/>
        <w:jc w:val="center"/>
        <w:rPr>
          <w:rFonts w:cs="Arial"/>
          <w:b/>
        </w:rPr>
      </w:pPr>
    </w:p>
    <w:p w:rsidR="003257CA" w:rsidRDefault="003257CA" w:rsidP="002630D9">
      <w:pPr>
        <w:spacing w:line="360" w:lineRule="auto"/>
        <w:jc w:val="center"/>
        <w:rPr>
          <w:rFonts w:cs="Arial"/>
          <w:b/>
        </w:rPr>
      </w:pPr>
      <w:r w:rsidRPr="002630D9">
        <w:rPr>
          <w:rFonts w:cs="Arial"/>
          <w:b/>
        </w:rPr>
        <w:t>Between</w:t>
      </w:r>
    </w:p>
    <w:p w:rsidR="00EC7B40" w:rsidRDefault="00380C45" w:rsidP="002630D9">
      <w:pPr>
        <w:spacing w:line="360" w:lineRule="auto"/>
        <w:jc w:val="center"/>
        <w:rPr>
          <w:rFonts w:cs="Arial"/>
          <w:b/>
        </w:rPr>
      </w:pPr>
      <w:r>
        <w:rPr>
          <w:rFonts w:cs="Arial"/>
          <w:b/>
        </w:rPr>
        <w:t>[</w:t>
      </w:r>
      <w:r w:rsidR="00EC7B40">
        <w:rPr>
          <w:rFonts w:cs="Arial"/>
          <w:b/>
        </w:rPr>
        <w:t>S</w:t>
      </w:r>
      <w:r>
        <w:rPr>
          <w:rFonts w:cs="Arial"/>
          <w:b/>
        </w:rPr>
        <w:t xml:space="preserve"> </w:t>
      </w:r>
      <w:r w:rsidR="00EC7B40">
        <w:rPr>
          <w:rFonts w:cs="Arial"/>
          <w:b/>
        </w:rPr>
        <w:t>T</w:t>
      </w:r>
      <w:r>
        <w:rPr>
          <w:rFonts w:cs="Arial"/>
          <w:b/>
        </w:rPr>
        <w:t>]</w:t>
      </w:r>
    </w:p>
    <w:p w:rsidR="00E53E2F" w:rsidRPr="00380C45" w:rsidRDefault="00E53E2F" w:rsidP="002630D9">
      <w:pPr>
        <w:spacing w:line="360" w:lineRule="auto"/>
        <w:jc w:val="center"/>
        <w:rPr>
          <w:rFonts w:cs="Arial"/>
          <w:b/>
          <w:sz w:val="22"/>
        </w:rPr>
      </w:pPr>
      <w:r w:rsidRPr="00380C45">
        <w:rPr>
          <w:rFonts w:cs="Arial"/>
          <w:b/>
          <w:sz w:val="22"/>
        </w:rPr>
        <w:t>(ANONYMITY ORDER IS MAINTAINED)</w:t>
      </w:r>
    </w:p>
    <w:p w:rsidR="00EC7B40" w:rsidRPr="00EC7B40" w:rsidRDefault="00EC7B40" w:rsidP="002630D9">
      <w:pPr>
        <w:spacing w:line="360" w:lineRule="auto"/>
        <w:jc w:val="center"/>
        <w:rPr>
          <w:rFonts w:cs="Arial"/>
          <w:b/>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EC7B40">
        <w:rPr>
          <w:rFonts w:cs="Arial"/>
          <w:b/>
          <w:u w:val="single"/>
        </w:rPr>
        <w:t>Appellant</w:t>
      </w:r>
    </w:p>
    <w:p w:rsidR="00EC7B40" w:rsidRDefault="00EC7B40" w:rsidP="002630D9">
      <w:pPr>
        <w:spacing w:line="360" w:lineRule="auto"/>
        <w:jc w:val="center"/>
        <w:rPr>
          <w:rFonts w:cs="Arial"/>
          <w:b/>
        </w:rPr>
      </w:pPr>
      <w:r>
        <w:rPr>
          <w:rFonts w:cs="Arial"/>
          <w:b/>
        </w:rPr>
        <w:t>-and-</w:t>
      </w:r>
    </w:p>
    <w:p w:rsidR="001207DF" w:rsidRDefault="001207DF" w:rsidP="002630D9">
      <w:pPr>
        <w:spacing w:line="360" w:lineRule="auto"/>
        <w:jc w:val="center"/>
        <w:rPr>
          <w:rFonts w:cs="Arial"/>
          <w:b/>
        </w:rPr>
      </w:pPr>
      <w:r>
        <w:rPr>
          <w:rFonts w:cs="Arial"/>
          <w:b/>
        </w:rPr>
        <w:t>THE SECRETARY OF STATE FOR THE HOME DEPARTMENT</w:t>
      </w:r>
    </w:p>
    <w:p w:rsidR="001207DF" w:rsidRPr="00EC7B40" w:rsidRDefault="001207DF" w:rsidP="002630D9">
      <w:pPr>
        <w:spacing w:line="360" w:lineRule="auto"/>
        <w:jc w:val="center"/>
        <w:rPr>
          <w:rFonts w:cs="Arial"/>
          <w:b/>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00EC7B40" w:rsidRPr="00EC7B40">
        <w:rPr>
          <w:rFonts w:cs="Arial"/>
          <w:b/>
          <w:u w:val="single"/>
        </w:rPr>
        <w:t>Respondent</w:t>
      </w:r>
    </w:p>
    <w:p w:rsidR="00380C45" w:rsidRDefault="00380C45" w:rsidP="001C5143">
      <w:pPr>
        <w:tabs>
          <w:tab w:val="left" w:pos="2520"/>
        </w:tabs>
        <w:spacing w:line="360" w:lineRule="auto"/>
        <w:rPr>
          <w:rFonts w:cs="Arial"/>
          <w:b/>
          <w:u w:val="single"/>
        </w:rPr>
      </w:pPr>
    </w:p>
    <w:p w:rsidR="00827B41" w:rsidRPr="00827B41" w:rsidRDefault="00827B41" w:rsidP="001C5143">
      <w:pPr>
        <w:tabs>
          <w:tab w:val="left" w:pos="2520"/>
        </w:tabs>
        <w:spacing w:line="360" w:lineRule="auto"/>
        <w:rPr>
          <w:rFonts w:cs="Arial"/>
          <w:b/>
          <w:u w:val="single"/>
        </w:rPr>
      </w:pPr>
      <w:r w:rsidRPr="00827B41">
        <w:rPr>
          <w:rFonts w:cs="Arial"/>
          <w:b/>
          <w:u w:val="single"/>
        </w:rPr>
        <w:t xml:space="preserve">Representation </w:t>
      </w:r>
    </w:p>
    <w:p w:rsidR="001C5143" w:rsidRPr="002630D9" w:rsidRDefault="003257CA" w:rsidP="001C5143">
      <w:pPr>
        <w:tabs>
          <w:tab w:val="left" w:pos="2520"/>
        </w:tabs>
        <w:spacing w:line="360" w:lineRule="auto"/>
        <w:rPr>
          <w:rFonts w:cs="Arial"/>
        </w:rPr>
      </w:pPr>
      <w:r w:rsidRPr="002630D9">
        <w:rPr>
          <w:rFonts w:cs="Arial"/>
        </w:rPr>
        <w:t>For the Appellant:</w:t>
      </w:r>
      <w:r w:rsidRPr="002630D9">
        <w:rPr>
          <w:rFonts w:cs="Arial"/>
        </w:rPr>
        <w:tab/>
      </w:r>
      <w:r>
        <w:rPr>
          <w:rFonts w:cs="Arial"/>
        </w:rPr>
        <w:tab/>
      </w:r>
      <w:r>
        <w:rPr>
          <w:rFonts w:cs="Arial"/>
        </w:rPr>
        <w:tab/>
      </w:r>
      <w:r w:rsidR="00E53E2F">
        <w:rPr>
          <w:rFonts w:cs="Arial"/>
        </w:rPr>
        <w:t xml:space="preserve">Mr. S. </w:t>
      </w:r>
      <w:proofErr w:type="spellStart"/>
      <w:r w:rsidR="00E53E2F">
        <w:rPr>
          <w:rFonts w:cs="Arial"/>
        </w:rPr>
        <w:t>Muquit</w:t>
      </w:r>
      <w:proofErr w:type="spellEnd"/>
      <w:r w:rsidR="00E53E2F">
        <w:rPr>
          <w:rFonts w:cs="Arial"/>
        </w:rPr>
        <w:t xml:space="preserve"> of counsel, instructed by V J Nathan Solicitors</w:t>
      </w:r>
    </w:p>
    <w:p w:rsidR="005D603D" w:rsidRPr="002630D9" w:rsidRDefault="003257CA" w:rsidP="005D603D">
      <w:pPr>
        <w:tabs>
          <w:tab w:val="left" w:pos="2520"/>
        </w:tabs>
        <w:spacing w:line="360" w:lineRule="auto"/>
        <w:rPr>
          <w:rFonts w:cs="Arial"/>
        </w:rPr>
      </w:pPr>
      <w:r w:rsidRPr="002630D9">
        <w:rPr>
          <w:rFonts w:cs="Arial"/>
        </w:rPr>
        <w:t>For the Respondent:</w:t>
      </w:r>
      <w:r w:rsidRPr="002630D9">
        <w:rPr>
          <w:rFonts w:cs="Arial"/>
        </w:rPr>
        <w:tab/>
      </w:r>
      <w:r>
        <w:rPr>
          <w:rFonts w:cs="Arial"/>
        </w:rPr>
        <w:t xml:space="preserve">             </w:t>
      </w:r>
      <w:r w:rsidR="00E53E2F">
        <w:rPr>
          <w:rFonts w:cs="Arial"/>
        </w:rPr>
        <w:t xml:space="preserve"> Mr. I. Jarvis, Home Office Presenting Officer</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0D7E1F" w:rsidRPr="00303BAF" w:rsidRDefault="000D7E1F" w:rsidP="000D7E1F">
      <w:pPr>
        <w:spacing w:line="360" w:lineRule="auto"/>
        <w:jc w:val="both"/>
        <w:rPr>
          <w:rFonts w:cs="Arial"/>
          <w:b/>
        </w:rPr>
      </w:pPr>
      <w:r>
        <w:rPr>
          <w:rFonts w:cs="Arial"/>
          <w:b/>
        </w:rPr>
        <w:t xml:space="preserve">                                                                                                                                                                                                                                                                                                                                                                                                                                                         </w:t>
      </w:r>
    </w:p>
    <w:p w:rsidR="003257CA" w:rsidRDefault="003257CA" w:rsidP="002630D9">
      <w:pPr>
        <w:spacing w:line="360" w:lineRule="auto"/>
        <w:jc w:val="both"/>
        <w:rPr>
          <w:rFonts w:cs="Arial"/>
          <w:b/>
        </w:rPr>
      </w:pPr>
      <w:r w:rsidRPr="009D341B">
        <w:rPr>
          <w:rFonts w:cs="Arial"/>
          <w:b/>
        </w:rPr>
        <w:t xml:space="preserve">BACKGROUND TO THE APPEAL </w:t>
      </w:r>
    </w:p>
    <w:p w:rsidR="00461072" w:rsidRDefault="00461072" w:rsidP="002630D9">
      <w:pPr>
        <w:spacing w:line="360" w:lineRule="auto"/>
        <w:jc w:val="both"/>
        <w:rPr>
          <w:rFonts w:cs="Arial"/>
          <w:b/>
        </w:rPr>
      </w:pPr>
    </w:p>
    <w:p w:rsidR="003257CA"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1C5143">
        <w:rPr>
          <w:rFonts w:cs="Arial"/>
        </w:rPr>
        <w:t>Appellan</w:t>
      </w:r>
      <w:r w:rsidR="00EC7B40">
        <w:rPr>
          <w:rFonts w:cs="Arial"/>
        </w:rPr>
        <w:t>t</w:t>
      </w:r>
      <w:r w:rsidR="001C5143">
        <w:rPr>
          <w:rFonts w:cs="Arial"/>
        </w:rPr>
        <w:t xml:space="preserve"> is a national of </w:t>
      </w:r>
      <w:r w:rsidR="001207DF">
        <w:rPr>
          <w:rFonts w:cs="Arial"/>
        </w:rPr>
        <w:t>Sri Lanka</w:t>
      </w:r>
      <w:r w:rsidR="001C5143">
        <w:rPr>
          <w:rFonts w:cs="Arial"/>
        </w:rPr>
        <w:t xml:space="preserve">. </w:t>
      </w:r>
      <w:r w:rsidR="001207DF">
        <w:rPr>
          <w:rFonts w:cs="Arial"/>
        </w:rPr>
        <w:t xml:space="preserve">He is a Tamil who was born in </w:t>
      </w:r>
      <w:r w:rsidR="00EC7B40">
        <w:rPr>
          <w:rFonts w:cs="Arial"/>
        </w:rPr>
        <w:t>Jaffna</w:t>
      </w:r>
      <w:r w:rsidR="001C5143">
        <w:rPr>
          <w:rFonts w:cs="Arial"/>
        </w:rPr>
        <w:t xml:space="preserve">. </w:t>
      </w:r>
      <w:r>
        <w:rPr>
          <w:rFonts w:cs="Arial"/>
        </w:rPr>
        <w:t xml:space="preserve"> </w:t>
      </w:r>
      <w:r w:rsidR="00EC7B40">
        <w:rPr>
          <w:rFonts w:cs="Arial"/>
        </w:rPr>
        <w:t>He arrived in the United Kingdom on 20 August 2016 and applied for asylum that same day. His application was refused on 6 November 1993. He</w:t>
      </w:r>
      <w:r w:rsidR="00963ED3">
        <w:rPr>
          <w:rFonts w:cs="Arial"/>
        </w:rPr>
        <w:t xml:space="preserve"> appealed </w:t>
      </w:r>
      <w:r w:rsidR="00EC7B40">
        <w:rPr>
          <w:rFonts w:cs="Arial"/>
        </w:rPr>
        <w:t xml:space="preserve">against this decision </w:t>
      </w:r>
      <w:r w:rsidR="001207DF">
        <w:rPr>
          <w:rFonts w:cs="Arial"/>
        </w:rPr>
        <w:t xml:space="preserve">and First-tier Tribunal </w:t>
      </w:r>
      <w:r w:rsidR="001207DF">
        <w:rPr>
          <w:rFonts w:cs="Arial"/>
        </w:rPr>
        <w:lastRenderedPageBreak/>
        <w:t xml:space="preserve">Judge </w:t>
      </w:r>
      <w:r w:rsidR="00EC7B40">
        <w:rPr>
          <w:rFonts w:cs="Arial"/>
        </w:rPr>
        <w:t>Rodge</w:t>
      </w:r>
      <w:r w:rsidR="0012789B">
        <w:rPr>
          <w:rFonts w:cs="Arial"/>
        </w:rPr>
        <w:t>r</w:t>
      </w:r>
      <w:r w:rsidR="00EC7B40">
        <w:rPr>
          <w:rFonts w:cs="Arial"/>
        </w:rPr>
        <w:t xml:space="preserve"> dismissed his appeal in a decision promulgated on 27 April 2018</w:t>
      </w:r>
      <w:r w:rsidR="00F86A0A">
        <w:rPr>
          <w:rFonts w:cs="Arial"/>
        </w:rPr>
        <w:t xml:space="preserve">. </w:t>
      </w:r>
      <w:r w:rsidR="00EC7B40">
        <w:rPr>
          <w:rFonts w:cs="Arial"/>
        </w:rPr>
        <w:t xml:space="preserve">First-tier Tribunal Judge Murray </w:t>
      </w:r>
      <w:r w:rsidR="00F86A0A">
        <w:rPr>
          <w:rFonts w:cs="Arial"/>
        </w:rPr>
        <w:t>grant</w:t>
      </w:r>
      <w:r w:rsidR="00EC7B40">
        <w:rPr>
          <w:rFonts w:cs="Arial"/>
        </w:rPr>
        <w:t>ed</w:t>
      </w:r>
      <w:r w:rsidR="00F86A0A">
        <w:rPr>
          <w:rFonts w:cs="Arial"/>
        </w:rPr>
        <w:t xml:space="preserve"> him permission to appeal on </w:t>
      </w:r>
      <w:r w:rsidR="00E53E2F">
        <w:rPr>
          <w:rFonts w:cs="Arial"/>
        </w:rPr>
        <w:t>2</w:t>
      </w:r>
      <w:r w:rsidR="00F86A0A">
        <w:rPr>
          <w:rFonts w:cs="Arial"/>
        </w:rPr>
        <w:t>4 May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0D7E1F" w:rsidP="002630D9">
      <w:pPr>
        <w:spacing w:line="360" w:lineRule="auto"/>
        <w:ind w:left="567" w:hanging="567"/>
        <w:jc w:val="both"/>
        <w:rPr>
          <w:rFonts w:cs="Arial"/>
        </w:rPr>
      </w:pPr>
      <w:r>
        <w:rPr>
          <w:rFonts w:cs="Arial"/>
        </w:rPr>
        <w:t>2</w:t>
      </w:r>
      <w:r w:rsidR="003257CA">
        <w:rPr>
          <w:rFonts w:cs="Arial"/>
        </w:rPr>
        <w:t>.</w:t>
      </w:r>
      <w:r w:rsidR="003257CA">
        <w:rPr>
          <w:rFonts w:cs="Arial"/>
        </w:rPr>
        <w:tab/>
      </w:r>
      <w:r w:rsidR="00E53E2F">
        <w:rPr>
          <w:rFonts w:cs="Arial"/>
        </w:rPr>
        <w:t>C</w:t>
      </w:r>
      <w:r w:rsidR="00EC7B40">
        <w:rPr>
          <w:rFonts w:cs="Arial"/>
        </w:rPr>
        <w:t xml:space="preserve">ounsel for the Appellant </w:t>
      </w:r>
      <w:r w:rsidR="00E53E2F">
        <w:rPr>
          <w:rFonts w:cs="Arial"/>
        </w:rPr>
        <w:t>submitted that the manner in which First-tier Tribunal Judge Murray considered the medical evidence of scarring amounted gave rise to errors of law. He also submitted that, as the First-tier Tribunal Judge was required to undertake a holistic assessment of the Appellant’s credibility, errors made in relation to one aspect of his credibility, in this case his account of being tortured, had an adverse and cumulative effect on her overall findings about the credibility of the Appellant’s account. Having heard counsel’s submissions and having reviewed the grounds, t</w:t>
      </w:r>
      <w:r w:rsidR="00F86A0A">
        <w:rPr>
          <w:rFonts w:cs="Arial"/>
        </w:rPr>
        <w:t xml:space="preserve">he Home Office Presenting Officer </w:t>
      </w:r>
      <w:r w:rsidR="00E53E2F">
        <w:rPr>
          <w:rFonts w:cs="Arial"/>
        </w:rPr>
        <w:t>accepted that the First-tier Tribunal Judge had misread the expert report.</w:t>
      </w:r>
      <w:r w:rsidR="003257CA">
        <w:rPr>
          <w:rFonts w:cs="Arial"/>
        </w:rPr>
        <w:t xml:space="preserve">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EC7B40" w:rsidRDefault="000D7E1F" w:rsidP="00ED4DFD">
      <w:pPr>
        <w:spacing w:line="360" w:lineRule="auto"/>
        <w:ind w:left="567" w:hanging="567"/>
        <w:jc w:val="both"/>
        <w:rPr>
          <w:rFonts w:cs="Arial"/>
        </w:rPr>
      </w:pPr>
      <w:r>
        <w:rPr>
          <w:rFonts w:cs="Arial"/>
        </w:rPr>
        <w:t>3</w:t>
      </w:r>
      <w:r w:rsidR="00827B41">
        <w:rPr>
          <w:rFonts w:cs="Arial"/>
        </w:rPr>
        <w:t>.</w:t>
      </w:r>
      <w:r w:rsidR="00827B41">
        <w:rPr>
          <w:rFonts w:cs="Arial"/>
        </w:rPr>
        <w:tab/>
      </w:r>
      <w:r w:rsidR="00EC7B40">
        <w:rPr>
          <w:rFonts w:cs="Arial"/>
        </w:rPr>
        <w:t>It is the Appellant’s case that he had a cousin who was a member of the LTTE and that he introduced him to other LTTE members and</w:t>
      </w:r>
      <w:r>
        <w:rPr>
          <w:rFonts w:cs="Arial"/>
        </w:rPr>
        <w:t xml:space="preserve"> that he</w:t>
      </w:r>
      <w:r w:rsidR="00EC7B40">
        <w:rPr>
          <w:rFonts w:cs="Arial"/>
        </w:rPr>
        <w:t xml:space="preserve"> started to assist them to move weapons brought in by sea at Point Pedro to other locations in the area. </w:t>
      </w:r>
      <w:r w:rsidR="0012789B">
        <w:rPr>
          <w:rFonts w:cs="Arial"/>
        </w:rPr>
        <w:t xml:space="preserve"> He also asserted that he was arrested by the Sri Lankan authorities on 24 January 2016 and detained in </w:t>
      </w:r>
      <w:proofErr w:type="spellStart"/>
      <w:r w:rsidR="0012789B">
        <w:rPr>
          <w:rFonts w:cs="Arial"/>
        </w:rPr>
        <w:t>Mathakal</w:t>
      </w:r>
      <w:proofErr w:type="spellEnd"/>
      <w:r w:rsidR="0012789B">
        <w:rPr>
          <w:rFonts w:cs="Arial"/>
        </w:rPr>
        <w:t xml:space="preserve"> camp until 14 February 2016. </w:t>
      </w:r>
      <w:r>
        <w:rPr>
          <w:rFonts w:cs="Arial"/>
        </w:rPr>
        <w:t>He said that, w</w:t>
      </w:r>
      <w:r w:rsidR="0012789B">
        <w:rPr>
          <w:rFonts w:cs="Arial"/>
        </w:rPr>
        <w:t xml:space="preserve">hilst </w:t>
      </w:r>
      <w:r>
        <w:rPr>
          <w:rFonts w:cs="Arial"/>
        </w:rPr>
        <w:t xml:space="preserve">he was </w:t>
      </w:r>
      <w:r w:rsidR="0012789B">
        <w:rPr>
          <w:rFonts w:cs="Arial"/>
        </w:rPr>
        <w:t>in detention</w:t>
      </w:r>
      <w:r>
        <w:rPr>
          <w:rFonts w:cs="Arial"/>
        </w:rPr>
        <w:t>,</w:t>
      </w:r>
      <w:r w:rsidR="0012789B">
        <w:rPr>
          <w:rFonts w:cs="Arial"/>
        </w:rPr>
        <w:t xml:space="preserve"> he was interrogated, tortured and forced to sign documents in Sinhalese.</w:t>
      </w:r>
    </w:p>
    <w:p w:rsidR="0012789B" w:rsidRDefault="0012789B" w:rsidP="00ED4DFD">
      <w:pPr>
        <w:spacing w:line="360" w:lineRule="auto"/>
        <w:ind w:left="567" w:hanging="567"/>
        <w:jc w:val="both"/>
        <w:rPr>
          <w:rFonts w:cs="Arial"/>
        </w:rPr>
      </w:pPr>
    </w:p>
    <w:p w:rsidR="00B64E78" w:rsidRDefault="000D7E1F" w:rsidP="00ED4DFD">
      <w:pPr>
        <w:spacing w:line="360" w:lineRule="auto"/>
        <w:ind w:left="567" w:hanging="567"/>
        <w:jc w:val="both"/>
        <w:rPr>
          <w:rFonts w:cs="Arial"/>
        </w:rPr>
      </w:pPr>
      <w:r>
        <w:rPr>
          <w:rFonts w:cs="Arial"/>
        </w:rPr>
        <w:t>4</w:t>
      </w:r>
      <w:r w:rsidR="0012789B">
        <w:rPr>
          <w:rFonts w:cs="Arial"/>
        </w:rPr>
        <w:t>.</w:t>
      </w:r>
      <w:r w:rsidR="0012789B">
        <w:rPr>
          <w:rFonts w:cs="Arial"/>
        </w:rPr>
        <w:tab/>
        <w:t xml:space="preserve">His father was able to pay a bribe a soldier for his release and he was given into the care of an agent, who kept him hidden until it was possible to arrange for him to leave Sri Lanka. He also said that once in the United Kingdom he attended about ten demonstrations in support of the </w:t>
      </w:r>
      <w:r w:rsidR="00B64E78">
        <w:rPr>
          <w:rFonts w:cs="Arial"/>
        </w:rPr>
        <w:t>Transnational Government of Tamil Eelam and that the Sri Lankan CID had taken photographs of his at demonstrations and sent them back to Sri Lanka.</w:t>
      </w:r>
    </w:p>
    <w:p w:rsidR="00B64E78" w:rsidRDefault="00B64E78" w:rsidP="00ED4DFD">
      <w:pPr>
        <w:spacing w:line="360" w:lineRule="auto"/>
        <w:ind w:left="567" w:hanging="567"/>
        <w:jc w:val="both"/>
        <w:rPr>
          <w:rFonts w:cs="Arial"/>
        </w:rPr>
      </w:pPr>
    </w:p>
    <w:p w:rsidR="00EB1955" w:rsidRDefault="000D7E1F" w:rsidP="00ED4DFD">
      <w:pPr>
        <w:spacing w:line="360" w:lineRule="auto"/>
        <w:ind w:left="567" w:hanging="567"/>
        <w:jc w:val="both"/>
        <w:rPr>
          <w:rFonts w:cs="Arial"/>
        </w:rPr>
      </w:pPr>
      <w:r>
        <w:rPr>
          <w:rFonts w:cs="Arial"/>
        </w:rPr>
        <w:t>5</w:t>
      </w:r>
      <w:r w:rsidR="00B64E78">
        <w:rPr>
          <w:rFonts w:cs="Arial"/>
        </w:rPr>
        <w:t>.</w:t>
      </w:r>
      <w:r w:rsidR="00B64E78">
        <w:rPr>
          <w:rFonts w:cs="Arial"/>
        </w:rPr>
        <w:tab/>
      </w:r>
      <w:r w:rsidR="0072305A">
        <w:rPr>
          <w:rFonts w:cs="Arial"/>
        </w:rPr>
        <w:t xml:space="preserve">In order to succeed in his appeal the Appellant had to bring himself within the guidance given in </w:t>
      </w:r>
      <w:r w:rsidR="0072305A">
        <w:rPr>
          <w:rFonts w:cs="Arial"/>
          <w:i/>
        </w:rPr>
        <w:t xml:space="preserve">GJ &amp; Others (post-civil war; returnees) Sri Lanka CG </w:t>
      </w:r>
      <w:r w:rsidR="0072305A">
        <w:rPr>
          <w:rFonts w:cs="Arial"/>
        </w:rPr>
        <w:t>[2013] UKUT 00319 (IAC</w:t>
      </w:r>
      <w:r w:rsidR="00EB1955">
        <w:rPr>
          <w:rFonts w:cs="Arial"/>
        </w:rPr>
        <w:t>.</w:t>
      </w:r>
    </w:p>
    <w:p w:rsidR="00EB1955" w:rsidRDefault="00EB1955" w:rsidP="00ED4DFD">
      <w:pPr>
        <w:spacing w:line="360" w:lineRule="auto"/>
        <w:ind w:left="567" w:hanging="567"/>
        <w:jc w:val="both"/>
        <w:rPr>
          <w:rFonts w:cs="Arial"/>
        </w:rPr>
      </w:pPr>
    </w:p>
    <w:p w:rsidR="00AD5B45" w:rsidRDefault="000D7E1F" w:rsidP="00ED4DFD">
      <w:pPr>
        <w:spacing w:line="360" w:lineRule="auto"/>
        <w:ind w:left="567" w:hanging="567"/>
        <w:jc w:val="both"/>
        <w:rPr>
          <w:rFonts w:cs="Arial"/>
        </w:rPr>
      </w:pPr>
      <w:r>
        <w:rPr>
          <w:rFonts w:cs="Arial"/>
        </w:rPr>
        <w:t>6</w:t>
      </w:r>
      <w:r w:rsidR="00AD5B45">
        <w:rPr>
          <w:rFonts w:cs="Arial"/>
        </w:rPr>
        <w:t>.</w:t>
      </w:r>
      <w:r w:rsidR="00AD5B45">
        <w:rPr>
          <w:rFonts w:cs="Arial"/>
        </w:rPr>
        <w:tab/>
        <w:t xml:space="preserve">At paragraph 26 of her decision, First-tier Tribunal Judge Rodger stated: </w:t>
      </w:r>
    </w:p>
    <w:p w:rsidR="00AD5B45" w:rsidRDefault="00AD5B45" w:rsidP="00380C45">
      <w:pPr>
        <w:spacing w:line="360" w:lineRule="auto"/>
        <w:ind w:left="1134" w:hanging="567"/>
        <w:jc w:val="both"/>
        <w:rPr>
          <w:rFonts w:cs="Arial"/>
          <w:i/>
        </w:rPr>
      </w:pPr>
    </w:p>
    <w:p w:rsidR="00AD5B45" w:rsidRDefault="00AD5B45" w:rsidP="00380C45">
      <w:pPr>
        <w:spacing w:line="360" w:lineRule="auto"/>
        <w:ind w:left="1134" w:hanging="567"/>
        <w:jc w:val="both"/>
        <w:rPr>
          <w:rFonts w:cs="Arial"/>
        </w:rPr>
      </w:pPr>
      <w:r>
        <w:rPr>
          <w:rFonts w:cs="Arial"/>
          <w:i/>
        </w:rPr>
        <w:lastRenderedPageBreak/>
        <w:tab/>
      </w:r>
      <w:r>
        <w:rPr>
          <w:rFonts w:cs="Arial"/>
        </w:rPr>
        <w:t>“I have carefully looked at the evidence in the round, having regard to the background material as provided in both the appellant and the respondent’s bundles and the country guidance relating to Sri Lanka”.</w:t>
      </w:r>
    </w:p>
    <w:p w:rsidR="00AD5B45" w:rsidRDefault="00AD5B45" w:rsidP="00380C45">
      <w:pPr>
        <w:spacing w:line="360" w:lineRule="auto"/>
        <w:ind w:left="1134" w:hanging="567"/>
        <w:jc w:val="both"/>
        <w:rPr>
          <w:rFonts w:cs="Arial"/>
          <w:i/>
        </w:rPr>
      </w:pPr>
    </w:p>
    <w:p w:rsidR="00AD5B45" w:rsidRDefault="000D7E1F" w:rsidP="00ED4DFD">
      <w:pPr>
        <w:spacing w:line="360" w:lineRule="auto"/>
        <w:ind w:left="567" w:hanging="567"/>
        <w:jc w:val="both"/>
        <w:rPr>
          <w:rFonts w:cs="Arial"/>
        </w:rPr>
      </w:pPr>
      <w:r>
        <w:rPr>
          <w:rFonts w:cs="Arial"/>
        </w:rPr>
        <w:t>7</w:t>
      </w:r>
      <w:r w:rsidR="00AD5B45">
        <w:rPr>
          <w:rFonts w:cs="Arial"/>
        </w:rPr>
        <w:t>.</w:t>
      </w:r>
      <w:r w:rsidR="00AD5B45">
        <w:rPr>
          <w:rFonts w:cs="Arial"/>
        </w:rPr>
        <w:tab/>
        <w:t>As a consequence,</w:t>
      </w:r>
      <w:r w:rsidR="00A13B86">
        <w:rPr>
          <w:rFonts w:cs="Arial"/>
        </w:rPr>
        <w:t xml:space="preserve"> as recognised by counsel for the Appellant,</w:t>
      </w:r>
      <w:r w:rsidR="00AD5B45">
        <w:rPr>
          <w:rFonts w:cs="Arial"/>
        </w:rPr>
        <w:t xml:space="preserve"> it is necessary to analyse whether </w:t>
      </w:r>
      <w:r>
        <w:rPr>
          <w:rFonts w:cs="Arial"/>
        </w:rPr>
        <w:t>the First-tier Tribunal Judge’s</w:t>
      </w:r>
      <w:r w:rsidR="00AD5B45">
        <w:rPr>
          <w:rFonts w:cs="Arial"/>
        </w:rPr>
        <w:t xml:space="preserve"> </w:t>
      </w:r>
      <w:r w:rsidR="00A13B86">
        <w:rPr>
          <w:rFonts w:cs="Arial"/>
        </w:rPr>
        <w:t xml:space="preserve">findings on </w:t>
      </w:r>
      <w:r w:rsidR="00AD5B45">
        <w:rPr>
          <w:rFonts w:cs="Arial"/>
        </w:rPr>
        <w:t>individual p</w:t>
      </w:r>
      <w:r>
        <w:rPr>
          <w:rFonts w:cs="Arial"/>
        </w:rPr>
        <w:t>arts</w:t>
      </w:r>
      <w:r w:rsidR="00AD5B45">
        <w:rPr>
          <w:rFonts w:cs="Arial"/>
        </w:rPr>
        <w:t xml:space="preserve"> of </w:t>
      </w:r>
      <w:r>
        <w:rPr>
          <w:rFonts w:cs="Arial"/>
        </w:rPr>
        <w:t xml:space="preserve">the </w:t>
      </w:r>
      <w:r w:rsidR="00AD5B45">
        <w:rPr>
          <w:rFonts w:cs="Arial"/>
        </w:rPr>
        <w:t xml:space="preserve">evidence was sustainable. </w:t>
      </w:r>
    </w:p>
    <w:p w:rsidR="00AD5B45" w:rsidRDefault="00AD5B45" w:rsidP="00ED4DFD">
      <w:pPr>
        <w:spacing w:line="360" w:lineRule="auto"/>
        <w:ind w:left="567" w:hanging="567"/>
        <w:jc w:val="both"/>
        <w:rPr>
          <w:rFonts w:cs="Arial"/>
          <w:i/>
        </w:rPr>
      </w:pPr>
    </w:p>
    <w:p w:rsidR="0012789B" w:rsidRDefault="00FB0582" w:rsidP="00ED4DFD">
      <w:pPr>
        <w:spacing w:line="360" w:lineRule="auto"/>
        <w:ind w:left="567" w:hanging="567"/>
        <w:jc w:val="both"/>
        <w:rPr>
          <w:rFonts w:cs="Arial"/>
        </w:rPr>
      </w:pPr>
      <w:r>
        <w:rPr>
          <w:rFonts w:cs="Arial"/>
        </w:rPr>
        <w:t>8</w:t>
      </w:r>
      <w:r w:rsidR="00AD5B45">
        <w:rPr>
          <w:rFonts w:cs="Arial"/>
        </w:rPr>
        <w:t>.</w:t>
      </w:r>
      <w:r w:rsidR="00AD5B45">
        <w:rPr>
          <w:rFonts w:cs="Arial"/>
        </w:rPr>
        <w:tab/>
        <w:t xml:space="preserve">In paragraphs 31 to 32 of her decision, the First-tier Tribunal Judge considered the expert scarring report by </w:t>
      </w:r>
      <w:proofErr w:type="spellStart"/>
      <w:r w:rsidR="00AD5B45">
        <w:rPr>
          <w:rFonts w:cs="Arial"/>
        </w:rPr>
        <w:t>Dr.</w:t>
      </w:r>
      <w:proofErr w:type="spellEnd"/>
      <w:r w:rsidR="00AD5B45">
        <w:rPr>
          <w:rFonts w:cs="Arial"/>
        </w:rPr>
        <w:t xml:space="preserve"> </w:t>
      </w:r>
      <w:proofErr w:type="spellStart"/>
      <w:r w:rsidR="00AD5B45">
        <w:rPr>
          <w:rFonts w:cs="Arial"/>
        </w:rPr>
        <w:t>Iquierdo</w:t>
      </w:r>
      <w:proofErr w:type="spellEnd"/>
      <w:r w:rsidR="00AD5B45">
        <w:rPr>
          <w:rFonts w:cs="Arial"/>
        </w:rPr>
        <w:t xml:space="preserve">-Martin. Her finding in paragraph 32 that the expert’s opinion taken at its highest was that the Appellant’s scars were consistent with his account of torture is factually incorrect. </w:t>
      </w:r>
      <w:r w:rsidR="00A13B86">
        <w:rPr>
          <w:rFonts w:cs="Arial"/>
        </w:rPr>
        <w:t xml:space="preserve">Instead, the expert found </w:t>
      </w:r>
      <w:r w:rsidR="00AD5B45">
        <w:rPr>
          <w:rFonts w:cs="Arial"/>
        </w:rPr>
        <w:t xml:space="preserve">that scars 2 and 4 were </w:t>
      </w:r>
      <w:r w:rsidR="00DF6D0A">
        <w:rPr>
          <w:rFonts w:cs="Arial"/>
        </w:rPr>
        <w:t>“</w:t>
      </w:r>
      <w:r w:rsidR="00AD5B45">
        <w:rPr>
          <w:rFonts w:cs="Arial"/>
        </w:rPr>
        <w:t>typical of unwillingly and intentionally caused injuries with at least two different implements described by the [Appellant]</w:t>
      </w:r>
      <w:r w:rsidR="00DF6D0A">
        <w:rPr>
          <w:rFonts w:cs="Arial"/>
        </w:rPr>
        <w:t>”</w:t>
      </w:r>
      <w:r w:rsidR="00AD5B45">
        <w:rPr>
          <w:rFonts w:cs="Arial"/>
        </w:rPr>
        <w:t>.</w:t>
      </w:r>
      <w:r w:rsidR="003C11AC">
        <w:rPr>
          <w:rFonts w:cs="Arial"/>
        </w:rPr>
        <w:t xml:space="preserve"> This was significant because the term “typical”, as recommended by the Istanbul Protocol, denotes the second highest gradation of consistency and the term “consistent” is a much lower gradation of consistency.</w:t>
      </w:r>
      <w:r w:rsidR="00A13B86">
        <w:rPr>
          <w:rFonts w:cs="Arial"/>
        </w:rPr>
        <w:t xml:space="preserve"> This went directly to the question of the credibility of the Appellant’s account. </w:t>
      </w:r>
    </w:p>
    <w:p w:rsidR="003C11AC" w:rsidRDefault="003C11AC" w:rsidP="00ED4DFD">
      <w:pPr>
        <w:spacing w:line="360" w:lineRule="auto"/>
        <w:ind w:left="567" w:hanging="567"/>
        <w:jc w:val="both"/>
        <w:rPr>
          <w:rFonts w:cs="Arial"/>
        </w:rPr>
      </w:pPr>
    </w:p>
    <w:p w:rsidR="003C11AC" w:rsidRDefault="00FB0582" w:rsidP="00ED4DFD">
      <w:pPr>
        <w:spacing w:line="360" w:lineRule="auto"/>
        <w:ind w:left="567" w:hanging="567"/>
        <w:jc w:val="both"/>
        <w:rPr>
          <w:rFonts w:cs="Arial"/>
          <w:b/>
        </w:rPr>
      </w:pPr>
      <w:r>
        <w:rPr>
          <w:rFonts w:cs="Arial"/>
        </w:rPr>
        <w:t>9</w:t>
      </w:r>
      <w:r w:rsidR="003C11AC">
        <w:rPr>
          <w:rFonts w:cs="Arial"/>
        </w:rPr>
        <w:t>.</w:t>
      </w:r>
      <w:r w:rsidR="003C11AC">
        <w:rPr>
          <w:rFonts w:cs="Arial"/>
        </w:rPr>
        <w:tab/>
        <w:t xml:space="preserve">In addition, in paragraph 32 of her decision, the First-tier Tribunal Judge noted that the appellant’s description in his asylum interview of the torture that he alleges to have received does not sit entirely well with the information provided to the expert. </w:t>
      </w:r>
      <w:r w:rsidR="00DF6D0A">
        <w:rPr>
          <w:rFonts w:cs="Arial"/>
        </w:rPr>
        <w:t xml:space="preserve">However, in paragraph 3.3 of his report, </w:t>
      </w:r>
      <w:proofErr w:type="spellStart"/>
      <w:r w:rsidR="00DF6D0A">
        <w:rPr>
          <w:rFonts w:cs="Arial"/>
        </w:rPr>
        <w:t>Dr.</w:t>
      </w:r>
      <w:proofErr w:type="spellEnd"/>
      <w:r w:rsidR="00DF6D0A">
        <w:rPr>
          <w:rFonts w:cs="Arial"/>
        </w:rPr>
        <w:t xml:space="preserve"> Andres </w:t>
      </w:r>
      <w:proofErr w:type="spellStart"/>
      <w:r w:rsidR="00DF6D0A">
        <w:rPr>
          <w:rFonts w:cs="Arial"/>
        </w:rPr>
        <w:t>Izquierdo</w:t>
      </w:r>
      <w:proofErr w:type="spellEnd"/>
      <w:r w:rsidR="00DF6D0A">
        <w:rPr>
          <w:rFonts w:cs="Arial"/>
        </w:rPr>
        <w:t>-Martin, noted the</w:t>
      </w:r>
      <w:r w:rsidR="00A13B86">
        <w:rPr>
          <w:rFonts w:cs="Arial"/>
        </w:rPr>
        <w:t xml:space="preserve"> different types of physical torture said to have been </w:t>
      </w:r>
      <w:r w:rsidR="00DF6D0A">
        <w:rPr>
          <w:rFonts w:cs="Arial"/>
        </w:rPr>
        <w:t>suffered by the Appellant and</w:t>
      </w:r>
      <w:r w:rsidR="00A13B86">
        <w:rPr>
          <w:rFonts w:cs="Arial"/>
        </w:rPr>
        <w:t xml:space="preserve"> they </w:t>
      </w:r>
      <w:r w:rsidR="00DF6D0A">
        <w:rPr>
          <w:rFonts w:cs="Arial"/>
        </w:rPr>
        <w:t xml:space="preserve">did not differ in any significant manner from the description given by the Appellant in his substantive asylum interview. </w:t>
      </w:r>
    </w:p>
    <w:p w:rsidR="003C11AC" w:rsidRDefault="003C11AC" w:rsidP="00ED4DFD">
      <w:pPr>
        <w:spacing w:line="360" w:lineRule="auto"/>
        <w:ind w:left="567" w:hanging="567"/>
        <w:jc w:val="both"/>
        <w:rPr>
          <w:rFonts w:cs="Arial"/>
          <w:b/>
        </w:rPr>
      </w:pPr>
    </w:p>
    <w:p w:rsidR="003C11AC" w:rsidRDefault="003C11AC" w:rsidP="00ED4DFD">
      <w:pPr>
        <w:spacing w:line="360" w:lineRule="auto"/>
        <w:ind w:left="567" w:hanging="567"/>
        <w:jc w:val="both"/>
        <w:rPr>
          <w:rFonts w:cs="Arial"/>
        </w:rPr>
      </w:pPr>
      <w:r>
        <w:rPr>
          <w:rFonts w:cs="Arial"/>
        </w:rPr>
        <w:t>1</w:t>
      </w:r>
      <w:r w:rsidR="00FB0582">
        <w:rPr>
          <w:rFonts w:cs="Arial"/>
        </w:rPr>
        <w:t>0</w:t>
      </w:r>
      <w:r>
        <w:rPr>
          <w:rFonts w:cs="Arial"/>
        </w:rPr>
        <w:t>.</w:t>
      </w:r>
      <w:r>
        <w:rPr>
          <w:rFonts w:cs="Arial"/>
        </w:rPr>
        <w:tab/>
      </w:r>
      <w:r w:rsidR="00DF6D0A">
        <w:rPr>
          <w:rFonts w:cs="Arial"/>
        </w:rPr>
        <w:t>In addition, at</w:t>
      </w:r>
      <w:r>
        <w:rPr>
          <w:rFonts w:cs="Arial"/>
        </w:rPr>
        <w:t xml:space="preserve"> paragraph 2.3 of </w:t>
      </w:r>
      <w:r w:rsidR="00DF6D0A">
        <w:rPr>
          <w:rFonts w:cs="Arial"/>
        </w:rPr>
        <w:t>his</w:t>
      </w:r>
      <w:r>
        <w:rPr>
          <w:rFonts w:cs="Arial"/>
        </w:rPr>
        <w:t xml:space="preserve"> report he stated that:</w:t>
      </w:r>
    </w:p>
    <w:p w:rsidR="003C11AC" w:rsidRDefault="003C11AC" w:rsidP="00380C45">
      <w:pPr>
        <w:spacing w:line="360" w:lineRule="auto"/>
        <w:ind w:left="1134" w:hanging="567"/>
        <w:jc w:val="both"/>
        <w:rPr>
          <w:rFonts w:cs="Arial"/>
        </w:rPr>
      </w:pPr>
    </w:p>
    <w:p w:rsidR="003C11AC" w:rsidRDefault="003C11AC" w:rsidP="00380C45">
      <w:pPr>
        <w:spacing w:line="360" w:lineRule="auto"/>
        <w:ind w:left="1134" w:hanging="567"/>
        <w:jc w:val="both"/>
        <w:rPr>
          <w:rFonts w:cs="Arial"/>
        </w:rPr>
      </w:pPr>
      <w:r>
        <w:rPr>
          <w:rFonts w:cs="Arial"/>
        </w:rPr>
        <w:tab/>
        <w:t xml:space="preserve">“The history in this report is restricted to those aspects that I consider relevant to the physical findings. The absence of </w:t>
      </w:r>
      <w:r w:rsidR="00543C6E">
        <w:rPr>
          <w:rFonts w:cs="Arial"/>
        </w:rPr>
        <w:t>reference to an incident in the report does not necessarily mean that it was not described to me”.</w:t>
      </w:r>
    </w:p>
    <w:p w:rsidR="00A13B86" w:rsidRDefault="00A13B86" w:rsidP="00380C45">
      <w:pPr>
        <w:spacing w:line="360" w:lineRule="auto"/>
        <w:ind w:left="1134" w:hanging="567"/>
        <w:jc w:val="both"/>
        <w:rPr>
          <w:rFonts w:cs="Arial"/>
        </w:rPr>
      </w:pPr>
    </w:p>
    <w:p w:rsidR="00A13B86" w:rsidRDefault="00A13B86" w:rsidP="00ED4DFD">
      <w:pPr>
        <w:spacing w:line="360" w:lineRule="auto"/>
        <w:ind w:left="567" w:hanging="567"/>
        <w:jc w:val="both"/>
        <w:rPr>
          <w:rFonts w:cs="Arial"/>
        </w:rPr>
      </w:pPr>
      <w:r>
        <w:rPr>
          <w:rFonts w:cs="Arial"/>
        </w:rPr>
        <w:t>1</w:t>
      </w:r>
      <w:r w:rsidR="00FB0582">
        <w:rPr>
          <w:rFonts w:cs="Arial"/>
        </w:rPr>
        <w:t>1</w:t>
      </w:r>
      <w:r>
        <w:rPr>
          <w:rFonts w:cs="Arial"/>
        </w:rPr>
        <w:t>.</w:t>
      </w:r>
      <w:r>
        <w:rPr>
          <w:rFonts w:cs="Arial"/>
        </w:rPr>
        <w:tab/>
        <w:t xml:space="preserve">As a consequence, the expert’s failure to mention sexual assault did not undermine the Appellant’s account as it could not have been expected to leave scarring so long after the event. </w:t>
      </w:r>
    </w:p>
    <w:p w:rsidR="00543C6E" w:rsidRDefault="00543C6E" w:rsidP="00ED4DFD">
      <w:pPr>
        <w:spacing w:line="360" w:lineRule="auto"/>
        <w:ind w:left="567" w:hanging="567"/>
        <w:jc w:val="both"/>
        <w:rPr>
          <w:rFonts w:cs="Arial"/>
        </w:rPr>
      </w:pPr>
    </w:p>
    <w:p w:rsidR="00543C6E" w:rsidRDefault="00543C6E" w:rsidP="00ED4DFD">
      <w:pPr>
        <w:spacing w:line="360" w:lineRule="auto"/>
        <w:ind w:left="567" w:hanging="567"/>
        <w:jc w:val="both"/>
        <w:rPr>
          <w:rFonts w:cs="Arial"/>
        </w:rPr>
      </w:pPr>
      <w:r>
        <w:rPr>
          <w:rFonts w:cs="Arial"/>
        </w:rPr>
        <w:lastRenderedPageBreak/>
        <w:t>1</w:t>
      </w:r>
      <w:r w:rsidR="00FB0582">
        <w:rPr>
          <w:rFonts w:cs="Arial"/>
        </w:rPr>
        <w:t>2</w:t>
      </w:r>
      <w:r>
        <w:rPr>
          <w:rFonts w:cs="Arial"/>
        </w:rPr>
        <w:t>.</w:t>
      </w:r>
      <w:r w:rsidR="00364F8E">
        <w:rPr>
          <w:rFonts w:cs="Arial"/>
        </w:rPr>
        <w:tab/>
        <w:t xml:space="preserve">In paragraph </w:t>
      </w:r>
      <w:r w:rsidR="00A13B86">
        <w:rPr>
          <w:rFonts w:cs="Arial"/>
        </w:rPr>
        <w:t>32</w:t>
      </w:r>
      <w:r w:rsidR="00364F8E">
        <w:rPr>
          <w:rFonts w:cs="Arial"/>
        </w:rPr>
        <w:t xml:space="preserve"> of her decision First-tier Tribunal Judge Rodger also stated that the expert report was inconsistent with the Appellant’s account of being torture</w:t>
      </w:r>
      <w:r w:rsidR="00A13B86">
        <w:rPr>
          <w:rFonts w:cs="Arial"/>
        </w:rPr>
        <w:t>d</w:t>
      </w:r>
      <w:r w:rsidR="00364F8E">
        <w:rPr>
          <w:rFonts w:cs="Arial"/>
        </w:rPr>
        <w:t xml:space="preserve"> in January 2016. However, what the expert actually stated in his report at paragraph 5.</w:t>
      </w:r>
      <w:r w:rsidR="00E15329">
        <w:rPr>
          <w:rFonts w:cs="Arial"/>
        </w:rPr>
        <w:t>3</w:t>
      </w:r>
      <w:r w:rsidR="00364F8E">
        <w:rPr>
          <w:rFonts w:cs="Arial"/>
        </w:rPr>
        <w:t xml:space="preserve"> was that:</w:t>
      </w:r>
    </w:p>
    <w:p w:rsidR="00E15329" w:rsidRDefault="00E15329" w:rsidP="00380C45">
      <w:pPr>
        <w:spacing w:line="360" w:lineRule="auto"/>
        <w:ind w:left="1134" w:hanging="567"/>
        <w:jc w:val="both"/>
        <w:rPr>
          <w:rFonts w:cs="Arial"/>
        </w:rPr>
      </w:pPr>
    </w:p>
    <w:p w:rsidR="00E15329" w:rsidRDefault="00E15329" w:rsidP="00380C45">
      <w:pPr>
        <w:spacing w:line="360" w:lineRule="auto"/>
        <w:ind w:left="1134" w:hanging="567"/>
        <w:jc w:val="both"/>
        <w:rPr>
          <w:rFonts w:cs="Arial"/>
        </w:rPr>
      </w:pPr>
      <w:r>
        <w:rPr>
          <w:rFonts w:cs="Arial"/>
        </w:rPr>
        <w:tab/>
        <w:t>“After six months it is usually impossible to estimate the date of an injury with any degree of accuracy making the dating of a wound even more uncertain”.</w:t>
      </w:r>
    </w:p>
    <w:p w:rsidR="00E15329" w:rsidRDefault="00E15329" w:rsidP="00380C45">
      <w:pPr>
        <w:spacing w:line="360" w:lineRule="auto"/>
        <w:ind w:left="1134" w:hanging="567"/>
        <w:jc w:val="both"/>
        <w:rPr>
          <w:rFonts w:cs="Arial"/>
        </w:rPr>
      </w:pPr>
    </w:p>
    <w:p w:rsidR="00E15329" w:rsidRDefault="00E15329" w:rsidP="00ED4DFD">
      <w:pPr>
        <w:spacing w:line="360" w:lineRule="auto"/>
        <w:ind w:left="567" w:hanging="567"/>
        <w:jc w:val="both"/>
        <w:rPr>
          <w:rFonts w:cs="Arial"/>
        </w:rPr>
      </w:pPr>
      <w:r>
        <w:rPr>
          <w:rFonts w:cs="Arial"/>
        </w:rPr>
        <w:t>13.</w:t>
      </w:r>
      <w:r>
        <w:rPr>
          <w:rFonts w:cs="Arial"/>
        </w:rPr>
        <w:tab/>
        <w:t>In addition, at paragraph 5.1</w:t>
      </w:r>
      <w:r w:rsidR="00FB0582">
        <w:rPr>
          <w:rFonts w:cs="Arial"/>
        </w:rPr>
        <w:t xml:space="preserve"> at pages 44 of the Appellant’s Bundle</w:t>
      </w:r>
      <w:r>
        <w:rPr>
          <w:rFonts w:cs="Arial"/>
        </w:rPr>
        <w:t>, he stated that:</w:t>
      </w:r>
    </w:p>
    <w:p w:rsidR="00364F8E" w:rsidRDefault="00364F8E" w:rsidP="00380C45">
      <w:pPr>
        <w:spacing w:line="360" w:lineRule="auto"/>
        <w:ind w:left="1134" w:hanging="567"/>
        <w:jc w:val="both"/>
        <w:rPr>
          <w:rFonts w:cs="Arial"/>
        </w:rPr>
      </w:pPr>
    </w:p>
    <w:p w:rsidR="00364F8E" w:rsidRDefault="00364F8E" w:rsidP="00380C45">
      <w:pPr>
        <w:spacing w:line="360" w:lineRule="auto"/>
        <w:ind w:left="1134" w:hanging="567"/>
        <w:jc w:val="both"/>
        <w:rPr>
          <w:rFonts w:cs="Arial"/>
        </w:rPr>
      </w:pPr>
      <w:r>
        <w:rPr>
          <w:rFonts w:cs="Arial"/>
        </w:rPr>
        <w:tab/>
        <w:t>“Determining the age of the scars by just visual inspection is not a precise science and often it is just possible to say that the injuries are mature or immature, enough to give a very approximate range of time when the injuries could have been caused. In the claimant’s case the scars are quiescent, fully matures and without any doubt older than six months, also in view of the degree of maturity it is consistent with injuries older than two years old”.</w:t>
      </w:r>
    </w:p>
    <w:p w:rsidR="00E15329" w:rsidRDefault="00E15329" w:rsidP="00380C45">
      <w:pPr>
        <w:spacing w:line="360" w:lineRule="auto"/>
        <w:ind w:left="1134" w:hanging="567"/>
        <w:jc w:val="both"/>
        <w:rPr>
          <w:rFonts w:cs="Arial"/>
        </w:rPr>
      </w:pPr>
    </w:p>
    <w:p w:rsidR="00364F8E" w:rsidRDefault="00364F8E" w:rsidP="00ED4DFD">
      <w:pPr>
        <w:spacing w:line="360" w:lineRule="auto"/>
        <w:ind w:left="567" w:hanging="567"/>
        <w:jc w:val="both"/>
        <w:rPr>
          <w:rFonts w:cs="Arial"/>
        </w:rPr>
      </w:pPr>
      <w:r>
        <w:rPr>
          <w:rFonts w:cs="Arial"/>
        </w:rPr>
        <w:t>1</w:t>
      </w:r>
      <w:r w:rsidR="00E15329">
        <w:rPr>
          <w:rFonts w:cs="Arial"/>
        </w:rPr>
        <w:t>4</w:t>
      </w:r>
      <w:r>
        <w:rPr>
          <w:rFonts w:cs="Arial"/>
        </w:rPr>
        <w:t>.</w:t>
      </w:r>
      <w:r>
        <w:rPr>
          <w:rFonts w:cs="Arial"/>
        </w:rPr>
        <w:tab/>
        <w:t xml:space="preserve">Therefore, what the expert was saying was that without any doubt they were older than six months but that they could have been older than two years. </w:t>
      </w:r>
    </w:p>
    <w:p w:rsidR="00364F8E" w:rsidRDefault="00364F8E" w:rsidP="00ED4DFD">
      <w:pPr>
        <w:spacing w:line="360" w:lineRule="auto"/>
        <w:ind w:left="567" w:hanging="567"/>
        <w:jc w:val="both"/>
        <w:rPr>
          <w:rFonts w:cs="Arial"/>
        </w:rPr>
      </w:pPr>
    </w:p>
    <w:p w:rsidR="00364F8E" w:rsidRDefault="00364F8E" w:rsidP="00ED4DFD">
      <w:pPr>
        <w:spacing w:line="360" w:lineRule="auto"/>
        <w:ind w:left="567" w:hanging="567"/>
        <w:jc w:val="both"/>
        <w:rPr>
          <w:rFonts w:cs="Arial"/>
        </w:rPr>
      </w:pPr>
      <w:r>
        <w:rPr>
          <w:rFonts w:cs="Arial"/>
        </w:rPr>
        <w:t>1</w:t>
      </w:r>
      <w:r w:rsidR="00E15329">
        <w:rPr>
          <w:rFonts w:cs="Arial"/>
        </w:rPr>
        <w:t>5</w:t>
      </w:r>
      <w:r>
        <w:rPr>
          <w:rFonts w:cs="Arial"/>
        </w:rPr>
        <w:t>.</w:t>
      </w:r>
      <w:r>
        <w:rPr>
          <w:rFonts w:cs="Arial"/>
        </w:rPr>
        <w:tab/>
      </w:r>
      <w:r w:rsidR="00FB0582">
        <w:rPr>
          <w:rFonts w:cs="Arial"/>
        </w:rPr>
        <w:t>Furthermore, to the extent that t</w:t>
      </w:r>
      <w:r>
        <w:rPr>
          <w:rFonts w:cs="Arial"/>
        </w:rPr>
        <w:t xml:space="preserve">he First-tier Tribunal Judge gave no weight </w:t>
      </w:r>
      <w:r w:rsidR="00FB0582">
        <w:rPr>
          <w:rFonts w:cs="Arial"/>
        </w:rPr>
        <w:t xml:space="preserve">in paragraph 37 of her decision </w:t>
      </w:r>
      <w:r>
        <w:rPr>
          <w:rFonts w:cs="Arial"/>
        </w:rPr>
        <w:t xml:space="preserve">to the Appellant’s mother’s evidence </w:t>
      </w:r>
      <w:r w:rsidR="00FB0582">
        <w:rPr>
          <w:rFonts w:cs="Arial"/>
        </w:rPr>
        <w:t xml:space="preserve">because it was said to be </w:t>
      </w:r>
      <w:r>
        <w:rPr>
          <w:rFonts w:cs="Arial"/>
        </w:rPr>
        <w:t>self-serving</w:t>
      </w:r>
      <w:r w:rsidR="00FB0582">
        <w:rPr>
          <w:rFonts w:cs="Arial"/>
        </w:rPr>
        <w:t>, she also erred in law</w:t>
      </w:r>
      <w:r>
        <w:rPr>
          <w:rFonts w:cs="Arial"/>
        </w:rPr>
        <w:t xml:space="preserve">.  </w:t>
      </w:r>
      <w:r w:rsidR="00FB0582">
        <w:rPr>
          <w:rFonts w:cs="Arial"/>
        </w:rPr>
        <w:t xml:space="preserve">In </w:t>
      </w:r>
      <w:r w:rsidR="00D17E9D">
        <w:rPr>
          <w:rFonts w:cs="Arial"/>
          <w:i/>
        </w:rPr>
        <w:t>MJ (</w:t>
      </w:r>
      <w:r>
        <w:rPr>
          <w:rFonts w:cs="Arial"/>
          <w:i/>
        </w:rPr>
        <w:t>Singh v Belgium</w:t>
      </w:r>
      <w:r w:rsidR="00D17E9D">
        <w:rPr>
          <w:rFonts w:cs="Arial"/>
          <w:i/>
        </w:rPr>
        <w:t xml:space="preserve"> </w:t>
      </w:r>
      <w:r>
        <w:rPr>
          <w:rFonts w:cs="Arial"/>
          <w:i/>
        </w:rPr>
        <w:t xml:space="preserve">: Tanveer Ahmed unaffected) </w:t>
      </w:r>
      <w:r>
        <w:rPr>
          <w:rFonts w:cs="Arial"/>
        </w:rPr>
        <w:t>[2013] UKUT 00253 (IAC) the Upper Tribunal found that:</w:t>
      </w:r>
    </w:p>
    <w:p w:rsidR="00364F8E" w:rsidRDefault="00364F8E" w:rsidP="00380C45">
      <w:pPr>
        <w:spacing w:line="360" w:lineRule="auto"/>
        <w:ind w:left="1134" w:hanging="567"/>
        <w:jc w:val="both"/>
        <w:rPr>
          <w:rFonts w:cs="Arial"/>
        </w:rPr>
      </w:pPr>
    </w:p>
    <w:p w:rsidR="00364F8E" w:rsidRDefault="00364F8E" w:rsidP="00380C45">
      <w:pPr>
        <w:spacing w:line="360" w:lineRule="auto"/>
        <w:ind w:left="1134" w:hanging="567"/>
        <w:jc w:val="both"/>
        <w:rPr>
          <w:rFonts w:cs="Arial"/>
        </w:rPr>
      </w:pPr>
      <w:r>
        <w:rPr>
          <w:rFonts w:cs="Arial"/>
        </w:rPr>
        <w:tab/>
        <w:t>“</w:t>
      </w:r>
      <w:r w:rsidR="00380C45">
        <w:rPr>
          <w:rFonts w:cs="Arial"/>
        </w:rPr>
        <w:t xml:space="preserve">… </w:t>
      </w:r>
      <w:r>
        <w:rPr>
          <w:rFonts w:cs="Arial"/>
        </w:rPr>
        <w:t xml:space="preserve">if by self-serving the adjudicator means they assist the appellant, then most documents produced by the appellant would, by definition, be condemned in this way. In the absence of any more specific criticism “self-serving” is not sufficient reason for not </w:t>
      </w:r>
      <w:r w:rsidR="00461072">
        <w:rPr>
          <w:rFonts w:cs="Arial"/>
        </w:rPr>
        <w:t xml:space="preserve">accepting that a document is reasonably likely to be genuine…No doubt an appellant will generally, if not always, find it of assistance to put forward evidence which assists his case and to that extent such evidence may be regarded as self-serving but that cannot in any sense be said to be the </w:t>
      </w:r>
      <w:r w:rsidR="00E15329">
        <w:rPr>
          <w:rFonts w:cs="Arial"/>
        </w:rPr>
        <w:t>r</w:t>
      </w:r>
      <w:r w:rsidR="00461072">
        <w:rPr>
          <w:rFonts w:cs="Arial"/>
        </w:rPr>
        <w:t>eason for marginalising it”.</w:t>
      </w:r>
    </w:p>
    <w:p w:rsidR="003923C7" w:rsidRDefault="003923C7" w:rsidP="00380C45">
      <w:pPr>
        <w:spacing w:line="360" w:lineRule="auto"/>
        <w:ind w:left="1134" w:hanging="567"/>
        <w:jc w:val="both"/>
        <w:rPr>
          <w:rFonts w:cs="Arial"/>
        </w:rPr>
      </w:pPr>
    </w:p>
    <w:p w:rsidR="003923C7" w:rsidRDefault="003923C7" w:rsidP="00E15329">
      <w:pPr>
        <w:spacing w:line="360" w:lineRule="auto"/>
        <w:ind w:left="567" w:hanging="567"/>
        <w:jc w:val="both"/>
        <w:rPr>
          <w:rFonts w:cs="Arial"/>
        </w:rPr>
      </w:pPr>
      <w:r>
        <w:rPr>
          <w:rFonts w:cs="Arial"/>
        </w:rPr>
        <w:t>15.</w:t>
      </w:r>
      <w:r>
        <w:rPr>
          <w:rFonts w:cs="Arial"/>
        </w:rPr>
        <w:tab/>
        <w:t xml:space="preserve">The appropriate approach would have been to give some weight to the letter from the Appellant’s mother when taken together with </w:t>
      </w:r>
      <w:r w:rsidR="00FB0582">
        <w:rPr>
          <w:rFonts w:cs="Arial"/>
        </w:rPr>
        <w:t>the other evidence</w:t>
      </w:r>
      <w:proofErr w:type="gramStart"/>
      <w:r w:rsidR="00FB0582">
        <w:rPr>
          <w:rFonts w:cs="Arial"/>
        </w:rPr>
        <w:t xml:space="preserve">. </w:t>
      </w:r>
      <w:r>
        <w:rPr>
          <w:rFonts w:cs="Arial"/>
        </w:rPr>
        <w:t>.</w:t>
      </w:r>
      <w:proofErr w:type="gramEnd"/>
      <w:r>
        <w:rPr>
          <w:rFonts w:cs="Arial"/>
        </w:rPr>
        <w:t xml:space="preserve"> </w:t>
      </w:r>
    </w:p>
    <w:p w:rsidR="00FB0582" w:rsidRDefault="00FB058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1</w:t>
      </w:r>
      <w:r w:rsidR="00FB0582">
        <w:rPr>
          <w:rFonts w:cs="Arial"/>
        </w:rPr>
        <w:t>6</w:t>
      </w:r>
      <w:r>
        <w:rPr>
          <w:rFonts w:cs="Arial"/>
        </w:rPr>
        <w:t>.</w:t>
      </w:r>
      <w:r>
        <w:rPr>
          <w:rFonts w:cs="Arial"/>
        </w:rPr>
        <w:tab/>
        <w:t>As a consequence, I find that First-tier Tribunal Judge Rodger did make errors of law in her decision.</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b/>
        </w:rPr>
      </w:pPr>
      <w:r>
        <w:rPr>
          <w:rFonts w:cs="Arial"/>
          <w:b/>
        </w:rPr>
        <w:t>Decision</w:t>
      </w:r>
    </w:p>
    <w:p w:rsidR="00461072" w:rsidRDefault="00461072" w:rsidP="00ED4DFD">
      <w:pPr>
        <w:spacing w:line="360" w:lineRule="auto"/>
        <w:ind w:left="567" w:hanging="567"/>
        <w:jc w:val="both"/>
        <w:rPr>
          <w:rFonts w:cs="Arial"/>
          <w:b/>
        </w:rPr>
      </w:pPr>
    </w:p>
    <w:p w:rsidR="00461072" w:rsidRDefault="00461072" w:rsidP="00ED4DFD">
      <w:pPr>
        <w:spacing w:line="360" w:lineRule="auto"/>
        <w:ind w:left="567" w:hanging="567"/>
        <w:jc w:val="both"/>
        <w:rPr>
          <w:rFonts w:cs="Arial"/>
        </w:rPr>
      </w:pPr>
      <w:r>
        <w:rPr>
          <w:rFonts w:cs="Arial"/>
        </w:rPr>
        <w:t>(1)</w:t>
      </w:r>
      <w:r>
        <w:rPr>
          <w:rFonts w:cs="Arial"/>
        </w:rPr>
        <w:tab/>
        <w:t>The Appellant’s appeal is allowed.</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(2)</w:t>
      </w:r>
      <w:r>
        <w:rPr>
          <w:rFonts w:cs="Arial"/>
        </w:rPr>
        <w:tab/>
        <w:t>The decision of First-tier Tribunal Judge Rodger is set aside.</w:t>
      </w:r>
    </w:p>
    <w:p w:rsidR="00461072" w:rsidRDefault="00461072" w:rsidP="00ED4DFD">
      <w:pPr>
        <w:spacing w:line="360" w:lineRule="auto"/>
        <w:ind w:left="567" w:hanging="567"/>
        <w:jc w:val="both"/>
        <w:rPr>
          <w:rFonts w:cs="Arial"/>
        </w:rPr>
      </w:pPr>
    </w:p>
    <w:p w:rsidR="00461072" w:rsidRPr="00461072" w:rsidRDefault="00461072" w:rsidP="00ED4DFD">
      <w:pPr>
        <w:spacing w:line="360" w:lineRule="auto"/>
        <w:ind w:left="567" w:hanging="567"/>
        <w:jc w:val="both"/>
        <w:rPr>
          <w:rFonts w:cs="Arial"/>
        </w:rPr>
      </w:pPr>
      <w:r>
        <w:rPr>
          <w:rFonts w:cs="Arial"/>
        </w:rPr>
        <w:t>(3)</w:t>
      </w:r>
      <w:r>
        <w:rPr>
          <w:rFonts w:cs="Arial"/>
        </w:rPr>
        <w:tab/>
        <w:t xml:space="preserve">The appeal is remitted to Taylor House for a </w:t>
      </w:r>
      <w:r>
        <w:rPr>
          <w:rFonts w:cs="Arial"/>
          <w:i/>
        </w:rPr>
        <w:t xml:space="preserve">de novo </w:t>
      </w:r>
      <w:r>
        <w:rPr>
          <w:rFonts w:cs="Arial"/>
        </w:rPr>
        <w:t>hearing before a First-tier Tribunal Judge other than First-tier Tribunal Judge Rodger.</w:t>
      </w:r>
    </w:p>
    <w:p w:rsidR="00EC7B40" w:rsidRDefault="00EC7B40" w:rsidP="00ED4DFD">
      <w:pPr>
        <w:spacing w:line="360" w:lineRule="auto"/>
        <w:ind w:left="567" w:hanging="567"/>
        <w:jc w:val="both"/>
        <w:rPr>
          <w:rFonts w:cs="Arial"/>
        </w:rPr>
      </w:pPr>
    </w:p>
    <w:p w:rsidR="00234FD6" w:rsidRDefault="00234FD6" w:rsidP="00ED4DFD">
      <w:pPr>
        <w:spacing w:line="360" w:lineRule="auto"/>
        <w:ind w:left="567" w:hanging="567"/>
        <w:jc w:val="both"/>
        <w:rPr>
          <w:rFonts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72305A">
        <w:rPr>
          <w:rFonts w:ascii="Book Antiqua" w:hAnsi="Book Antiqua" w:cs="Arial"/>
        </w:rPr>
        <w:t xml:space="preserve">10 August </w:t>
      </w:r>
      <w:r>
        <w:rPr>
          <w:rFonts w:ascii="Book Antiqua" w:hAnsi="Book Antiqua" w:cs="Arial"/>
        </w:rPr>
        <w:t>2018</w:t>
      </w:r>
    </w:p>
    <w:p w:rsidR="003257CA" w:rsidRDefault="003257CA" w:rsidP="00847259">
      <w:pPr>
        <w:jc w:val="both"/>
        <w:rPr>
          <w:rFonts w:ascii="Book Antiqua" w:hAnsi="Book Antiqua" w:cs="Arial"/>
        </w:rPr>
      </w:pPr>
    </w:p>
    <w:p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rsidR="003257CA" w:rsidRDefault="003257CA" w:rsidP="00847259">
      <w:pPr>
        <w:jc w:val="both"/>
        <w:rPr>
          <w:rFonts w:ascii="Book Antiqua" w:hAnsi="Book Antiqua" w:cs="Arial"/>
          <w:color w:val="000000"/>
        </w:rPr>
      </w:pPr>
    </w:p>
    <w:p w:rsidR="003257CA" w:rsidRDefault="003257CA" w:rsidP="00847259">
      <w:pPr>
        <w:jc w:val="both"/>
        <w:rPr>
          <w:rFonts w:ascii="Book Antiqua" w:hAnsi="Book Antiqua" w:cs="Arial"/>
          <w:color w:val="000000"/>
        </w:rPr>
      </w:pPr>
    </w:p>
    <w:sectPr w:rsidR="003257C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946" w:rsidRDefault="00016946">
      <w:r>
        <w:separator/>
      </w:r>
    </w:p>
  </w:endnote>
  <w:endnote w:type="continuationSeparator" w:id="0">
    <w:p w:rsidR="00016946" w:rsidRDefault="0001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21293031"/>
      <w:docPartObj>
        <w:docPartGallery w:val="Page Numbers (Bottom of Page)"/>
        <w:docPartUnique/>
      </w:docPartObj>
    </w:sdtPr>
    <w:sdtEndPr>
      <w:rPr>
        <w:noProof/>
      </w:rPr>
    </w:sdtEndPr>
    <w:sdtContent>
      <w:p w:rsidR="004F1CDC" w:rsidRPr="00380C45" w:rsidRDefault="004F1CDC">
        <w:pPr>
          <w:pStyle w:val="Footer"/>
          <w:jc w:val="center"/>
          <w:rPr>
            <w:sz w:val="20"/>
            <w:szCs w:val="20"/>
          </w:rPr>
        </w:pPr>
        <w:r w:rsidRPr="00380C45">
          <w:rPr>
            <w:sz w:val="20"/>
            <w:szCs w:val="20"/>
          </w:rPr>
          <w:fldChar w:fldCharType="begin"/>
        </w:r>
        <w:r w:rsidRPr="00380C45">
          <w:rPr>
            <w:sz w:val="20"/>
            <w:szCs w:val="20"/>
          </w:rPr>
          <w:instrText xml:space="preserve"> PAGE   \* MERGEFORMAT </w:instrText>
        </w:r>
        <w:r w:rsidRPr="00380C45">
          <w:rPr>
            <w:sz w:val="20"/>
            <w:szCs w:val="20"/>
          </w:rPr>
          <w:fldChar w:fldCharType="separate"/>
        </w:r>
        <w:r w:rsidR="009943F0">
          <w:rPr>
            <w:noProof/>
            <w:sz w:val="20"/>
            <w:szCs w:val="20"/>
          </w:rPr>
          <w:t>5</w:t>
        </w:r>
        <w:r w:rsidRPr="00380C45">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4F1CD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946" w:rsidRDefault="00016946">
      <w:r>
        <w:separator/>
      </w:r>
    </w:p>
  </w:footnote>
  <w:footnote w:type="continuationSeparator" w:id="0">
    <w:p w:rsidR="00016946" w:rsidRDefault="00016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380C45" w:rsidRDefault="003257CA" w:rsidP="004F1CDC">
    <w:pPr>
      <w:jc w:val="right"/>
      <w:rPr>
        <w:rFonts w:cs="Arial"/>
        <w:color w:val="000000"/>
        <w:sz w:val="20"/>
        <w:szCs w:val="20"/>
      </w:rPr>
    </w:pPr>
    <w:r w:rsidRPr="00380C45">
      <w:rPr>
        <w:rFonts w:cs="Arial"/>
        <w:color w:val="000000"/>
        <w:sz w:val="20"/>
        <w:szCs w:val="20"/>
      </w:rPr>
      <w:t>Appeal Numbe</w:t>
    </w:r>
    <w:r w:rsidR="00CB6CFF" w:rsidRPr="00380C45">
      <w:rPr>
        <w:rFonts w:cs="Arial"/>
        <w:color w:val="000000"/>
        <w:sz w:val="20"/>
        <w:szCs w:val="20"/>
      </w:rPr>
      <w:t>r</w:t>
    </w:r>
    <w:r w:rsidR="00827B41" w:rsidRPr="00380C45">
      <w:rPr>
        <w:rFonts w:cs="Arial"/>
        <w:color w:val="000000"/>
        <w:sz w:val="20"/>
        <w:szCs w:val="20"/>
      </w:rPr>
      <w:t xml:space="preserve"> PA/</w:t>
    </w:r>
    <w:r w:rsidR="00621D2B" w:rsidRPr="00380C45">
      <w:rPr>
        <w:rFonts w:cs="Arial"/>
        <w:color w:val="000000"/>
        <w:sz w:val="20"/>
        <w:szCs w:val="20"/>
      </w:rPr>
      <w:t>10165</w:t>
    </w:r>
    <w:r w:rsidR="00827B41" w:rsidRPr="00380C45">
      <w:rPr>
        <w:rFonts w:cs="Arial"/>
        <w:color w:val="000000"/>
        <w:sz w:val="20"/>
        <w:szCs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3F8A"/>
    <w:rsid w:val="00005C5B"/>
    <w:rsid w:val="00011C5D"/>
    <w:rsid w:val="00013EFF"/>
    <w:rsid w:val="00014893"/>
    <w:rsid w:val="00016946"/>
    <w:rsid w:val="00016BC5"/>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D4BC9"/>
    <w:rsid w:val="000D5D94"/>
    <w:rsid w:val="000D7E1F"/>
    <w:rsid w:val="000E3A77"/>
    <w:rsid w:val="000F1A0E"/>
    <w:rsid w:val="0010028C"/>
    <w:rsid w:val="00100617"/>
    <w:rsid w:val="001069F9"/>
    <w:rsid w:val="00106C24"/>
    <w:rsid w:val="001107AD"/>
    <w:rsid w:val="00111206"/>
    <w:rsid w:val="00111800"/>
    <w:rsid w:val="0011268F"/>
    <w:rsid w:val="0011302C"/>
    <w:rsid w:val="00114C50"/>
    <w:rsid w:val="001165A7"/>
    <w:rsid w:val="001207DF"/>
    <w:rsid w:val="00120A12"/>
    <w:rsid w:val="00121A51"/>
    <w:rsid w:val="001222AE"/>
    <w:rsid w:val="00124BCD"/>
    <w:rsid w:val="00125B37"/>
    <w:rsid w:val="001263DC"/>
    <w:rsid w:val="0012789B"/>
    <w:rsid w:val="00135190"/>
    <w:rsid w:val="001430C7"/>
    <w:rsid w:val="00144A8F"/>
    <w:rsid w:val="0014653D"/>
    <w:rsid w:val="00151509"/>
    <w:rsid w:val="001521D5"/>
    <w:rsid w:val="00161D7A"/>
    <w:rsid w:val="00162CB6"/>
    <w:rsid w:val="00166E37"/>
    <w:rsid w:val="00167D3A"/>
    <w:rsid w:val="00173946"/>
    <w:rsid w:val="00174D95"/>
    <w:rsid w:val="00176B08"/>
    <w:rsid w:val="00183704"/>
    <w:rsid w:val="001971C8"/>
    <w:rsid w:val="001A19A9"/>
    <w:rsid w:val="001A2558"/>
    <w:rsid w:val="001A3082"/>
    <w:rsid w:val="001B091F"/>
    <w:rsid w:val="001B186A"/>
    <w:rsid w:val="001B2F75"/>
    <w:rsid w:val="001B5021"/>
    <w:rsid w:val="001B6A67"/>
    <w:rsid w:val="001B768F"/>
    <w:rsid w:val="001C5143"/>
    <w:rsid w:val="001F245E"/>
    <w:rsid w:val="001F2716"/>
    <w:rsid w:val="00200BD4"/>
    <w:rsid w:val="00203467"/>
    <w:rsid w:val="002035ED"/>
    <w:rsid w:val="00206D4A"/>
    <w:rsid w:val="00207617"/>
    <w:rsid w:val="0021618E"/>
    <w:rsid w:val="002165E3"/>
    <w:rsid w:val="00217865"/>
    <w:rsid w:val="00224D49"/>
    <w:rsid w:val="0023134B"/>
    <w:rsid w:val="00234FD6"/>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8E2"/>
    <w:rsid w:val="002B342D"/>
    <w:rsid w:val="002C6BD4"/>
    <w:rsid w:val="002D083B"/>
    <w:rsid w:val="002D0E6D"/>
    <w:rsid w:val="002D56FD"/>
    <w:rsid w:val="002D68BF"/>
    <w:rsid w:val="002D6C34"/>
    <w:rsid w:val="002E61C3"/>
    <w:rsid w:val="002E7EA9"/>
    <w:rsid w:val="002F0F14"/>
    <w:rsid w:val="002F3955"/>
    <w:rsid w:val="002F6B98"/>
    <w:rsid w:val="002F7BBB"/>
    <w:rsid w:val="00300D36"/>
    <w:rsid w:val="00300EFA"/>
    <w:rsid w:val="00303BAF"/>
    <w:rsid w:val="00321375"/>
    <w:rsid w:val="00322667"/>
    <w:rsid w:val="003257CA"/>
    <w:rsid w:val="003343B2"/>
    <w:rsid w:val="00335737"/>
    <w:rsid w:val="00336CBF"/>
    <w:rsid w:val="00343FE3"/>
    <w:rsid w:val="0034796B"/>
    <w:rsid w:val="00353B0E"/>
    <w:rsid w:val="003546C8"/>
    <w:rsid w:val="003626A1"/>
    <w:rsid w:val="00363410"/>
    <w:rsid w:val="00364F8E"/>
    <w:rsid w:val="0037519F"/>
    <w:rsid w:val="00376618"/>
    <w:rsid w:val="00376763"/>
    <w:rsid w:val="00380C45"/>
    <w:rsid w:val="00384748"/>
    <w:rsid w:val="003863F7"/>
    <w:rsid w:val="00390A01"/>
    <w:rsid w:val="003923C7"/>
    <w:rsid w:val="00394E67"/>
    <w:rsid w:val="00395C30"/>
    <w:rsid w:val="003A0375"/>
    <w:rsid w:val="003A7CF2"/>
    <w:rsid w:val="003C11AC"/>
    <w:rsid w:val="003C5CE5"/>
    <w:rsid w:val="003D1600"/>
    <w:rsid w:val="003D3F1E"/>
    <w:rsid w:val="003D461D"/>
    <w:rsid w:val="003D549E"/>
    <w:rsid w:val="003E015F"/>
    <w:rsid w:val="003E267B"/>
    <w:rsid w:val="003E3C30"/>
    <w:rsid w:val="003E7CC8"/>
    <w:rsid w:val="003E7CD1"/>
    <w:rsid w:val="003F4C61"/>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5568B"/>
    <w:rsid w:val="0046060F"/>
    <w:rsid w:val="00461072"/>
    <w:rsid w:val="00464DE1"/>
    <w:rsid w:val="004672C1"/>
    <w:rsid w:val="00471E3C"/>
    <w:rsid w:val="00473BE7"/>
    <w:rsid w:val="00477193"/>
    <w:rsid w:val="00484940"/>
    <w:rsid w:val="004931D1"/>
    <w:rsid w:val="004A00B4"/>
    <w:rsid w:val="004A1848"/>
    <w:rsid w:val="004A1985"/>
    <w:rsid w:val="004A34EE"/>
    <w:rsid w:val="004A6F4A"/>
    <w:rsid w:val="004B2449"/>
    <w:rsid w:val="004B5275"/>
    <w:rsid w:val="004B66BF"/>
    <w:rsid w:val="004B7E8C"/>
    <w:rsid w:val="004C0AB4"/>
    <w:rsid w:val="004C1D93"/>
    <w:rsid w:val="004C5D11"/>
    <w:rsid w:val="004C6EC3"/>
    <w:rsid w:val="004E1E3A"/>
    <w:rsid w:val="004E2190"/>
    <w:rsid w:val="004E4717"/>
    <w:rsid w:val="004F1CDC"/>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256BD"/>
    <w:rsid w:val="00533C0F"/>
    <w:rsid w:val="00536F43"/>
    <w:rsid w:val="00537E50"/>
    <w:rsid w:val="005420FD"/>
    <w:rsid w:val="00543C6E"/>
    <w:rsid w:val="00543D39"/>
    <w:rsid w:val="00547222"/>
    <w:rsid w:val="005473D4"/>
    <w:rsid w:val="005479E1"/>
    <w:rsid w:val="00553E0A"/>
    <w:rsid w:val="00556B0D"/>
    <w:rsid w:val="005570FD"/>
    <w:rsid w:val="005575EA"/>
    <w:rsid w:val="005611D9"/>
    <w:rsid w:val="005630AD"/>
    <w:rsid w:val="0056365B"/>
    <w:rsid w:val="00565359"/>
    <w:rsid w:val="005661A7"/>
    <w:rsid w:val="0056624B"/>
    <w:rsid w:val="00571979"/>
    <w:rsid w:val="0057790C"/>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F3EB4"/>
    <w:rsid w:val="005F7557"/>
    <w:rsid w:val="00601D8F"/>
    <w:rsid w:val="00602C67"/>
    <w:rsid w:val="00602FB3"/>
    <w:rsid w:val="0060435A"/>
    <w:rsid w:val="00604A30"/>
    <w:rsid w:val="00606611"/>
    <w:rsid w:val="00610B20"/>
    <w:rsid w:val="0062078F"/>
    <w:rsid w:val="00621D2B"/>
    <w:rsid w:val="00627B05"/>
    <w:rsid w:val="0063325D"/>
    <w:rsid w:val="00636BB7"/>
    <w:rsid w:val="006408F7"/>
    <w:rsid w:val="00643D0C"/>
    <w:rsid w:val="00643F31"/>
    <w:rsid w:val="00646D54"/>
    <w:rsid w:val="006479DD"/>
    <w:rsid w:val="00652381"/>
    <w:rsid w:val="00653E97"/>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47C4"/>
    <w:rsid w:val="006F2CF1"/>
    <w:rsid w:val="006F73F1"/>
    <w:rsid w:val="00701A03"/>
    <w:rsid w:val="00702792"/>
    <w:rsid w:val="00702B91"/>
    <w:rsid w:val="00703184"/>
    <w:rsid w:val="007038ED"/>
    <w:rsid w:val="00703BC3"/>
    <w:rsid w:val="00704B61"/>
    <w:rsid w:val="00705AFB"/>
    <w:rsid w:val="0072305A"/>
    <w:rsid w:val="00724968"/>
    <w:rsid w:val="00725575"/>
    <w:rsid w:val="007276FF"/>
    <w:rsid w:val="007326A3"/>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27B41"/>
    <w:rsid w:val="008303B8"/>
    <w:rsid w:val="00830810"/>
    <w:rsid w:val="00831918"/>
    <w:rsid w:val="00831E27"/>
    <w:rsid w:val="00833D8D"/>
    <w:rsid w:val="00833DCE"/>
    <w:rsid w:val="00841072"/>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91016"/>
    <w:rsid w:val="0089348F"/>
    <w:rsid w:val="00897C8C"/>
    <w:rsid w:val="008A2695"/>
    <w:rsid w:val="008A7E3E"/>
    <w:rsid w:val="008B270C"/>
    <w:rsid w:val="008B2F0F"/>
    <w:rsid w:val="008B5078"/>
    <w:rsid w:val="008C12BC"/>
    <w:rsid w:val="008C3D3D"/>
    <w:rsid w:val="008D1135"/>
    <w:rsid w:val="008D4131"/>
    <w:rsid w:val="008E0286"/>
    <w:rsid w:val="008E7B93"/>
    <w:rsid w:val="008F1932"/>
    <w:rsid w:val="008F1BDC"/>
    <w:rsid w:val="008F48D0"/>
    <w:rsid w:val="008F4C67"/>
    <w:rsid w:val="008F6C0F"/>
    <w:rsid w:val="00901A46"/>
    <w:rsid w:val="00920EC0"/>
    <w:rsid w:val="00921062"/>
    <w:rsid w:val="00921E1F"/>
    <w:rsid w:val="00922444"/>
    <w:rsid w:val="009239B0"/>
    <w:rsid w:val="00924D93"/>
    <w:rsid w:val="009276B8"/>
    <w:rsid w:val="00947565"/>
    <w:rsid w:val="00950F7D"/>
    <w:rsid w:val="009530C8"/>
    <w:rsid w:val="00953E15"/>
    <w:rsid w:val="00956C43"/>
    <w:rsid w:val="009604E6"/>
    <w:rsid w:val="00961434"/>
    <w:rsid w:val="009617A1"/>
    <w:rsid w:val="00963E6D"/>
    <w:rsid w:val="00963ED3"/>
    <w:rsid w:val="00963F7F"/>
    <w:rsid w:val="00965C3E"/>
    <w:rsid w:val="009722BC"/>
    <w:rsid w:val="009727A3"/>
    <w:rsid w:val="00974225"/>
    <w:rsid w:val="009771B1"/>
    <w:rsid w:val="00980665"/>
    <w:rsid w:val="00984B68"/>
    <w:rsid w:val="00984E64"/>
    <w:rsid w:val="00987774"/>
    <w:rsid w:val="009943F0"/>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3B86"/>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C217A"/>
    <w:rsid w:val="00AC6CDD"/>
    <w:rsid w:val="00AD5231"/>
    <w:rsid w:val="00AD5B45"/>
    <w:rsid w:val="00AD7BB2"/>
    <w:rsid w:val="00AE1861"/>
    <w:rsid w:val="00AE47FD"/>
    <w:rsid w:val="00AE6DDE"/>
    <w:rsid w:val="00AE7D0A"/>
    <w:rsid w:val="00AE7D4D"/>
    <w:rsid w:val="00AF6109"/>
    <w:rsid w:val="00B03D62"/>
    <w:rsid w:val="00B04B47"/>
    <w:rsid w:val="00B04BD3"/>
    <w:rsid w:val="00B14A0F"/>
    <w:rsid w:val="00B14DB5"/>
    <w:rsid w:val="00B25CB9"/>
    <w:rsid w:val="00B26AA2"/>
    <w:rsid w:val="00B30647"/>
    <w:rsid w:val="00B34549"/>
    <w:rsid w:val="00B3524D"/>
    <w:rsid w:val="00B354CC"/>
    <w:rsid w:val="00B4011A"/>
    <w:rsid w:val="00B40F69"/>
    <w:rsid w:val="00B40FFF"/>
    <w:rsid w:val="00B46616"/>
    <w:rsid w:val="00B478BC"/>
    <w:rsid w:val="00B50946"/>
    <w:rsid w:val="00B515A8"/>
    <w:rsid w:val="00B5248D"/>
    <w:rsid w:val="00B601E0"/>
    <w:rsid w:val="00B62149"/>
    <w:rsid w:val="00B64E78"/>
    <w:rsid w:val="00B7040A"/>
    <w:rsid w:val="00B73518"/>
    <w:rsid w:val="00B83391"/>
    <w:rsid w:val="00B84192"/>
    <w:rsid w:val="00B84A71"/>
    <w:rsid w:val="00B87C01"/>
    <w:rsid w:val="00B93154"/>
    <w:rsid w:val="00B95326"/>
    <w:rsid w:val="00B97CED"/>
    <w:rsid w:val="00BA295F"/>
    <w:rsid w:val="00BB5234"/>
    <w:rsid w:val="00BB7A60"/>
    <w:rsid w:val="00BB7C68"/>
    <w:rsid w:val="00BC042A"/>
    <w:rsid w:val="00BD4196"/>
    <w:rsid w:val="00BE0FBA"/>
    <w:rsid w:val="00BE10F9"/>
    <w:rsid w:val="00BE2D7D"/>
    <w:rsid w:val="00BE6E17"/>
    <w:rsid w:val="00BF023D"/>
    <w:rsid w:val="00BF21F8"/>
    <w:rsid w:val="00BF22CA"/>
    <w:rsid w:val="00BF23BB"/>
    <w:rsid w:val="00BF4F4A"/>
    <w:rsid w:val="00BF55CC"/>
    <w:rsid w:val="00BF5EFB"/>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1B9B"/>
    <w:rsid w:val="00CE3602"/>
    <w:rsid w:val="00CE5824"/>
    <w:rsid w:val="00CF20B6"/>
    <w:rsid w:val="00D01A25"/>
    <w:rsid w:val="00D06C8C"/>
    <w:rsid w:val="00D11C22"/>
    <w:rsid w:val="00D17E9D"/>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0D0F"/>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6345"/>
    <w:rsid w:val="00DE7DB7"/>
    <w:rsid w:val="00DF01B2"/>
    <w:rsid w:val="00DF09E9"/>
    <w:rsid w:val="00DF0EC0"/>
    <w:rsid w:val="00DF6D0A"/>
    <w:rsid w:val="00DF7CE2"/>
    <w:rsid w:val="00E00973"/>
    <w:rsid w:val="00E00A0A"/>
    <w:rsid w:val="00E03875"/>
    <w:rsid w:val="00E066DE"/>
    <w:rsid w:val="00E07F57"/>
    <w:rsid w:val="00E142AF"/>
    <w:rsid w:val="00E14C03"/>
    <w:rsid w:val="00E15329"/>
    <w:rsid w:val="00E17463"/>
    <w:rsid w:val="00E17E24"/>
    <w:rsid w:val="00E25182"/>
    <w:rsid w:val="00E25D2E"/>
    <w:rsid w:val="00E30683"/>
    <w:rsid w:val="00E453D8"/>
    <w:rsid w:val="00E47401"/>
    <w:rsid w:val="00E50BCE"/>
    <w:rsid w:val="00E51F18"/>
    <w:rsid w:val="00E52B70"/>
    <w:rsid w:val="00E53E2F"/>
    <w:rsid w:val="00E574BF"/>
    <w:rsid w:val="00E57959"/>
    <w:rsid w:val="00E61292"/>
    <w:rsid w:val="00E61AB9"/>
    <w:rsid w:val="00E6703A"/>
    <w:rsid w:val="00E67616"/>
    <w:rsid w:val="00E75E86"/>
    <w:rsid w:val="00E77C4D"/>
    <w:rsid w:val="00E81D01"/>
    <w:rsid w:val="00E83B41"/>
    <w:rsid w:val="00E841E4"/>
    <w:rsid w:val="00E845A5"/>
    <w:rsid w:val="00E848CE"/>
    <w:rsid w:val="00E85E57"/>
    <w:rsid w:val="00E95E09"/>
    <w:rsid w:val="00EA4A5B"/>
    <w:rsid w:val="00EA53CE"/>
    <w:rsid w:val="00EB1955"/>
    <w:rsid w:val="00EB5DB7"/>
    <w:rsid w:val="00EB5FC7"/>
    <w:rsid w:val="00EB71D2"/>
    <w:rsid w:val="00EB772A"/>
    <w:rsid w:val="00EC0100"/>
    <w:rsid w:val="00EC3926"/>
    <w:rsid w:val="00EC7B40"/>
    <w:rsid w:val="00ED345E"/>
    <w:rsid w:val="00ED4DFD"/>
    <w:rsid w:val="00ED5594"/>
    <w:rsid w:val="00ED56AC"/>
    <w:rsid w:val="00ED5C52"/>
    <w:rsid w:val="00ED7C65"/>
    <w:rsid w:val="00EE1E3E"/>
    <w:rsid w:val="00EE45D8"/>
    <w:rsid w:val="00EF488C"/>
    <w:rsid w:val="00EF49CF"/>
    <w:rsid w:val="00F040D9"/>
    <w:rsid w:val="00F115EC"/>
    <w:rsid w:val="00F15CE3"/>
    <w:rsid w:val="00F179F0"/>
    <w:rsid w:val="00F22EDA"/>
    <w:rsid w:val="00F246FD"/>
    <w:rsid w:val="00F301F6"/>
    <w:rsid w:val="00F34B59"/>
    <w:rsid w:val="00F41E63"/>
    <w:rsid w:val="00F563E7"/>
    <w:rsid w:val="00F63267"/>
    <w:rsid w:val="00F729E6"/>
    <w:rsid w:val="00F74FA7"/>
    <w:rsid w:val="00F75D7A"/>
    <w:rsid w:val="00F760DA"/>
    <w:rsid w:val="00F84B01"/>
    <w:rsid w:val="00F85BA0"/>
    <w:rsid w:val="00F86A0A"/>
    <w:rsid w:val="00F97364"/>
    <w:rsid w:val="00FA040C"/>
    <w:rsid w:val="00FA1DB5"/>
    <w:rsid w:val="00FA608B"/>
    <w:rsid w:val="00FA6DBD"/>
    <w:rsid w:val="00FB0582"/>
    <w:rsid w:val="00FB05E3"/>
    <w:rsid w:val="00FB66A9"/>
    <w:rsid w:val="00FB6DB1"/>
    <w:rsid w:val="00FC244D"/>
    <w:rsid w:val="00FC4DDB"/>
    <w:rsid w:val="00FD3222"/>
    <w:rsid w:val="00FE20E0"/>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51D1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7638</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2018-09-05T14:01:00Z</dcterms:created>
  <dcterms:modified xsi:type="dcterms:W3CDTF">2018-09-05T14:01:00Z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