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5F1515" w:rsidRDefault="00CD368B" w:rsidP="008A6059">
      <w:pPr>
        <w:jc w:val="center"/>
        <w:rPr>
          <w:rFonts w:ascii="Book Antiqua" w:hAnsi="Book Antiqua" w:cs="Arial"/>
          <w:caps/>
          <w:color w:val="000000"/>
          <w:sz w:val="16"/>
          <w:szCs w:val="16"/>
        </w:rPr>
      </w:pPr>
      <w:r w:rsidRPr="005F1515">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5F1515"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891B40">
        <w:rPr>
          <w:rFonts w:ascii="Book Antiqua" w:hAnsi="Book Antiqua" w:cs="Arial"/>
          <w:caps/>
          <w:color w:val="000000"/>
        </w:rPr>
        <w:t>pa/10269/2017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B2BF7">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85301">
              <w:rPr>
                <w:rFonts w:ascii="Book Antiqua" w:hAnsi="Book Antiqua" w:cs="Arial"/>
                <w:b/>
              </w:rPr>
              <w:t>3 May 2018</w:t>
            </w:r>
          </w:p>
        </w:tc>
        <w:tc>
          <w:tcPr>
            <w:tcW w:w="3960" w:type="dxa"/>
          </w:tcPr>
          <w:p w:rsidR="00D22636" w:rsidRPr="009B7433" w:rsidRDefault="003571EF" w:rsidP="004A1848">
            <w:pPr>
              <w:jc w:val="both"/>
              <w:rPr>
                <w:rFonts w:ascii="Book Antiqua" w:hAnsi="Book Antiqua" w:cs="Arial"/>
                <w:b/>
              </w:rPr>
            </w:pPr>
            <w:r>
              <w:rPr>
                <w:rFonts w:ascii="Book Antiqua" w:hAnsi="Book Antiqua" w:cs="Arial"/>
                <w:b/>
              </w:rPr>
              <w:t xml:space="preserve">On 24 May 2018 </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4A2D15" w:rsidP="00891B40">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F6102" w:rsidP="00A15234">
      <w:pPr>
        <w:jc w:val="center"/>
        <w:rPr>
          <w:rFonts w:ascii="Book Antiqua" w:hAnsi="Book Antiqua" w:cs="Arial"/>
          <w:b/>
          <w:caps/>
        </w:rPr>
      </w:pPr>
      <w:r>
        <w:rPr>
          <w:rFonts w:ascii="Book Antiqua" w:hAnsi="Book Antiqua" w:cs="Arial"/>
          <w:b/>
          <w:caps/>
        </w:rPr>
        <w:t>M E H</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330680">
        <w:rPr>
          <w:rFonts w:ascii="Book Antiqua" w:hAnsi="Book Antiqua" w:cs="Arial"/>
          <w:b/>
          <w:caps/>
        </w:rPr>
        <w:t>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104C2"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94C62">
        <w:rPr>
          <w:rFonts w:ascii="Book Antiqua" w:hAnsi="Book Antiqua" w:cs="Arial"/>
        </w:rPr>
        <w:t>Mr A Reza</w:t>
      </w:r>
      <w:r w:rsidR="00330680">
        <w:rPr>
          <w:rFonts w:ascii="Book Antiqua" w:hAnsi="Book Antiqua" w:cs="Arial"/>
        </w:rPr>
        <w:t>, instructed by JKR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94C62">
        <w:rPr>
          <w:rFonts w:ascii="Book Antiqua" w:hAnsi="Book Antiqua" w:cs="Arial"/>
        </w:rPr>
        <w:t>Ms A Everett</w:t>
      </w:r>
      <w:r w:rsidR="00330680">
        <w:rPr>
          <w:rFonts w:ascii="Book Antiqua" w:hAnsi="Book Antiqua" w:cs="Arial"/>
        </w:rPr>
        <w:t>,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330680" w:rsidRDefault="00914D08" w:rsidP="00273201">
      <w:pPr>
        <w:numPr>
          <w:ilvl w:val="0"/>
          <w:numId w:val="1"/>
        </w:numPr>
        <w:tabs>
          <w:tab w:val="clear" w:pos="567"/>
        </w:tabs>
        <w:spacing w:before="240"/>
        <w:rPr>
          <w:rFonts w:ascii="Book Antiqua" w:hAnsi="Book Antiqua" w:cs="Arial"/>
        </w:rPr>
      </w:pPr>
      <w:r>
        <w:rPr>
          <w:rFonts w:ascii="Book Antiqua" w:hAnsi="Book Antiqua" w:cs="Arial"/>
        </w:rPr>
        <w:t>The appellant is a citizen of Bangladesh born on 7 October 1997</w:t>
      </w:r>
      <w:r w:rsidR="00330680">
        <w:rPr>
          <w:rFonts w:ascii="Book Antiqua" w:hAnsi="Book Antiqua" w:cs="Arial"/>
        </w:rPr>
        <w:t xml:space="preserve"> who</w:t>
      </w:r>
      <w:r>
        <w:rPr>
          <w:rFonts w:ascii="Book Antiqua" w:hAnsi="Book Antiqua" w:cs="Arial"/>
        </w:rPr>
        <w:t xml:space="preserve"> came to the</w:t>
      </w:r>
      <w:r w:rsidR="00330680">
        <w:rPr>
          <w:rFonts w:ascii="Book Antiqua" w:hAnsi="Book Antiqua" w:cs="Arial"/>
        </w:rPr>
        <w:t xml:space="preserve"> UK in 2011 aged 14 as a visitor. O</w:t>
      </w:r>
      <w:r>
        <w:rPr>
          <w:rFonts w:ascii="Book Antiqua" w:hAnsi="Book Antiqua" w:cs="Arial"/>
        </w:rPr>
        <w:t>n 30 March 2017 he applied for asylum.  His application was refused on 28 September 2017.  He appealed to the First-tier Tribunal where his appeal was heard by Judge Oliver</w:t>
      </w:r>
      <w:r w:rsidR="00CD368B">
        <w:rPr>
          <w:rFonts w:ascii="Book Antiqua" w:hAnsi="Book Antiqua" w:cs="Arial"/>
        </w:rPr>
        <w:t>.  I</w:t>
      </w:r>
      <w:r>
        <w:rPr>
          <w:rFonts w:ascii="Book Antiqua" w:hAnsi="Book Antiqua" w:cs="Arial"/>
        </w:rPr>
        <w:t>n a decision promulgated on 13 December 2017 the appeal was dismissed.</w:t>
      </w:r>
      <w:r w:rsidR="00CD368B">
        <w:rPr>
          <w:rFonts w:ascii="Book Antiqua" w:hAnsi="Book Antiqua" w:cs="Arial"/>
        </w:rPr>
        <w:t xml:space="preserve">  The appellant is now appealing against that decision. </w:t>
      </w:r>
    </w:p>
    <w:p w:rsidR="00330680" w:rsidRDefault="00CD368B" w:rsidP="00273201">
      <w:pPr>
        <w:numPr>
          <w:ilvl w:val="0"/>
          <w:numId w:val="1"/>
        </w:numPr>
        <w:tabs>
          <w:tab w:val="clear" w:pos="567"/>
        </w:tabs>
        <w:spacing w:before="240"/>
        <w:rPr>
          <w:rFonts w:ascii="Book Antiqua" w:hAnsi="Book Antiqua" w:cs="Arial"/>
        </w:rPr>
      </w:pPr>
      <w:r>
        <w:rPr>
          <w:rFonts w:ascii="Book Antiqua" w:hAnsi="Book Antiqua" w:cs="Arial"/>
        </w:rPr>
        <w:t>The appellant’s asylum claim is based on his sexuality</w:t>
      </w:r>
      <w:r w:rsidR="00330680">
        <w:rPr>
          <w:rFonts w:ascii="Book Antiqua" w:hAnsi="Book Antiqua" w:cs="Arial"/>
        </w:rPr>
        <w:t xml:space="preserve"> -</w:t>
      </w:r>
      <w:r>
        <w:rPr>
          <w:rFonts w:ascii="Book Antiqua" w:hAnsi="Book Antiqua" w:cs="Arial"/>
        </w:rPr>
        <w:t xml:space="preserve"> that he is gay.  He claims that his family would kill him if he returned to Bangladesh.  </w:t>
      </w:r>
    </w:p>
    <w:p w:rsidR="00330680" w:rsidRDefault="00CD368B" w:rsidP="00273201">
      <w:pPr>
        <w:numPr>
          <w:ilvl w:val="0"/>
          <w:numId w:val="1"/>
        </w:numPr>
        <w:tabs>
          <w:tab w:val="clear" w:pos="567"/>
        </w:tabs>
        <w:spacing w:before="240"/>
        <w:rPr>
          <w:rFonts w:ascii="Book Antiqua" w:hAnsi="Book Antiqua" w:cs="Arial"/>
        </w:rPr>
      </w:pPr>
      <w:r>
        <w:rPr>
          <w:rFonts w:ascii="Book Antiqua" w:hAnsi="Book Antiqua" w:cs="Arial"/>
        </w:rPr>
        <w:lastRenderedPageBreak/>
        <w:t>The respondent did not accept that the appellant is gay or that he would be at risk from his family if returned to Bangladesh.  The respondent also found that the appellant could in any event relocate to Dhaka if he were genuinely in fear of his family.</w:t>
      </w:r>
    </w:p>
    <w:p w:rsidR="00330680" w:rsidRPr="00330680" w:rsidRDefault="00330680" w:rsidP="00330680">
      <w:pPr>
        <w:spacing w:before="240"/>
        <w:rPr>
          <w:rFonts w:ascii="Book Antiqua" w:hAnsi="Book Antiqua" w:cs="Arial"/>
          <w:b/>
        </w:rPr>
      </w:pPr>
      <w:r w:rsidRPr="00330680">
        <w:rPr>
          <w:rFonts w:ascii="Book Antiqua" w:hAnsi="Book Antiqua" w:cs="Arial"/>
          <w:b/>
        </w:rPr>
        <w:t>Decision of the First-tier Tribunal</w:t>
      </w:r>
      <w:r w:rsidR="00CD368B" w:rsidRPr="00330680">
        <w:rPr>
          <w:rFonts w:ascii="Book Antiqua" w:hAnsi="Book Antiqua" w:cs="Arial"/>
          <w:b/>
        </w:rPr>
        <w:t xml:space="preserve">  </w:t>
      </w:r>
    </w:p>
    <w:p w:rsidR="009D348A" w:rsidRDefault="00CD368B" w:rsidP="00273201">
      <w:pPr>
        <w:numPr>
          <w:ilvl w:val="0"/>
          <w:numId w:val="1"/>
        </w:numPr>
        <w:tabs>
          <w:tab w:val="clear" w:pos="567"/>
        </w:tabs>
        <w:spacing w:before="240"/>
        <w:rPr>
          <w:rFonts w:ascii="Book Antiqua" w:hAnsi="Book Antiqua" w:cs="Arial"/>
        </w:rPr>
      </w:pPr>
      <w:r>
        <w:rPr>
          <w:rFonts w:ascii="Book Antiqua" w:hAnsi="Book Antiqua" w:cs="Arial"/>
        </w:rPr>
        <w:t>The appellant’s appeal in the First-tier Tribunal was heard by Judge Oliver.  Judge Oliver found that the appellant had failed to demonstrate he was gay.  He gave the following reasons</w:t>
      </w:r>
      <w:r w:rsidR="00330680">
        <w:rPr>
          <w:rFonts w:ascii="Book Antiqua" w:hAnsi="Book Antiqua" w:cs="Arial"/>
        </w:rPr>
        <w:t>:</w:t>
      </w:r>
    </w:p>
    <w:p w:rsidR="002C7C6F" w:rsidRPr="00330680" w:rsidRDefault="004135DF" w:rsidP="00330680">
      <w:pPr>
        <w:pStyle w:val="ListParagraph"/>
        <w:numPr>
          <w:ilvl w:val="1"/>
          <w:numId w:val="1"/>
        </w:numPr>
        <w:spacing w:before="240"/>
        <w:rPr>
          <w:rFonts w:ascii="Book Antiqua" w:hAnsi="Book Antiqua" w:cs="Arial"/>
        </w:rPr>
      </w:pPr>
      <w:r>
        <w:rPr>
          <w:rFonts w:ascii="Book Antiqua" w:hAnsi="Book Antiqua" w:cs="Arial"/>
        </w:rPr>
        <w:t>The appellant could not remember the name of one of the two gay bars he claimed t</w:t>
      </w:r>
      <w:r w:rsidRPr="00330680">
        <w:rPr>
          <w:rFonts w:ascii="Book Antiqua" w:hAnsi="Book Antiqua" w:cs="Arial"/>
        </w:rPr>
        <w:t>o have visited or the name of the gay organisation he claimed his friend established.</w:t>
      </w:r>
    </w:p>
    <w:p w:rsidR="005B5C4C" w:rsidRDefault="005B5C4C" w:rsidP="005B5C4C">
      <w:pPr>
        <w:pStyle w:val="ListParagraph"/>
        <w:spacing w:before="240"/>
        <w:ind w:left="1134"/>
        <w:rPr>
          <w:rFonts w:ascii="Book Antiqua" w:hAnsi="Book Antiqua" w:cs="Arial"/>
        </w:rPr>
      </w:pPr>
    </w:p>
    <w:p w:rsidR="004135DF" w:rsidRDefault="004135DF" w:rsidP="004135DF">
      <w:pPr>
        <w:pStyle w:val="ListParagraph"/>
        <w:numPr>
          <w:ilvl w:val="1"/>
          <w:numId w:val="1"/>
        </w:numPr>
        <w:spacing w:before="240"/>
        <w:rPr>
          <w:rFonts w:ascii="Book Antiqua" w:hAnsi="Book Antiqua" w:cs="Arial"/>
        </w:rPr>
      </w:pPr>
      <w:r>
        <w:rPr>
          <w:rFonts w:ascii="Book Antiqua" w:hAnsi="Book Antiqua" w:cs="Arial"/>
        </w:rPr>
        <w:t>Although one of the witnesses who attended the hearing in support of the appellant said he had seen the appellant having sex in a gay bar the judge believed this could be fabricated</w:t>
      </w:r>
      <w:r w:rsidR="00330680">
        <w:rPr>
          <w:rFonts w:ascii="Book Antiqua" w:hAnsi="Book Antiqua" w:cs="Arial"/>
        </w:rPr>
        <w:t>,</w:t>
      </w:r>
      <w:r>
        <w:rPr>
          <w:rFonts w:ascii="Book Antiqua" w:hAnsi="Book Antiqua" w:cs="Arial"/>
        </w:rPr>
        <w:t xml:space="preserve"> stating at paragraph 27 </w:t>
      </w:r>
    </w:p>
    <w:p w:rsidR="004135DF" w:rsidRDefault="004135DF" w:rsidP="004135DF">
      <w:pPr>
        <w:pStyle w:val="ListParagraph"/>
        <w:spacing w:before="240"/>
        <w:ind w:left="1134"/>
        <w:rPr>
          <w:rFonts w:ascii="Book Antiqua" w:hAnsi="Book Antiqua" w:cs="Arial"/>
        </w:rPr>
      </w:pPr>
    </w:p>
    <w:p w:rsidR="004135DF" w:rsidRPr="00ED79F1" w:rsidRDefault="004135DF" w:rsidP="004135DF">
      <w:pPr>
        <w:pStyle w:val="ListParagraph"/>
        <w:spacing w:before="240"/>
        <w:ind w:left="1701"/>
        <w:rPr>
          <w:rFonts w:ascii="Book Antiqua" w:hAnsi="Book Antiqua" w:cs="Arial"/>
          <w:sz w:val="22"/>
          <w:szCs w:val="22"/>
        </w:rPr>
      </w:pPr>
      <w:r w:rsidRPr="00ED79F1">
        <w:rPr>
          <w:rFonts w:ascii="Book Antiqua" w:hAnsi="Book Antiqua" w:cs="Arial"/>
          <w:sz w:val="22"/>
          <w:szCs w:val="22"/>
        </w:rPr>
        <w:t>“One of his witnesses said that he had seen the appellant having sex in gay bars but I assume because of the limits of public decency that he was not referring</w:t>
      </w:r>
      <w:r w:rsidR="00330680">
        <w:rPr>
          <w:rFonts w:ascii="Book Antiqua" w:hAnsi="Book Antiqua" w:cs="Arial"/>
          <w:sz w:val="22"/>
          <w:szCs w:val="22"/>
        </w:rPr>
        <w:t xml:space="preserve"> to any full sexual act. M</w:t>
      </w:r>
      <w:r w:rsidRPr="00ED79F1">
        <w:rPr>
          <w:rFonts w:ascii="Book Antiqua" w:hAnsi="Book Antiqua" w:cs="Arial"/>
          <w:sz w:val="22"/>
          <w:szCs w:val="22"/>
        </w:rPr>
        <w:t>ore limited behaviour is not impossible to fabricate.”</w:t>
      </w:r>
    </w:p>
    <w:p w:rsidR="005B5C4C" w:rsidRDefault="005B5C4C" w:rsidP="004135DF">
      <w:pPr>
        <w:pStyle w:val="ListParagraph"/>
        <w:spacing w:before="240"/>
        <w:ind w:left="1701"/>
        <w:rPr>
          <w:rFonts w:ascii="Book Antiqua" w:hAnsi="Book Antiqua" w:cs="Arial"/>
        </w:rPr>
      </w:pPr>
    </w:p>
    <w:p w:rsidR="004135DF" w:rsidRDefault="004135DF" w:rsidP="004135DF">
      <w:pPr>
        <w:pStyle w:val="ListParagraph"/>
        <w:numPr>
          <w:ilvl w:val="1"/>
          <w:numId w:val="1"/>
        </w:numPr>
        <w:spacing w:before="240"/>
        <w:rPr>
          <w:rFonts w:ascii="Book Antiqua" w:hAnsi="Book Antiqua" w:cs="Arial"/>
        </w:rPr>
      </w:pPr>
      <w:r>
        <w:rPr>
          <w:rFonts w:ascii="Book Antiqua" w:hAnsi="Book Antiqua" w:cs="Arial"/>
        </w:rPr>
        <w:t>The appellant gave contradictory explanations for why a friend who he claimed knew of his sexuality had not attended the hearing.  The cont</w:t>
      </w:r>
      <w:r w:rsidR="00FF5C38">
        <w:rPr>
          <w:rFonts w:ascii="Book Antiqua" w:hAnsi="Book Antiqua" w:cs="Arial"/>
        </w:rPr>
        <w:t xml:space="preserve">radiction was that he said </w:t>
      </w:r>
      <w:r>
        <w:rPr>
          <w:rFonts w:ascii="Book Antiqua" w:hAnsi="Book Antiqua" w:cs="Arial"/>
        </w:rPr>
        <w:t>he had asked his friend to attend but his friend had declined whereas he also stated that he was no longer in contact with this friend.</w:t>
      </w:r>
    </w:p>
    <w:p w:rsidR="005B5C4C" w:rsidRDefault="005B5C4C" w:rsidP="005B5C4C">
      <w:pPr>
        <w:pStyle w:val="ListParagraph"/>
        <w:spacing w:before="240"/>
        <w:ind w:left="1134"/>
        <w:rPr>
          <w:rFonts w:ascii="Book Antiqua" w:hAnsi="Book Antiqua" w:cs="Arial"/>
        </w:rPr>
      </w:pPr>
    </w:p>
    <w:p w:rsidR="00330680" w:rsidRDefault="00330680" w:rsidP="004135DF">
      <w:pPr>
        <w:pStyle w:val="ListParagraph"/>
        <w:numPr>
          <w:ilvl w:val="1"/>
          <w:numId w:val="1"/>
        </w:numPr>
        <w:spacing w:before="240"/>
        <w:rPr>
          <w:rFonts w:ascii="Book Antiqua" w:hAnsi="Book Antiqua" w:cs="Arial"/>
        </w:rPr>
      </w:pPr>
      <w:r>
        <w:rPr>
          <w:rFonts w:ascii="Book Antiqua" w:hAnsi="Book Antiqua" w:cs="Arial"/>
        </w:rPr>
        <w:t>The appellant</w:t>
      </w:r>
      <w:r w:rsidR="004135DF">
        <w:rPr>
          <w:rFonts w:ascii="Book Antiqua" w:hAnsi="Book Antiqua" w:cs="Arial"/>
        </w:rPr>
        <w:t xml:space="preserve"> gave inconsistent reasons why he did not reveal his sexuality when presented with a One-Stop Notice in February 2014.  The inconsistency identi</w:t>
      </w:r>
      <w:r>
        <w:rPr>
          <w:rFonts w:ascii="Book Antiqua" w:hAnsi="Book Antiqua" w:cs="Arial"/>
        </w:rPr>
        <w:t>fied by the judge was that the a</w:t>
      </w:r>
      <w:r w:rsidR="004135DF">
        <w:rPr>
          <w:rFonts w:ascii="Book Antiqua" w:hAnsi="Book Antiqua" w:cs="Arial"/>
        </w:rPr>
        <w:t xml:space="preserve">ppellant stated he knew nothing of the application as it was made by his aunt but then said he did not mention he was gay because he did not know he could claim asylum on this basis.  </w:t>
      </w:r>
    </w:p>
    <w:p w:rsidR="00330680" w:rsidRPr="00330680" w:rsidRDefault="00330680" w:rsidP="00330680">
      <w:pPr>
        <w:pStyle w:val="ListParagraph"/>
        <w:rPr>
          <w:rFonts w:ascii="Book Antiqua" w:hAnsi="Book Antiqua" w:cs="Arial"/>
        </w:rPr>
      </w:pPr>
    </w:p>
    <w:p w:rsidR="00330680" w:rsidRDefault="004135DF" w:rsidP="00330680">
      <w:pPr>
        <w:pStyle w:val="ListParagraph"/>
        <w:numPr>
          <w:ilvl w:val="0"/>
          <w:numId w:val="1"/>
        </w:numPr>
        <w:spacing w:before="240"/>
        <w:rPr>
          <w:rFonts w:ascii="Book Antiqua" w:hAnsi="Book Antiqua" w:cs="Arial"/>
        </w:rPr>
      </w:pPr>
      <w:r>
        <w:rPr>
          <w:rFonts w:ascii="Book Antiqua" w:hAnsi="Book Antiqua" w:cs="Arial"/>
        </w:rPr>
        <w:t xml:space="preserve">The judge also found that even if the appellant </w:t>
      </w:r>
      <w:r w:rsidR="003E04D1">
        <w:rPr>
          <w:rFonts w:ascii="Book Antiqua" w:hAnsi="Book Antiqua" w:cs="Arial"/>
        </w:rPr>
        <w:t>were gay he would be discreet</w:t>
      </w:r>
      <w:r>
        <w:rPr>
          <w:rFonts w:ascii="Book Antiqua" w:hAnsi="Book Antiqua" w:cs="Arial"/>
        </w:rPr>
        <w:t xml:space="preserve"> if returned to Bangladesh. His reason for this finding was that the appellant</w:t>
      </w:r>
      <w:r w:rsidR="00330680">
        <w:rPr>
          <w:rFonts w:ascii="Book Antiqua" w:hAnsi="Book Antiqua" w:cs="Arial"/>
        </w:rPr>
        <w:t>’s own account was that he</w:t>
      </w:r>
      <w:r>
        <w:rPr>
          <w:rFonts w:ascii="Book Antiqua" w:hAnsi="Book Antiqua" w:cs="Arial"/>
        </w:rPr>
        <w:t xml:space="preserve"> had not expressed his sexua</w:t>
      </w:r>
      <w:r w:rsidR="00873014">
        <w:rPr>
          <w:rFonts w:ascii="Book Antiqua" w:hAnsi="Book Antiqua" w:cs="Arial"/>
        </w:rPr>
        <w:t>lity outside the confines of a</w:t>
      </w:r>
      <w:r w:rsidR="00330680">
        <w:rPr>
          <w:rFonts w:ascii="Book Antiqua" w:hAnsi="Book Antiqua" w:cs="Arial"/>
        </w:rPr>
        <w:t xml:space="preserve"> gay environment </w:t>
      </w:r>
      <w:r>
        <w:rPr>
          <w:rFonts w:ascii="Book Antiqua" w:hAnsi="Book Antiqua" w:cs="Arial"/>
        </w:rPr>
        <w:t xml:space="preserve">and </w:t>
      </w:r>
      <w:r w:rsidR="00330680">
        <w:rPr>
          <w:rFonts w:ascii="Book Antiqua" w:hAnsi="Book Antiqua" w:cs="Arial"/>
        </w:rPr>
        <w:t xml:space="preserve">had only </w:t>
      </w:r>
      <w:r>
        <w:rPr>
          <w:rFonts w:ascii="Book Antiqua" w:hAnsi="Book Antiqua" w:cs="Arial"/>
        </w:rPr>
        <w:t xml:space="preserve">informed three people of his sexuality.  </w:t>
      </w:r>
    </w:p>
    <w:p w:rsidR="00330680" w:rsidRDefault="00330680" w:rsidP="00330680">
      <w:pPr>
        <w:pStyle w:val="ListParagraph"/>
        <w:spacing w:before="240"/>
        <w:ind w:left="567"/>
        <w:rPr>
          <w:rFonts w:ascii="Book Antiqua" w:hAnsi="Book Antiqua" w:cs="Arial"/>
        </w:rPr>
      </w:pPr>
    </w:p>
    <w:p w:rsidR="005B5C4C" w:rsidRDefault="004135DF" w:rsidP="00330680">
      <w:pPr>
        <w:pStyle w:val="ListParagraph"/>
        <w:numPr>
          <w:ilvl w:val="0"/>
          <w:numId w:val="1"/>
        </w:numPr>
        <w:spacing w:before="240"/>
        <w:rPr>
          <w:rFonts w:ascii="Book Antiqua" w:hAnsi="Book Antiqua" w:cs="Arial"/>
        </w:rPr>
      </w:pPr>
      <w:r>
        <w:rPr>
          <w:rFonts w:ascii="Book Antiqua" w:hAnsi="Book Antiqua" w:cs="Arial"/>
        </w:rPr>
        <w:t xml:space="preserve">The judge also considered in the alternative the appellant’s risk on return if he were gay and concluded that he could safely return to Dhaka.  </w:t>
      </w:r>
      <w:r w:rsidR="00330680">
        <w:rPr>
          <w:rFonts w:ascii="Book Antiqua" w:hAnsi="Book Antiqua" w:cs="Arial"/>
        </w:rPr>
        <w:t>At paragraph 28 the judge quoted the respondent’s 2016 policy document, stating:</w:t>
      </w:r>
    </w:p>
    <w:p w:rsidR="005B5C4C" w:rsidRPr="005B5C4C" w:rsidRDefault="005B5C4C" w:rsidP="005B5C4C">
      <w:pPr>
        <w:pStyle w:val="ListParagraph"/>
        <w:rPr>
          <w:rFonts w:ascii="Book Antiqua" w:hAnsi="Book Antiqua" w:cs="Arial"/>
        </w:rPr>
      </w:pPr>
    </w:p>
    <w:p w:rsidR="005B5C4C" w:rsidRPr="0073004B" w:rsidRDefault="003F1501" w:rsidP="0073004B">
      <w:pPr>
        <w:pStyle w:val="ListParagraph"/>
        <w:spacing w:before="240"/>
        <w:ind w:left="1701"/>
        <w:rPr>
          <w:rFonts w:ascii="Book Antiqua" w:hAnsi="Book Antiqua" w:cs="Arial"/>
          <w:sz w:val="22"/>
          <w:szCs w:val="22"/>
        </w:rPr>
      </w:pPr>
      <w:r>
        <w:rPr>
          <w:rFonts w:ascii="Book Antiqua" w:hAnsi="Book Antiqua" w:cs="Arial"/>
          <w:sz w:val="22"/>
          <w:szCs w:val="22"/>
        </w:rPr>
        <w:t>“</w:t>
      </w:r>
      <w:r w:rsidR="005B5C4C" w:rsidRPr="0073004B">
        <w:rPr>
          <w:rFonts w:ascii="Book Antiqua" w:hAnsi="Book Antiqua" w:cs="Arial"/>
          <w:sz w:val="22"/>
          <w:szCs w:val="22"/>
        </w:rPr>
        <w:t>It would not in general be unreasonable or unduly harsh for such a person able to demonstrate a real risk in his home area because of his particular circumstances to relocate internally.  Consideration must be given to the reach of the family network and how persistent and influential they are</w:t>
      </w:r>
      <w:r w:rsidR="00330680">
        <w:rPr>
          <w:rFonts w:ascii="Book Antiqua" w:hAnsi="Book Antiqua" w:cs="Arial"/>
          <w:sz w:val="22"/>
          <w:szCs w:val="22"/>
        </w:rPr>
        <w:t>. I</w:t>
      </w:r>
      <w:r w:rsidR="005B5C4C" w:rsidRPr="0073004B">
        <w:rPr>
          <w:rFonts w:ascii="Book Antiqua" w:hAnsi="Book Antiqua" w:cs="Arial"/>
          <w:sz w:val="22"/>
          <w:szCs w:val="22"/>
        </w:rPr>
        <w:t xml:space="preserve">nternal relocation is not the answer if it depends on the person concealing their sexual </w:t>
      </w:r>
      <w:r w:rsidR="005B5C4C" w:rsidRPr="0073004B">
        <w:rPr>
          <w:rFonts w:ascii="Book Antiqua" w:hAnsi="Book Antiqua" w:cs="Arial"/>
          <w:sz w:val="22"/>
          <w:szCs w:val="22"/>
        </w:rPr>
        <w:lastRenderedPageBreak/>
        <w:t>orientation or gender identity in the proposed new location for fear of persecution.”</w:t>
      </w:r>
    </w:p>
    <w:p w:rsidR="00CD368B" w:rsidRPr="00746835" w:rsidRDefault="00746835" w:rsidP="00746835">
      <w:pPr>
        <w:spacing w:before="240"/>
        <w:rPr>
          <w:rFonts w:ascii="Book Antiqua" w:hAnsi="Book Antiqua" w:cs="Arial"/>
          <w:b/>
          <w:u w:val="single"/>
        </w:rPr>
      </w:pPr>
      <w:r w:rsidRPr="00746835">
        <w:rPr>
          <w:rFonts w:ascii="Book Antiqua" w:hAnsi="Book Antiqua" w:cs="Arial"/>
          <w:b/>
          <w:u w:val="single"/>
        </w:rPr>
        <w:t>Grounds of Appeal</w:t>
      </w:r>
    </w:p>
    <w:p w:rsidR="00330680" w:rsidRDefault="00746835" w:rsidP="00273201">
      <w:pPr>
        <w:numPr>
          <w:ilvl w:val="0"/>
          <w:numId w:val="1"/>
        </w:numPr>
        <w:tabs>
          <w:tab w:val="clear" w:pos="567"/>
        </w:tabs>
        <w:spacing w:before="240"/>
        <w:rPr>
          <w:rFonts w:ascii="Book Antiqua" w:hAnsi="Book Antiqua" w:cs="Arial"/>
        </w:rPr>
      </w:pPr>
      <w:r>
        <w:rPr>
          <w:rFonts w:ascii="Book Antiqua" w:hAnsi="Book Antiqua" w:cs="Arial"/>
        </w:rPr>
        <w:t>The grounds of appeal argue that the judge failed to properly assess the oral evidence of witnesses about the appellant’s sexual activity.  The grounds observe that one of the two witnesses mentioned seeing the appellant having sex in gay bars but at paragraph 27 the judge assumed this did not mean full se</w:t>
      </w:r>
      <w:r w:rsidR="00330680">
        <w:rPr>
          <w:rFonts w:ascii="Book Antiqua" w:hAnsi="Book Antiqua" w:cs="Arial"/>
        </w:rPr>
        <w:t>x without asking the witness what</w:t>
      </w:r>
      <w:r>
        <w:rPr>
          <w:rFonts w:ascii="Book Antiqua" w:hAnsi="Book Antiqua" w:cs="Arial"/>
        </w:rPr>
        <w:t xml:space="preserve"> in fact was meant.  This ground also refers to the other witness for the appellant who stated he had had sex with the appellant twice.  The </w:t>
      </w:r>
      <w:r w:rsidR="00330680">
        <w:rPr>
          <w:rFonts w:ascii="Book Antiqua" w:hAnsi="Book Antiqua" w:cs="Arial"/>
        </w:rPr>
        <w:t xml:space="preserve">argument </w:t>
      </w:r>
      <w:r>
        <w:rPr>
          <w:rFonts w:ascii="Book Antiqua" w:hAnsi="Book Antiqua" w:cs="Arial"/>
        </w:rPr>
        <w:t xml:space="preserve">made in the grounds is that the judge ignored this evidence without explaining why.  </w:t>
      </w:r>
    </w:p>
    <w:p w:rsidR="00746835" w:rsidRDefault="00746835" w:rsidP="00273201">
      <w:pPr>
        <w:numPr>
          <w:ilvl w:val="0"/>
          <w:numId w:val="1"/>
        </w:numPr>
        <w:tabs>
          <w:tab w:val="clear" w:pos="567"/>
        </w:tabs>
        <w:spacing w:before="240"/>
        <w:rPr>
          <w:rFonts w:ascii="Book Antiqua" w:hAnsi="Book Antiqua" w:cs="Arial"/>
        </w:rPr>
      </w:pPr>
      <w:r>
        <w:rPr>
          <w:rFonts w:ascii="Book Antiqua" w:hAnsi="Book Antiqua" w:cs="Arial"/>
        </w:rPr>
        <w:t>The second submission made in the grounds is that the judge failed to engage with the objective evidence</w:t>
      </w:r>
      <w:r w:rsidR="00330680">
        <w:rPr>
          <w:rFonts w:ascii="Book Antiqua" w:hAnsi="Book Antiqua" w:cs="Arial"/>
        </w:rPr>
        <w:t xml:space="preserve"> about </w:t>
      </w:r>
      <w:r w:rsidR="005F1515">
        <w:rPr>
          <w:rFonts w:ascii="Book Antiqua" w:hAnsi="Book Antiqua" w:cs="Arial"/>
        </w:rPr>
        <w:t>the risk</w:t>
      </w:r>
      <w:r w:rsidR="00330680">
        <w:rPr>
          <w:rFonts w:ascii="Book Antiqua" w:hAnsi="Book Antiqua" w:cs="Arial"/>
        </w:rPr>
        <w:t xml:space="preserve"> of persecution faced by gay men in Bangladesh.</w:t>
      </w:r>
      <w:r>
        <w:rPr>
          <w:rFonts w:ascii="Book Antiqua" w:hAnsi="Book Antiqua" w:cs="Arial"/>
        </w:rPr>
        <w:t xml:space="preserve">  It is argued that it is contrary to the objective evidence that was before the Tribunal to reach the conclusion that the appellant could safely relocate within Bangladesh.  </w:t>
      </w:r>
    </w:p>
    <w:p w:rsidR="00746835" w:rsidRPr="00746835" w:rsidRDefault="00746835" w:rsidP="00746835">
      <w:pPr>
        <w:spacing w:before="240"/>
        <w:rPr>
          <w:rFonts w:ascii="Book Antiqua" w:hAnsi="Book Antiqua" w:cs="Arial"/>
          <w:b/>
          <w:u w:val="single"/>
        </w:rPr>
      </w:pPr>
      <w:r w:rsidRPr="00746835">
        <w:rPr>
          <w:rFonts w:ascii="Book Antiqua" w:hAnsi="Book Antiqua" w:cs="Arial"/>
          <w:b/>
          <w:u w:val="single"/>
        </w:rPr>
        <w:t>Submissions</w:t>
      </w:r>
    </w:p>
    <w:p w:rsidR="00B607DF" w:rsidRDefault="00746835" w:rsidP="00273201">
      <w:pPr>
        <w:numPr>
          <w:ilvl w:val="0"/>
          <w:numId w:val="1"/>
        </w:numPr>
        <w:tabs>
          <w:tab w:val="clear" w:pos="567"/>
        </w:tabs>
        <w:spacing w:before="240"/>
        <w:rPr>
          <w:rFonts w:ascii="Book Antiqua" w:hAnsi="Book Antiqua" w:cs="Arial"/>
        </w:rPr>
      </w:pPr>
      <w:r>
        <w:rPr>
          <w:rFonts w:ascii="Book Antiqua" w:hAnsi="Book Antiqua" w:cs="Arial"/>
        </w:rPr>
        <w:t>Mr Reza</w:t>
      </w:r>
      <w:r w:rsidR="00330680">
        <w:rPr>
          <w:rFonts w:ascii="Book Antiqua" w:hAnsi="Book Antiqua" w:cs="Arial"/>
        </w:rPr>
        <w:t>,</w:t>
      </w:r>
      <w:r>
        <w:rPr>
          <w:rFonts w:ascii="Book Antiqua" w:hAnsi="Book Antiqua" w:cs="Arial"/>
        </w:rPr>
        <w:t xml:space="preserve"> on behalf of the appellant</w:t>
      </w:r>
      <w:r w:rsidR="00330680">
        <w:rPr>
          <w:rFonts w:ascii="Book Antiqua" w:hAnsi="Book Antiqua" w:cs="Arial"/>
        </w:rPr>
        <w:t>,</w:t>
      </w:r>
      <w:r>
        <w:rPr>
          <w:rFonts w:ascii="Book Antiqua" w:hAnsi="Book Antiqua" w:cs="Arial"/>
        </w:rPr>
        <w:t xml:space="preserve"> focused on the first ground arguing that the judge failed to engage with the evidence of the appellant’s two witnesses concerning the sexual activity of the appellant.  </w:t>
      </w:r>
    </w:p>
    <w:p w:rsidR="00B607DF" w:rsidRDefault="00746835" w:rsidP="00273201">
      <w:pPr>
        <w:numPr>
          <w:ilvl w:val="0"/>
          <w:numId w:val="1"/>
        </w:numPr>
        <w:tabs>
          <w:tab w:val="clear" w:pos="567"/>
        </w:tabs>
        <w:spacing w:before="240"/>
        <w:rPr>
          <w:rFonts w:ascii="Book Antiqua" w:hAnsi="Book Antiqua" w:cs="Arial"/>
        </w:rPr>
      </w:pPr>
      <w:r>
        <w:rPr>
          <w:rFonts w:ascii="Book Antiqua" w:hAnsi="Book Antiqua" w:cs="Arial"/>
        </w:rPr>
        <w:t xml:space="preserve">Ms Everett accepted that the judge had only dealt briefly with the witness evidence </w:t>
      </w:r>
      <w:r w:rsidR="00B607DF">
        <w:rPr>
          <w:rFonts w:ascii="Book Antiqua" w:hAnsi="Book Antiqua" w:cs="Arial"/>
        </w:rPr>
        <w:t xml:space="preserve">but </w:t>
      </w:r>
      <w:r>
        <w:rPr>
          <w:rFonts w:ascii="Book Antiqua" w:hAnsi="Book Antiqua" w:cs="Arial"/>
        </w:rPr>
        <w:t>argued that th</w:t>
      </w:r>
      <w:r w:rsidR="00B607DF">
        <w:rPr>
          <w:rFonts w:ascii="Book Antiqua" w:hAnsi="Book Antiqua" w:cs="Arial"/>
        </w:rPr>
        <w:t>e engagement with the evidence was</w:t>
      </w:r>
      <w:r>
        <w:rPr>
          <w:rFonts w:ascii="Book Antiqua" w:hAnsi="Book Antiqua" w:cs="Arial"/>
        </w:rPr>
        <w:t xml:space="preserve"> sufficient</w:t>
      </w:r>
      <w:r w:rsidR="00B607DF">
        <w:rPr>
          <w:rFonts w:ascii="Book Antiqua" w:hAnsi="Book Antiqua" w:cs="Arial"/>
        </w:rPr>
        <w:t xml:space="preserve">. She maintained </w:t>
      </w:r>
      <w:r>
        <w:rPr>
          <w:rFonts w:ascii="Book Antiqua" w:hAnsi="Book Antiqua" w:cs="Arial"/>
        </w:rPr>
        <w:t>that the judge gave cogent reasons for not find</w:t>
      </w:r>
      <w:r w:rsidR="00527987">
        <w:rPr>
          <w:rFonts w:ascii="Book Antiqua" w:hAnsi="Book Antiqua" w:cs="Arial"/>
        </w:rPr>
        <w:t>ing</w:t>
      </w:r>
      <w:r>
        <w:rPr>
          <w:rFonts w:ascii="Book Antiqua" w:hAnsi="Book Antiqua" w:cs="Arial"/>
        </w:rPr>
        <w:t xml:space="preserve"> the appellant credible which meant that even if the witness’ evidence about sexual activity had not been addressed sufficiently there were adequate reasons to ju</w:t>
      </w:r>
      <w:r w:rsidR="00B607DF">
        <w:rPr>
          <w:rFonts w:ascii="Book Antiqua" w:hAnsi="Book Antiqua" w:cs="Arial"/>
        </w:rPr>
        <w:t xml:space="preserve">stify the credibility finding. </w:t>
      </w:r>
    </w:p>
    <w:p w:rsidR="00746835" w:rsidRDefault="00746835" w:rsidP="00273201">
      <w:pPr>
        <w:numPr>
          <w:ilvl w:val="0"/>
          <w:numId w:val="1"/>
        </w:numPr>
        <w:tabs>
          <w:tab w:val="clear" w:pos="567"/>
        </w:tabs>
        <w:spacing w:before="240"/>
        <w:rPr>
          <w:rFonts w:ascii="Book Antiqua" w:hAnsi="Book Antiqua" w:cs="Arial"/>
        </w:rPr>
      </w:pPr>
      <w:r>
        <w:rPr>
          <w:rFonts w:ascii="Book Antiqua" w:hAnsi="Book Antiqua" w:cs="Arial"/>
        </w:rPr>
        <w:t xml:space="preserve">In </w:t>
      </w:r>
      <w:r w:rsidR="00B607DF">
        <w:rPr>
          <w:rFonts w:ascii="Book Antiqua" w:hAnsi="Book Antiqua" w:cs="Arial"/>
        </w:rPr>
        <w:t xml:space="preserve">respect of the argument </w:t>
      </w:r>
      <w:r>
        <w:rPr>
          <w:rFonts w:ascii="Book Antiqua" w:hAnsi="Book Antiqua" w:cs="Arial"/>
        </w:rPr>
        <w:t>that the judge failed to address the objective evidence regarding risk to gay men in Bangladesh</w:t>
      </w:r>
      <w:r w:rsidR="00B607DF">
        <w:rPr>
          <w:rFonts w:ascii="Book Antiqua" w:hAnsi="Book Antiqua" w:cs="Arial"/>
        </w:rPr>
        <w:t>,</w:t>
      </w:r>
      <w:r>
        <w:rPr>
          <w:rFonts w:ascii="Book Antiqua" w:hAnsi="Book Antiqua" w:cs="Arial"/>
        </w:rPr>
        <w:t xml:space="preserve"> M</w:t>
      </w:r>
      <w:r w:rsidR="00B262A5">
        <w:rPr>
          <w:rFonts w:ascii="Book Antiqua" w:hAnsi="Book Antiqua" w:cs="Arial"/>
        </w:rPr>
        <w:t>s Eve</w:t>
      </w:r>
      <w:r>
        <w:rPr>
          <w:rFonts w:ascii="Book Antiqua" w:hAnsi="Book Antiqua" w:cs="Arial"/>
        </w:rPr>
        <w:t>rett’s position was that the evidence show</w:t>
      </w:r>
      <w:r w:rsidR="00320132">
        <w:rPr>
          <w:rFonts w:ascii="Book Antiqua" w:hAnsi="Book Antiqua" w:cs="Arial"/>
        </w:rPr>
        <w:t>s that gay men behaving discreet</w:t>
      </w:r>
      <w:r>
        <w:rPr>
          <w:rFonts w:ascii="Book Antiqua" w:hAnsi="Book Antiqua" w:cs="Arial"/>
        </w:rPr>
        <w:t>ly would not be at risk.</w:t>
      </w:r>
    </w:p>
    <w:p w:rsidR="00746835" w:rsidRPr="00B262A5" w:rsidRDefault="00746835" w:rsidP="00746835">
      <w:pPr>
        <w:spacing w:before="240"/>
        <w:rPr>
          <w:rFonts w:ascii="Book Antiqua" w:hAnsi="Book Antiqua" w:cs="Arial"/>
          <w:b/>
          <w:u w:val="single"/>
        </w:rPr>
      </w:pPr>
      <w:r w:rsidRPr="00B262A5">
        <w:rPr>
          <w:rFonts w:ascii="Book Antiqua" w:hAnsi="Book Antiqua" w:cs="Arial"/>
          <w:b/>
          <w:u w:val="single"/>
        </w:rPr>
        <w:t>Analysis</w:t>
      </w:r>
    </w:p>
    <w:p w:rsidR="00B607DF" w:rsidRDefault="00B607DF" w:rsidP="00273201">
      <w:pPr>
        <w:numPr>
          <w:ilvl w:val="0"/>
          <w:numId w:val="1"/>
        </w:numPr>
        <w:tabs>
          <w:tab w:val="clear" w:pos="567"/>
        </w:tabs>
        <w:spacing w:before="240"/>
        <w:rPr>
          <w:rFonts w:ascii="Book Antiqua" w:hAnsi="Book Antiqua" w:cs="Arial"/>
        </w:rPr>
      </w:pPr>
      <w:r>
        <w:rPr>
          <w:rFonts w:ascii="Book Antiqua" w:hAnsi="Book Antiqua" w:cs="Arial"/>
        </w:rPr>
        <w:t xml:space="preserve">In addition to his own evidence, </w:t>
      </w:r>
      <w:r w:rsidR="009C195E">
        <w:rPr>
          <w:rFonts w:ascii="Book Antiqua" w:hAnsi="Book Antiqua" w:cs="Arial"/>
        </w:rPr>
        <w:t>the appellant relied on two witnesses to establish that he is gay.  Both witnesses gave oral evidence as well as short written sta</w:t>
      </w:r>
      <w:r>
        <w:rPr>
          <w:rFonts w:ascii="Book Antiqua" w:hAnsi="Book Antiqua" w:cs="Arial"/>
        </w:rPr>
        <w:t xml:space="preserve">tements.  One of the witnesses </w:t>
      </w:r>
      <w:r w:rsidR="009C195E">
        <w:rPr>
          <w:rFonts w:ascii="Book Antiqua" w:hAnsi="Book Antiqua" w:cs="Arial"/>
        </w:rPr>
        <w:t xml:space="preserve">stated in his written statement the following. </w:t>
      </w:r>
    </w:p>
    <w:p w:rsidR="00B607DF" w:rsidRPr="00B607DF" w:rsidRDefault="009C195E" w:rsidP="00B607DF">
      <w:pPr>
        <w:spacing w:before="240"/>
        <w:ind w:left="1134"/>
        <w:rPr>
          <w:rFonts w:ascii="Book Antiqua" w:hAnsi="Book Antiqua" w:cs="Arial"/>
          <w:sz w:val="22"/>
          <w:szCs w:val="22"/>
        </w:rPr>
      </w:pPr>
      <w:r w:rsidRPr="00B607DF">
        <w:rPr>
          <w:rFonts w:ascii="Book Antiqua" w:hAnsi="Book Antiqua" w:cs="Arial"/>
          <w:sz w:val="22"/>
          <w:szCs w:val="22"/>
        </w:rPr>
        <w:t>“I met</w:t>
      </w:r>
      <w:r w:rsidR="00B607DF">
        <w:rPr>
          <w:rFonts w:ascii="Book Antiqua" w:hAnsi="Book Antiqua" w:cs="Arial"/>
          <w:sz w:val="22"/>
          <w:szCs w:val="22"/>
        </w:rPr>
        <w:t xml:space="preserve"> him [the appellant]</w:t>
      </w:r>
      <w:r w:rsidRPr="00B607DF">
        <w:rPr>
          <w:rFonts w:ascii="Book Antiqua" w:hAnsi="Book Antiqua" w:cs="Arial"/>
          <w:sz w:val="22"/>
          <w:szCs w:val="22"/>
        </w:rPr>
        <w:t xml:space="preserve"> at Volt in early September 2017.  This is a gay club where people go for meeting with other gay men and to have sex…I confirm that twice I had sex with</w:t>
      </w:r>
      <w:r w:rsidR="004F4351">
        <w:rPr>
          <w:rFonts w:ascii="Book Antiqua" w:hAnsi="Book Antiqua" w:cs="Arial"/>
          <w:sz w:val="22"/>
          <w:szCs w:val="22"/>
        </w:rPr>
        <w:t xml:space="preserve"> [the appellant]</w:t>
      </w:r>
      <w:r w:rsidRPr="00B607DF">
        <w:rPr>
          <w:rFonts w:ascii="Book Antiqua" w:hAnsi="Book Antiqua" w:cs="Arial"/>
          <w:sz w:val="22"/>
          <w:szCs w:val="22"/>
        </w:rPr>
        <w:t xml:space="preserve">.”  </w:t>
      </w:r>
    </w:p>
    <w:p w:rsidR="00B607DF" w:rsidRDefault="009C195E" w:rsidP="00273201">
      <w:pPr>
        <w:numPr>
          <w:ilvl w:val="0"/>
          <w:numId w:val="1"/>
        </w:numPr>
        <w:tabs>
          <w:tab w:val="clear" w:pos="567"/>
        </w:tabs>
        <w:spacing w:before="240"/>
        <w:rPr>
          <w:rFonts w:ascii="Book Antiqua" w:hAnsi="Book Antiqua" w:cs="Arial"/>
        </w:rPr>
      </w:pPr>
      <w:r>
        <w:rPr>
          <w:rFonts w:ascii="Book Antiqua" w:hAnsi="Book Antiqua" w:cs="Arial"/>
        </w:rPr>
        <w:t xml:space="preserve">The other </w:t>
      </w:r>
      <w:r w:rsidR="00F013AA">
        <w:rPr>
          <w:rFonts w:ascii="Book Antiqua" w:hAnsi="Book Antiqua" w:cs="Arial"/>
        </w:rPr>
        <w:t>witness stated in his statement:</w:t>
      </w:r>
      <w:r>
        <w:rPr>
          <w:rFonts w:ascii="Book Antiqua" w:hAnsi="Book Antiqua" w:cs="Arial"/>
        </w:rPr>
        <w:t xml:space="preserve"> </w:t>
      </w:r>
    </w:p>
    <w:p w:rsidR="00B607DF" w:rsidRPr="00B607DF" w:rsidRDefault="00B607DF" w:rsidP="00B607DF">
      <w:pPr>
        <w:spacing w:before="240"/>
        <w:ind w:left="1134"/>
        <w:rPr>
          <w:rFonts w:ascii="Book Antiqua" w:hAnsi="Book Antiqua" w:cs="Arial"/>
          <w:sz w:val="22"/>
          <w:szCs w:val="22"/>
        </w:rPr>
      </w:pPr>
      <w:r>
        <w:rPr>
          <w:rFonts w:ascii="Book Antiqua" w:hAnsi="Book Antiqua" w:cs="Arial"/>
          <w:sz w:val="22"/>
          <w:szCs w:val="22"/>
        </w:rPr>
        <w:t>“I have seen [</w:t>
      </w:r>
      <w:r w:rsidR="009C195E" w:rsidRPr="00B607DF">
        <w:rPr>
          <w:rFonts w:ascii="Book Antiqua" w:hAnsi="Book Antiqua" w:cs="Arial"/>
          <w:sz w:val="22"/>
          <w:szCs w:val="22"/>
        </w:rPr>
        <w:t>the appell</w:t>
      </w:r>
      <w:r>
        <w:rPr>
          <w:rFonts w:ascii="Book Antiqua" w:hAnsi="Book Antiqua" w:cs="Arial"/>
          <w:sz w:val="22"/>
          <w:szCs w:val="22"/>
        </w:rPr>
        <w:t xml:space="preserve">ant] </w:t>
      </w:r>
      <w:r w:rsidR="009C195E" w:rsidRPr="00B607DF">
        <w:rPr>
          <w:rFonts w:ascii="Book Antiqua" w:hAnsi="Book Antiqua" w:cs="Arial"/>
          <w:sz w:val="22"/>
          <w:szCs w:val="22"/>
        </w:rPr>
        <w:t>dancing, kissing and having se</w:t>
      </w:r>
      <w:r>
        <w:rPr>
          <w:rFonts w:ascii="Book Antiqua" w:hAnsi="Book Antiqua" w:cs="Arial"/>
          <w:sz w:val="22"/>
          <w:szCs w:val="22"/>
        </w:rPr>
        <w:t>x with other gay men at clubs</w:t>
      </w:r>
      <w:proofErr w:type="gramStart"/>
      <w:r>
        <w:rPr>
          <w:rFonts w:ascii="Book Antiqua" w:hAnsi="Book Antiqua" w:cs="Arial"/>
          <w:sz w:val="22"/>
          <w:szCs w:val="22"/>
        </w:rPr>
        <w:t>....</w:t>
      </w:r>
      <w:r w:rsidR="009C195E" w:rsidRPr="00B607DF">
        <w:rPr>
          <w:rFonts w:ascii="Book Antiqua" w:hAnsi="Book Antiqua" w:cs="Arial"/>
          <w:sz w:val="22"/>
          <w:szCs w:val="22"/>
        </w:rPr>
        <w:t>I</w:t>
      </w:r>
      <w:proofErr w:type="gramEnd"/>
      <w:r w:rsidR="009C195E" w:rsidRPr="00B607DF">
        <w:rPr>
          <w:rFonts w:ascii="Book Antiqua" w:hAnsi="Book Antiqua" w:cs="Arial"/>
          <w:sz w:val="22"/>
          <w:szCs w:val="22"/>
        </w:rPr>
        <w:t xml:space="preserve"> met him at a</w:t>
      </w:r>
      <w:r w:rsidR="00D54E87" w:rsidRPr="00B607DF">
        <w:rPr>
          <w:rFonts w:ascii="Book Antiqua" w:hAnsi="Book Antiqua" w:cs="Arial"/>
          <w:sz w:val="22"/>
          <w:szCs w:val="22"/>
        </w:rPr>
        <w:t xml:space="preserve"> gay club called Gay B</w:t>
      </w:r>
      <w:r w:rsidR="009C195E" w:rsidRPr="00B607DF">
        <w:rPr>
          <w:rFonts w:ascii="Book Antiqua" w:hAnsi="Book Antiqua" w:cs="Arial"/>
          <w:sz w:val="22"/>
          <w:szCs w:val="22"/>
        </w:rPr>
        <w:t xml:space="preserve">ar in January 2017.  This is a club where people go for having gay sex.” </w:t>
      </w:r>
    </w:p>
    <w:p w:rsidR="00B607DF" w:rsidRPr="00B607DF" w:rsidRDefault="009C195E" w:rsidP="00B607DF">
      <w:pPr>
        <w:pStyle w:val="ListParagraph"/>
        <w:numPr>
          <w:ilvl w:val="0"/>
          <w:numId w:val="1"/>
        </w:numPr>
        <w:spacing w:before="240"/>
        <w:rPr>
          <w:rFonts w:ascii="Book Antiqua" w:hAnsi="Book Antiqua" w:cs="Arial"/>
        </w:rPr>
      </w:pPr>
      <w:r w:rsidRPr="00B607DF">
        <w:rPr>
          <w:rFonts w:ascii="Book Antiqua" w:hAnsi="Book Antiqua" w:cs="Arial"/>
        </w:rPr>
        <w:lastRenderedPageBreak/>
        <w:t xml:space="preserve">The evidence of both </w:t>
      </w:r>
      <w:r w:rsidR="00B607DF">
        <w:rPr>
          <w:rFonts w:ascii="Book Antiqua" w:hAnsi="Book Antiqua" w:cs="Arial"/>
        </w:rPr>
        <w:t xml:space="preserve">witnesses </w:t>
      </w:r>
      <w:r w:rsidRPr="00B607DF">
        <w:rPr>
          <w:rFonts w:ascii="Book Antiqua" w:hAnsi="Book Antiqua" w:cs="Arial"/>
        </w:rPr>
        <w:t>was that they had been to clubs with the appellant where men engage in sex and had either seen the appellant having sex with another man or had themse</w:t>
      </w:r>
      <w:r w:rsidR="006D7908" w:rsidRPr="00B607DF">
        <w:rPr>
          <w:rFonts w:ascii="Book Antiqua" w:hAnsi="Book Antiqua" w:cs="Arial"/>
        </w:rPr>
        <w:t>lves had sex with</w:t>
      </w:r>
      <w:r w:rsidR="00B607DF">
        <w:rPr>
          <w:rFonts w:ascii="Book Antiqua" w:hAnsi="Book Antiqua" w:cs="Arial"/>
        </w:rPr>
        <w:t xml:space="preserve"> him</w:t>
      </w:r>
      <w:r w:rsidRPr="00B607DF">
        <w:rPr>
          <w:rFonts w:ascii="Book Antiqua" w:hAnsi="Book Antiqua" w:cs="Arial"/>
        </w:rPr>
        <w:t xml:space="preserve">.  Given the </w:t>
      </w:r>
      <w:r w:rsidR="00B607DF" w:rsidRPr="00B607DF">
        <w:rPr>
          <w:rFonts w:ascii="Book Antiqua" w:hAnsi="Book Antiqua" w:cs="Arial"/>
        </w:rPr>
        <w:t>core</w:t>
      </w:r>
      <w:r w:rsidRPr="00B607DF">
        <w:rPr>
          <w:rFonts w:ascii="Book Antiqua" w:hAnsi="Book Antiqua" w:cs="Arial"/>
        </w:rPr>
        <w:t xml:space="preserve"> issue in the appeal was whether the appellant was gay the evidence of </w:t>
      </w:r>
      <w:r w:rsidR="00B607DF" w:rsidRPr="00B607DF">
        <w:rPr>
          <w:rFonts w:ascii="Book Antiqua" w:hAnsi="Book Antiqua" w:cs="Arial"/>
        </w:rPr>
        <w:t>these two witnesses about the appellant’s</w:t>
      </w:r>
      <w:r w:rsidRPr="00B607DF">
        <w:rPr>
          <w:rFonts w:ascii="Book Antiqua" w:hAnsi="Book Antiqua" w:cs="Arial"/>
        </w:rPr>
        <w:t xml:space="preserve"> sexu</w:t>
      </w:r>
      <w:r w:rsidR="00B607DF" w:rsidRPr="00B607DF">
        <w:rPr>
          <w:rFonts w:ascii="Book Antiqua" w:hAnsi="Book Antiqua" w:cs="Arial"/>
        </w:rPr>
        <w:t>al activity was highly material.</w:t>
      </w:r>
    </w:p>
    <w:p w:rsidR="00B607DF" w:rsidRPr="00B607DF" w:rsidRDefault="00B607DF" w:rsidP="00B607DF">
      <w:pPr>
        <w:pStyle w:val="ListParagraph"/>
        <w:rPr>
          <w:rFonts w:ascii="Book Antiqua" w:hAnsi="Book Antiqua" w:cs="Arial"/>
        </w:rPr>
      </w:pPr>
    </w:p>
    <w:p w:rsidR="00B607DF" w:rsidRDefault="00A5248D" w:rsidP="00B607DF">
      <w:pPr>
        <w:pStyle w:val="ListParagraph"/>
        <w:numPr>
          <w:ilvl w:val="0"/>
          <w:numId w:val="1"/>
        </w:numPr>
        <w:spacing w:before="240"/>
        <w:rPr>
          <w:rFonts w:ascii="Book Antiqua" w:hAnsi="Book Antiqua" w:cs="Arial"/>
        </w:rPr>
      </w:pPr>
      <w:r>
        <w:rPr>
          <w:rFonts w:ascii="Book Antiqua" w:hAnsi="Book Antiqua" w:cs="Arial"/>
        </w:rPr>
        <w:t xml:space="preserve">The </w:t>
      </w:r>
      <w:r w:rsidR="009C195E" w:rsidRPr="00B607DF">
        <w:rPr>
          <w:rFonts w:ascii="Book Antiqua" w:hAnsi="Book Antiqua" w:cs="Arial"/>
        </w:rPr>
        <w:t xml:space="preserve">judge has made no reference to </w:t>
      </w:r>
      <w:r w:rsidR="00B607DF">
        <w:rPr>
          <w:rFonts w:ascii="Book Antiqua" w:hAnsi="Book Antiqua" w:cs="Arial"/>
        </w:rPr>
        <w:t>the</w:t>
      </w:r>
      <w:r w:rsidR="009C195E" w:rsidRPr="00B607DF">
        <w:rPr>
          <w:rFonts w:ascii="Book Antiqua" w:hAnsi="Book Antiqua" w:cs="Arial"/>
        </w:rPr>
        <w:t xml:space="preserve"> claim </w:t>
      </w:r>
      <w:r w:rsidR="00B607DF">
        <w:rPr>
          <w:rFonts w:ascii="Book Antiqua" w:hAnsi="Book Antiqua" w:cs="Arial"/>
        </w:rPr>
        <w:t xml:space="preserve">by one of the witnesses </w:t>
      </w:r>
      <w:r w:rsidR="009C195E" w:rsidRPr="00B607DF">
        <w:rPr>
          <w:rFonts w:ascii="Book Antiqua" w:hAnsi="Book Antiqua" w:cs="Arial"/>
        </w:rPr>
        <w:t>to have had sex with the appellant.  At paragraph 25 the judge summarised</w:t>
      </w:r>
      <w:r w:rsidR="00B607DF">
        <w:rPr>
          <w:rFonts w:ascii="Book Antiqua" w:hAnsi="Book Antiqua" w:cs="Arial"/>
        </w:rPr>
        <w:t xml:space="preserve"> the witness’s</w:t>
      </w:r>
      <w:r w:rsidR="009C195E" w:rsidRPr="00B607DF">
        <w:rPr>
          <w:rFonts w:ascii="Book Antiqua" w:hAnsi="Book Antiqua" w:cs="Arial"/>
        </w:rPr>
        <w:t xml:space="preserve"> evidence but only mentioned his claim to have been to gay clubs with the appellant</w:t>
      </w:r>
      <w:r w:rsidR="00B607DF">
        <w:rPr>
          <w:rFonts w:ascii="Book Antiqua" w:hAnsi="Book Antiqua" w:cs="Arial"/>
        </w:rPr>
        <w:t>,</w:t>
      </w:r>
      <w:r w:rsidR="009C195E" w:rsidRPr="00B607DF">
        <w:rPr>
          <w:rFonts w:ascii="Book Antiqua" w:hAnsi="Book Antiqua" w:cs="Arial"/>
        </w:rPr>
        <w:t xml:space="preserve"> not that he claimed to have been a sexu</w:t>
      </w:r>
      <w:r w:rsidR="00B607DF">
        <w:rPr>
          <w:rFonts w:ascii="Book Antiqua" w:hAnsi="Book Antiqua" w:cs="Arial"/>
        </w:rPr>
        <w:t>al partner of the appellant.  At</w:t>
      </w:r>
      <w:r w:rsidR="009C195E" w:rsidRPr="00B607DF">
        <w:rPr>
          <w:rFonts w:ascii="Book Antiqua" w:hAnsi="Book Antiqua" w:cs="Arial"/>
        </w:rPr>
        <w:t xml:space="preserve"> paragraph 27</w:t>
      </w:r>
      <w:r w:rsidR="00B607DF">
        <w:rPr>
          <w:rFonts w:ascii="Book Antiqua" w:hAnsi="Book Antiqua" w:cs="Arial"/>
        </w:rPr>
        <w:t>,</w:t>
      </w:r>
      <w:r w:rsidR="009C195E" w:rsidRPr="00B607DF">
        <w:rPr>
          <w:rFonts w:ascii="Book Antiqua" w:hAnsi="Book Antiqua" w:cs="Arial"/>
        </w:rPr>
        <w:t xml:space="preserve"> where the judge set out his findings</w:t>
      </w:r>
      <w:r w:rsidR="00B607DF">
        <w:rPr>
          <w:rFonts w:ascii="Book Antiqua" w:hAnsi="Book Antiqua" w:cs="Arial"/>
        </w:rPr>
        <w:t>,</w:t>
      </w:r>
      <w:r w:rsidR="009C195E" w:rsidRPr="00B607DF">
        <w:rPr>
          <w:rFonts w:ascii="Book Antiqua" w:hAnsi="Book Antiqua" w:cs="Arial"/>
        </w:rPr>
        <w:t xml:space="preserve"> no ment</w:t>
      </w:r>
      <w:r w:rsidR="00B607DF">
        <w:rPr>
          <w:rFonts w:ascii="Book Antiqua" w:hAnsi="Book Antiqua" w:cs="Arial"/>
        </w:rPr>
        <w:t xml:space="preserve">ion is made of the fact that this witness </w:t>
      </w:r>
      <w:r w:rsidR="009C195E" w:rsidRPr="00B607DF">
        <w:rPr>
          <w:rFonts w:ascii="Book Antiqua" w:hAnsi="Book Antiqua" w:cs="Arial"/>
        </w:rPr>
        <w:t xml:space="preserve">claimed to have had sex with the appellant and no finding is made as to whether that assertion </w:t>
      </w:r>
      <w:r w:rsidR="00B607DF">
        <w:rPr>
          <w:rFonts w:ascii="Book Antiqua" w:hAnsi="Book Antiqua" w:cs="Arial"/>
        </w:rPr>
        <w:t xml:space="preserve">was </w:t>
      </w:r>
      <w:r w:rsidR="009C195E" w:rsidRPr="00B607DF">
        <w:rPr>
          <w:rFonts w:ascii="Book Antiqua" w:hAnsi="Book Antiqua" w:cs="Arial"/>
        </w:rPr>
        <w:t xml:space="preserve">accepted or not. </w:t>
      </w:r>
      <w:r w:rsidR="00B607DF" w:rsidRPr="00B607DF">
        <w:rPr>
          <w:rFonts w:ascii="Book Antiqua" w:hAnsi="Book Antiqua" w:cs="Arial"/>
        </w:rPr>
        <w:t xml:space="preserve">In my view, </w:t>
      </w:r>
      <w:r w:rsidR="009C195E" w:rsidRPr="00B607DF">
        <w:rPr>
          <w:rFonts w:ascii="Book Antiqua" w:hAnsi="Book Antiqua" w:cs="Arial"/>
        </w:rPr>
        <w:t>it was an error of law to not consider</w:t>
      </w:r>
      <w:r w:rsidR="00B607DF" w:rsidRPr="00B607DF">
        <w:rPr>
          <w:rFonts w:ascii="Book Antiqua" w:hAnsi="Book Antiqua" w:cs="Arial"/>
        </w:rPr>
        <w:t>,</w:t>
      </w:r>
      <w:r w:rsidR="009C195E" w:rsidRPr="00B607DF">
        <w:rPr>
          <w:rFonts w:ascii="Book Antiqua" w:hAnsi="Book Antiqua" w:cs="Arial"/>
        </w:rPr>
        <w:t xml:space="preserve"> and to</w:t>
      </w:r>
      <w:r w:rsidR="00B607DF" w:rsidRPr="00B607DF">
        <w:rPr>
          <w:rFonts w:ascii="Book Antiqua" w:hAnsi="Book Antiqua" w:cs="Arial"/>
        </w:rPr>
        <w:t xml:space="preserve"> not</w:t>
      </w:r>
      <w:r w:rsidR="009C195E" w:rsidRPr="00B607DF">
        <w:rPr>
          <w:rFonts w:ascii="Book Antiqua" w:hAnsi="Book Antiqua" w:cs="Arial"/>
        </w:rPr>
        <w:t xml:space="preserve"> make a finding in respect of</w:t>
      </w:r>
      <w:r w:rsidR="00B607DF" w:rsidRPr="00B607DF">
        <w:rPr>
          <w:rFonts w:ascii="Book Antiqua" w:hAnsi="Book Antiqua" w:cs="Arial"/>
        </w:rPr>
        <w:t>,</w:t>
      </w:r>
      <w:r w:rsidR="009C195E" w:rsidRPr="00B607DF">
        <w:rPr>
          <w:rFonts w:ascii="Book Antiqua" w:hAnsi="Book Antiqua" w:cs="Arial"/>
        </w:rPr>
        <w:t xml:space="preserve"> </w:t>
      </w:r>
      <w:r w:rsidR="00B607DF" w:rsidRPr="00B607DF">
        <w:rPr>
          <w:rFonts w:ascii="Book Antiqua" w:hAnsi="Book Antiqua" w:cs="Arial"/>
        </w:rPr>
        <w:t xml:space="preserve">the witness’s </w:t>
      </w:r>
      <w:r w:rsidR="009C195E" w:rsidRPr="00B607DF">
        <w:rPr>
          <w:rFonts w:ascii="Book Antiqua" w:hAnsi="Book Antiqua" w:cs="Arial"/>
        </w:rPr>
        <w:t xml:space="preserve">claim to have had sex with the appellant.  </w:t>
      </w:r>
    </w:p>
    <w:p w:rsidR="00B607DF" w:rsidRPr="00B607DF" w:rsidRDefault="00B607DF" w:rsidP="00B607DF">
      <w:pPr>
        <w:pStyle w:val="ListParagraph"/>
        <w:rPr>
          <w:rFonts w:ascii="Book Antiqua" w:hAnsi="Book Antiqua" w:cs="Arial"/>
        </w:rPr>
      </w:pPr>
    </w:p>
    <w:p w:rsidR="008B55DF" w:rsidRPr="00B607DF" w:rsidRDefault="00B607DF" w:rsidP="00B607DF">
      <w:pPr>
        <w:pStyle w:val="ListParagraph"/>
        <w:numPr>
          <w:ilvl w:val="0"/>
          <w:numId w:val="1"/>
        </w:numPr>
        <w:spacing w:before="240"/>
        <w:rPr>
          <w:rFonts w:ascii="Book Antiqua" w:hAnsi="Book Antiqua" w:cs="Arial"/>
        </w:rPr>
      </w:pPr>
      <w:r>
        <w:rPr>
          <w:rFonts w:ascii="Book Antiqua" w:hAnsi="Book Antiqua" w:cs="Arial"/>
        </w:rPr>
        <w:t>With regard to the</w:t>
      </w:r>
      <w:r w:rsidR="009C195E" w:rsidRPr="00B607DF">
        <w:rPr>
          <w:rFonts w:ascii="Book Antiqua" w:hAnsi="Book Antiqua" w:cs="Arial"/>
        </w:rPr>
        <w:t xml:space="preserve"> evidence </w:t>
      </w:r>
      <w:r>
        <w:rPr>
          <w:rFonts w:ascii="Book Antiqua" w:hAnsi="Book Antiqua" w:cs="Arial"/>
        </w:rPr>
        <w:t xml:space="preserve">of the other witness, </w:t>
      </w:r>
      <w:r w:rsidR="009C195E" w:rsidRPr="00B607DF">
        <w:rPr>
          <w:rFonts w:ascii="Book Antiqua" w:hAnsi="Book Antiqua" w:cs="Arial"/>
        </w:rPr>
        <w:t>the judge mentioned at paragrap</w:t>
      </w:r>
      <w:r>
        <w:rPr>
          <w:rFonts w:ascii="Book Antiqua" w:hAnsi="Book Antiqua" w:cs="Arial"/>
        </w:rPr>
        <w:t xml:space="preserve">h 23 that he </w:t>
      </w:r>
      <w:r w:rsidR="009C195E" w:rsidRPr="00B607DF">
        <w:rPr>
          <w:rFonts w:ascii="Book Antiqua" w:hAnsi="Book Antiqua" w:cs="Arial"/>
        </w:rPr>
        <w:t>claimed to have seen the appellant having sex but at paragraph 27 stated that he ass</w:t>
      </w:r>
      <w:r>
        <w:rPr>
          <w:rFonts w:ascii="Book Antiqua" w:hAnsi="Book Antiqua" w:cs="Arial"/>
        </w:rPr>
        <w:t>umed that because of the “limits</w:t>
      </w:r>
      <w:r w:rsidR="009C195E" w:rsidRPr="00B607DF">
        <w:rPr>
          <w:rFonts w:ascii="Book Antiqua" w:hAnsi="Book Antiqua" w:cs="Arial"/>
        </w:rPr>
        <w:t xml:space="preserve"> public decency</w:t>
      </w:r>
      <w:r>
        <w:rPr>
          <w:rFonts w:ascii="Book Antiqua" w:hAnsi="Book Antiqua" w:cs="Arial"/>
        </w:rPr>
        <w:t xml:space="preserve">” </w:t>
      </w:r>
      <w:r w:rsidR="009C195E" w:rsidRPr="00B607DF">
        <w:rPr>
          <w:rFonts w:ascii="Book Antiqua" w:hAnsi="Book Antiqua" w:cs="Arial"/>
        </w:rPr>
        <w:t xml:space="preserve">he was not referring to </w:t>
      </w:r>
      <w:r>
        <w:rPr>
          <w:rFonts w:ascii="Book Antiqua" w:hAnsi="Book Antiqua" w:cs="Arial"/>
        </w:rPr>
        <w:t>“</w:t>
      </w:r>
      <w:r w:rsidR="009C195E" w:rsidRPr="00B607DF">
        <w:rPr>
          <w:rFonts w:ascii="Book Antiqua" w:hAnsi="Book Antiqua" w:cs="Arial"/>
        </w:rPr>
        <w:t>any full sexual act</w:t>
      </w:r>
      <w:r>
        <w:rPr>
          <w:rFonts w:ascii="Book Antiqua" w:hAnsi="Book Antiqua" w:cs="Arial"/>
        </w:rPr>
        <w:t>”</w:t>
      </w:r>
      <w:r w:rsidR="009C195E" w:rsidRPr="00B607DF">
        <w:rPr>
          <w:rFonts w:ascii="Book Antiqua" w:hAnsi="Book Antiqua" w:cs="Arial"/>
        </w:rPr>
        <w:t>.  This is</w:t>
      </w:r>
      <w:r>
        <w:rPr>
          <w:rFonts w:ascii="Book Antiqua" w:hAnsi="Book Antiqua" w:cs="Arial"/>
        </w:rPr>
        <w:t>,</w:t>
      </w:r>
      <w:r w:rsidR="009C195E" w:rsidRPr="00B607DF">
        <w:rPr>
          <w:rFonts w:ascii="Book Antiqua" w:hAnsi="Book Antiqua" w:cs="Arial"/>
        </w:rPr>
        <w:t xml:space="preserve"> in my view</w:t>
      </w:r>
      <w:r>
        <w:rPr>
          <w:rFonts w:ascii="Book Antiqua" w:hAnsi="Book Antiqua" w:cs="Arial"/>
        </w:rPr>
        <w:t>,</w:t>
      </w:r>
      <w:r w:rsidR="009C195E" w:rsidRPr="00B607DF">
        <w:rPr>
          <w:rFonts w:ascii="Book Antiqua" w:hAnsi="Book Antiqua" w:cs="Arial"/>
        </w:rPr>
        <w:t xml:space="preserve"> a misunderstanding of the evidence.  It i</w:t>
      </w:r>
      <w:r>
        <w:rPr>
          <w:rFonts w:ascii="Book Antiqua" w:hAnsi="Book Antiqua" w:cs="Arial"/>
        </w:rPr>
        <w:t xml:space="preserve">s clear from </w:t>
      </w:r>
      <w:r w:rsidR="009C195E" w:rsidRPr="00B607DF">
        <w:rPr>
          <w:rFonts w:ascii="Book Antiqua" w:hAnsi="Book Antiqua" w:cs="Arial"/>
        </w:rPr>
        <w:t xml:space="preserve">the written statement </w:t>
      </w:r>
      <w:r>
        <w:rPr>
          <w:rFonts w:ascii="Book Antiqua" w:hAnsi="Book Antiqua" w:cs="Arial"/>
        </w:rPr>
        <w:t xml:space="preserve">of this witnesses that he said he saw </w:t>
      </w:r>
      <w:r w:rsidR="009C195E" w:rsidRPr="00B607DF">
        <w:rPr>
          <w:rFonts w:ascii="Book Antiqua" w:hAnsi="Book Antiqua" w:cs="Arial"/>
        </w:rPr>
        <w:t>the appellant having sex.  The judge was entitled to acce</w:t>
      </w:r>
      <w:r w:rsidR="008B55DF" w:rsidRPr="00B607DF">
        <w:rPr>
          <w:rFonts w:ascii="Book Antiqua" w:hAnsi="Book Antiqua" w:cs="Arial"/>
        </w:rPr>
        <w:t>pt or reject this evidence but not</w:t>
      </w:r>
      <w:r>
        <w:rPr>
          <w:rFonts w:ascii="Book Antiqua" w:hAnsi="Book Antiqua" w:cs="Arial"/>
        </w:rPr>
        <w:t>,</w:t>
      </w:r>
      <w:r w:rsidR="008B55DF" w:rsidRPr="00B607DF">
        <w:rPr>
          <w:rFonts w:ascii="Book Antiqua" w:hAnsi="Book Antiqua" w:cs="Arial"/>
        </w:rPr>
        <w:t xml:space="preserve"> as he appears to have done</w:t>
      </w:r>
      <w:r>
        <w:rPr>
          <w:rFonts w:ascii="Book Antiqua" w:hAnsi="Book Antiqua" w:cs="Arial"/>
        </w:rPr>
        <w:t>,</w:t>
      </w:r>
      <w:r w:rsidR="008B55DF" w:rsidRPr="00B607DF">
        <w:rPr>
          <w:rFonts w:ascii="Book Antiqua" w:hAnsi="Book Antiqua" w:cs="Arial"/>
        </w:rPr>
        <w:t xml:space="preserve"> to assume that </w:t>
      </w:r>
      <w:r>
        <w:rPr>
          <w:rFonts w:ascii="Book Antiqua" w:hAnsi="Book Antiqua" w:cs="Arial"/>
        </w:rPr>
        <w:t xml:space="preserve">the witness </w:t>
      </w:r>
      <w:r w:rsidR="008B55DF" w:rsidRPr="00B607DF">
        <w:rPr>
          <w:rFonts w:ascii="Book Antiqua" w:hAnsi="Book Antiqua" w:cs="Arial"/>
        </w:rPr>
        <w:t xml:space="preserve">meant something different to what he said </w:t>
      </w:r>
      <w:r w:rsidR="00A77B2F">
        <w:rPr>
          <w:rFonts w:ascii="Book Antiqua" w:hAnsi="Book Antiqua" w:cs="Arial"/>
        </w:rPr>
        <w:t xml:space="preserve">because of an assumption (unsupported by evidence and which was not put to the witness) </w:t>
      </w:r>
      <w:r w:rsidR="008B55DF" w:rsidRPr="00B607DF">
        <w:rPr>
          <w:rFonts w:ascii="Book Antiqua" w:hAnsi="Book Antiqua" w:cs="Arial"/>
        </w:rPr>
        <w:t xml:space="preserve">as to what constitutes public decency in a gay bar.  </w:t>
      </w:r>
    </w:p>
    <w:p w:rsidR="00A77B2F" w:rsidRDefault="008B55DF" w:rsidP="008B55DF">
      <w:pPr>
        <w:numPr>
          <w:ilvl w:val="0"/>
          <w:numId w:val="1"/>
        </w:numPr>
        <w:tabs>
          <w:tab w:val="clear" w:pos="567"/>
        </w:tabs>
        <w:spacing w:before="240"/>
        <w:rPr>
          <w:rFonts w:ascii="Book Antiqua" w:hAnsi="Book Antiqua" w:cs="Arial"/>
        </w:rPr>
      </w:pPr>
      <w:r>
        <w:rPr>
          <w:rFonts w:ascii="Book Antiqua" w:hAnsi="Book Antiqua" w:cs="Arial"/>
        </w:rPr>
        <w:t>The judge’s finding that the appellant</w:t>
      </w:r>
      <w:r w:rsidR="00A77B2F">
        <w:rPr>
          <w:rFonts w:ascii="Book Antiqua" w:hAnsi="Book Antiqua" w:cs="Arial"/>
        </w:rPr>
        <w:t>,</w:t>
      </w:r>
      <w:r>
        <w:rPr>
          <w:rFonts w:ascii="Book Antiqua" w:hAnsi="Book Antiqua" w:cs="Arial"/>
        </w:rPr>
        <w:t xml:space="preserve"> even if gay</w:t>
      </w:r>
      <w:r w:rsidR="00A77B2F">
        <w:rPr>
          <w:rFonts w:ascii="Book Antiqua" w:hAnsi="Book Antiqua" w:cs="Arial"/>
        </w:rPr>
        <w:t>,</w:t>
      </w:r>
      <w:r w:rsidRPr="008B55DF">
        <w:rPr>
          <w:rFonts w:ascii="Book Antiqua" w:hAnsi="Book Antiqua" w:cs="Arial"/>
        </w:rPr>
        <w:t xml:space="preserve"> could safely relocate to Dhaka</w:t>
      </w:r>
      <w:r>
        <w:rPr>
          <w:rFonts w:ascii="Book Antiqua" w:hAnsi="Book Antiqua" w:cs="Arial"/>
        </w:rPr>
        <w:t xml:space="preserve"> also cannot stand.  This is because the judge’s conclusion on internal relocation is underpinned by a finding of fact that the </w:t>
      </w:r>
      <w:r w:rsidR="00F02528">
        <w:rPr>
          <w:rFonts w:ascii="Book Antiqua" w:hAnsi="Book Antiqua" w:cs="Arial"/>
        </w:rPr>
        <w:t>appellant would be discreet</w:t>
      </w:r>
      <w:r>
        <w:rPr>
          <w:rFonts w:ascii="Book Antiqua" w:hAnsi="Book Antiqua" w:cs="Arial"/>
        </w:rPr>
        <w:t xml:space="preserve"> and would not conceal his sexual orientation because of fear of persecution.  This finding cannot be separated from the other findings about the appellant’s claimed sexuality and without a sustainable finding on </w:t>
      </w:r>
      <w:r w:rsidR="00A77B2F">
        <w:rPr>
          <w:rFonts w:ascii="Book Antiqua" w:hAnsi="Book Antiqua" w:cs="Arial"/>
        </w:rPr>
        <w:t xml:space="preserve">whether (and if so, why) the appellant would be discreet it </w:t>
      </w:r>
      <w:r>
        <w:rPr>
          <w:rFonts w:ascii="Book Antiqua" w:hAnsi="Book Antiqua" w:cs="Arial"/>
        </w:rPr>
        <w:t>is not possible to determine in light of the objective country evidence that was before the judge whether the appellant would</w:t>
      </w:r>
      <w:r w:rsidR="00A77B2F">
        <w:rPr>
          <w:rFonts w:ascii="Book Antiqua" w:hAnsi="Book Antiqua" w:cs="Arial"/>
        </w:rPr>
        <w:t>,</w:t>
      </w:r>
      <w:r>
        <w:rPr>
          <w:rFonts w:ascii="Book Antiqua" w:hAnsi="Book Antiqua" w:cs="Arial"/>
        </w:rPr>
        <w:t xml:space="preserve"> if gay</w:t>
      </w:r>
      <w:r w:rsidR="00A77B2F">
        <w:rPr>
          <w:rFonts w:ascii="Book Antiqua" w:hAnsi="Book Antiqua" w:cs="Arial"/>
        </w:rPr>
        <w:t xml:space="preserve">, be at risk in Dhaka. </w:t>
      </w:r>
    </w:p>
    <w:p w:rsidR="00A77B2F" w:rsidRDefault="008B55DF" w:rsidP="008B55DF">
      <w:pPr>
        <w:numPr>
          <w:ilvl w:val="0"/>
          <w:numId w:val="1"/>
        </w:numPr>
        <w:tabs>
          <w:tab w:val="clear" w:pos="567"/>
        </w:tabs>
        <w:spacing w:before="240"/>
        <w:rPr>
          <w:rFonts w:ascii="Book Antiqua" w:hAnsi="Book Antiqua" w:cs="Arial"/>
        </w:rPr>
      </w:pPr>
      <w:r>
        <w:rPr>
          <w:rFonts w:ascii="Book Antiqua" w:hAnsi="Book Antiqua" w:cs="Arial"/>
        </w:rPr>
        <w:t>The decision therefore will need to be made afresh with none of the factual findings preserved.  I have carefully considered whether I am able to proceed to remake the decision based on the evidence that was before the First-tier Tribunal and the additional objective country information which Mr Reza sought to rely on if the appeal were remade.  Given the extent of further fact-finding that will be necessary and that</w:t>
      </w:r>
      <w:r w:rsidR="00A77B2F">
        <w:rPr>
          <w:rFonts w:ascii="Book Antiqua" w:hAnsi="Book Antiqua" w:cs="Arial"/>
        </w:rPr>
        <w:t xml:space="preserve"> the appellant’s</w:t>
      </w:r>
      <w:r>
        <w:rPr>
          <w:rFonts w:ascii="Book Antiqua" w:hAnsi="Book Antiqua" w:cs="Arial"/>
        </w:rPr>
        <w:t xml:space="preserve"> </w:t>
      </w:r>
      <w:r w:rsidR="00A77B2F">
        <w:rPr>
          <w:rFonts w:ascii="Book Antiqua" w:hAnsi="Book Antiqua" w:cs="Arial"/>
        </w:rPr>
        <w:t xml:space="preserve">credibility </w:t>
      </w:r>
      <w:r>
        <w:rPr>
          <w:rFonts w:ascii="Book Antiqua" w:hAnsi="Book Antiqua" w:cs="Arial"/>
        </w:rPr>
        <w:t xml:space="preserve">will need to be considered afresh I consider this to be an appeal where it is appropriate for the matter to be remitted to the First-tier Tribunal.  </w:t>
      </w:r>
    </w:p>
    <w:p w:rsidR="00A77B2F" w:rsidRPr="00A77B2F" w:rsidRDefault="00A77B2F" w:rsidP="00A77B2F">
      <w:pPr>
        <w:spacing w:before="240"/>
        <w:rPr>
          <w:rFonts w:ascii="Book Antiqua" w:hAnsi="Book Antiqua" w:cs="Arial"/>
          <w:b/>
        </w:rPr>
      </w:pPr>
      <w:r w:rsidRPr="00A77B2F">
        <w:rPr>
          <w:rFonts w:ascii="Book Antiqua" w:hAnsi="Book Antiqua" w:cs="Arial"/>
          <w:b/>
        </w:rPr>
        <w:t>Decision</w:t>
      </w:r>
    </w:p>
    <w:p w:rsidR="00A77B2F" w:rsidRDefault="00A77B2F" w:rsidP="008B55DF">
      <w:pPr>
        <w:numPr>
          <w:ilvl w:val="0"/>
          <w:numId w:val="1"/>
        </w:numPr>
        <w:tabs>
          <w:tab w:val="clear" w:pos="567"/>
        </w:tabs>
        <w:spacing w:before="240"/>
        <w:rPr>
          <w:rFonts w:ascii="Book Antiqua" w:hAnsi="Book Antiqua" w:cs="Arial"/>
        </w:rPr>
      </w:pPr>
      <w:r>
        <w:rPr>
          <w:rFonts w:ascii="Book Antiqua" w:hAnsi="Book Antiqua" w:cs="Arial"/>
        </w:rPr>
        <w:t xml:space="preserve">The </w:t>
      </w:r>
      <w:r w:rsidR="008B55DF">
        <w:rPr>
          <w:rFonts w:ascii="Book Antiqua" w:hAnsi="Book Antiqua" w:cs="Arial"/>
        </w:rPr>
        <w:t xml:space="preserve">decision of the First-tier Tribunal contains a material error of law and is set aside.  </w:t>
      </w:r>
    </w:p>
    <w:p w:rsidR="00746835" w:rsidRPr="008B55DF" w:rsidRDefault="008B55DF" w:rsidP="008B55DF">
      <w:pPr>
        <w:numPr>
          <w:ilvl w:val="0"/>
          <w:numId w:val="1"/>
        </w:numPr>
        <w:tabs>
          <w:tab w:val="clear" w:pos="567"/>
        </w:tabs>
        <w:spacing w:before="240"/>
        <w:rPr>
          <w:rFonts w:ascii="Book Antiqua" w:hAnsi="Book Antiqua" w:cs="Arial"/>
        </w:rPr>
      </w:pPr>
      <w:r>
        <w:rPr>
          <w:rFonts w:ascii="Book Antiqua" w:hAnsi="Book Antiqua" w:cs="Arial"/>
        </w:rPr>
        <w:lastRenderedPageBreak/>
        <w:t>The appeal is remitted to the First-tier Tribunal to be heard afresh before a different judge.</w:t>
      </w:r>
    </w:p>
    <w:p w:rsidR="008B55DF" w:rsidRDefault="008B55DF" w:rsidP="00273201">
      <w:pPr>
        <w:rPr>
          <w:rFonts w:ascii="Book Antiqua" w:hAnsi="Book Antiqua" w:cs="Arial"/>
        </w:rPr>
      </w:pP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273201">
      <w:pPr>
        <w:rPr>
          <w:rFonts w:ascii="Book Antiqua" w:hAnsi="Book Antiqua" w:cs="Arial"/>
        </w:rPr>
      </w:pPr>
    </w:p>
    <w:p w:rsidR="00D949B7" w:rsidRPr="00687601" w:rsidRDefault="00D949B7" w:rsidP="00273201">
      <w:pPr>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273201">
      <w:pPr>
        <w:rPr>
          <w:rFonts w:ascii="Book Antiqua" w:hAnsi="Book Antiqua" w:cs="Arial"/>
        </w:rPr>
      </w:pPr>
    </w:p>
    <w:p w:rsidR="009F5220" w:rsidRPr="009B7433" w:rsidRDefault="009F5220" w:rsidP="00273201">
      <w:pPr>
        <w:rPr>
          <w:rFonts w:ascii="Book Antiqua" w:hAnsi="Book Antiqua" w:cs="Arial"/>
        </w:rPr>
      </w:pPr>
    </w:p>
    <w:p w:rsidR="009F5220" w:rsidRPr="009B7433" w:rsidRDefault="009F5220"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A77B2F" w:rsidRPr="00647F2A" w:rsidTr="00F013AA">
        <w:trPr>
          <w:trHeight w:val="277"/>
        </w:trPr>
        <w:tc>
          <w:tcPr>
            <w:tcW w:w="5211" w:type="dxa"/>
          </w:tcPr>
          <w:p w:rsidR="00A77B2F" w:rsidRDefault="00A77B2F" w:rsidP="00F013AA">
            <w:pPr>
              <w:tabs>
                <w:tab w:val="left" w:pos="2520"/>
              </w:tabs>
              <w:rPr>
                <w:rFonts w:ascii="Book Antiqua" w:hAnsi="Book Antiqua"/>
                <w:color w:val="000000"/>
              </w:rPr>
            </w:pPr>
          </w:p>
          <w:p w:rsidR="00A77B2F" w:rsidRDefault="00A77B2F" w:rsidP="00F013AA">
            <w:pPr>
              <w:tabs>
                <w:tab w:val="left" w:pos="2520"/>
              </w:tabs>
              <w:rPr>
                <w:rFonts w:ascii="Book Antiqua" w:hAnsi="Book Antiqua"/>
                <w:color w:val="000000"/>
              </w:rPr>
            </w:pPr>
          </w:p>
          <w:p w:rsidR="00A77B2F" w:rsidRDefault="00A77B2F" w:rsidP="00F013AA">
            <w:pPr>
              <w:tabs>
                <w:tab w:val="left" w:pos="2520"/>
              </w:tabs>
              <w:rPr>
                <w:rFonts w:ascii="Book Antiqua" w:hAnsi="Book Antiqua"/>
                <w:color w:val="000000"/>
              </w:rPr>
            </w:pPr>
            <w:r>
              <w:rPr>
                <w:rFonts w:ascii="Book Antiqua" w:hAnsi="Book Antiqua"/>
                <w:color w:val="000000"/>
              </w:rPr>
              <w:t>Signed</w:t>
            </w:r>
          </w:p>
          <w:p w:rsidR="00A77B2F" w:rsidRPr="00647F2A" w:rsidRDefault="00A77B2F" w:rsidP="00F013AA">
            <w:pPr>
              <w:tabs>
                <w:tab w:val="left" w:pos="2520"/>
              </w:tabs>
              <w:rPr>
                <w:rFonts w:ascii="Book Antiqua" w:hAnsi="Book Antiqua"/>
                <w:color w:val="000000"/>
              </w:rPr>
            </w:pPr>
            <w:r>
              <w:rPr>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3"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A77B2F" w:rsidRPr="00647F2A" w:rsidRDefault="00A77B2F" w:rsidP="00F013AA">
            <w:pPr>
              <w:tabs>
                <w:tab w:val="left" w:pos="2520"/>
              </w:tabs>
              <w:rPr>
                <w:rFonts w:ascii="Book Antiqua" w:hAnsi="Book Antiqua"/>
                <w:color w:val="000000"/>
              </w:rPr>
            </w:pPr>
          </w:p>
        </w:tc>
        <w:tc>
          <w:tcPr>
            <w:tcW w:w="325" w:type="dxa"/>
          </w:tcPr>
          <w:p w:rsidR="00A77B2F" w:rsidRPr="00647F2A" w:rsidRDefault="00A77B2F" w:rsidP="00F013AA">
            <w:pPr>
              <w:jc w:val="center"/>
              <w:rPr>
                <w:rFonts w:ascii="Book Antiqua" w:hAnsi="Book Antiqua"/>
                <w:color w:val="000000"/>
              </w:rPr>
            </w:pPr>
          </w:p>
          <w:p w:rsidR="00A77B2F" w:rsidRPr="00647F2A" w:rsidRDefault="00A77B2F" w:rsidP="00F013AA">
            <w:pPr>
              <w:jc w:val="center"/>
              <w:rPr>
                <w:rFonts w:ascii="Book Antiqua" w:hAnsi="Book Antiqua"/>
                <w:color w:val="000000"/>
              </w:rPr>
            </w:pPr>
          </w:p>
        </w:tc>
        <w:tc>
          <w:tcPr>
            <w:tcW w:w="526" w:type="dxa"/>
          </w:tcPr>
          <w:p w:rsidR="00A77B2F" w:rsidRPr="00647F2A" w:rsidRDefault="00A77B2F" w:rsidP="00F013AA">
            <w:pPr>
              <w:jc w:val="center"/>
              <w:rPr>
                <w:rFonts w:ascii="Book Antiqua" w:hAnsi="Book Antiqua"/>
                <w:color w:val="000000"/>
              </w:rPr>
            </w:pPr>
          </w:p>
        </w:tc>
        <w:tc>
          <w:tcPr>
            <w:tcW w:w="3792" w:type="dxa"/>
          </w:tcPr>
          <w:p w:rsidR="00A77B2F" w:rsidRDefault="00A77B2F" w:rsidP="00F013AA">
            <w:pPr>
              <w:jc w:val="center"/>
              <w:rPr>
                <w:rFonts w:ascii="Book Antiqua" w:hAnsi="Book Antiqua"/>
                <w:color w:val="000000"/>
              </w:rPr>
            </w:pPr>
          </w:p>
          <w:p w:rsidR="008D14A7" w:rsidRDefault="008D14A7" w:rsidP="008D14A7">
            <w:pPr>
              <w:rPr>
                <w:rFonts w:ascii="Book Antiqua" w:hAnsi="Book Antiqua"/>
                <w:color w:val="000000"/>
              </w:rPr>
            </w:pPr>
          </w:p>
          <w:p w:rsidR="008D14A7" w:rsidRDefault="008D14A7" w:rsidP="008D14A7">
            <w:pPr>
              <w:rPr>
                <w:rFonts w:ascii="Book Antiqua" w:hAnsi="Book Antiqua"/>
                <w:color w:val="000000"/>
              </w:rPr>
            </w:pPr>
            <w:r>
              <w:rPr>
                <w:rFonts w:ascii="Book Antiqua" w:hAnsi="Book Antiqua"/>
                <w:color w:val="000000"/>
              </w:rPr>
              <w:t>Date:</w:t>
            </w:r>
          </w:p>
          <w:p w:rsidR="008D14A7" w:rsidRDefault="008D14A7" w:rsidP="008D14A7">
            <w:pPr>
              <w:rPr>
                <w:rFonts w:ascii="Book Antiqua" w:hAnsi="Book Antiqua"/>
                <w:color w:val="000000"/>
              </w:rPr>
            </w:pPr>
          </w:p>
          <w:p w:rsidR="008D14A7" w:rsidRDefault="008D14A7" w:rsidP="008D14A7">
            <w:pPr>
              <w:rPr>
                <w:rFonts w:ascii="Book Antiqua" w:hAnsi="Book Antiqua"/>
                <w:color w:val="000000"/>
              </w:rPr>
            </w:pPr>
            <w:r>
              <w:rPr>
                <w:rFonts w:ascii="Book Antiqua" w:hAnsi="Book Antiqua"/>
                <w:color w:val="000000"/>
              </w:rPr>
              <w:t xml:space="preserve"> 21 May 2018 </w:t>
            </w:r>
          </w:p>
          <w:p w:rsidR="008D14A7" w:rsidRPr="00647F2A" w:rsidRDefault="008D14A7" w:rsidP="00F013AA">
            <w:pPr>
              <w:jc w:val="center"/>
              <w:rPr>
                <w:rFonts w:ascii="Book Antiqua" w:hAnsi="Book Antiqua"/>
                <w:color w:val="000000"/>
              </w:rPr>
            </w:pPr>
          </w:p>
        </w:tc>
      </w:tr>
    </w:tbl>
    <w:p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3AA" w:rsidRDefault="00F013AA">
      <w:r>
        <w:separator/>
      </w:r>
    </w:p>
  </w:endnote>
  <w:endnote w:type="continuationSeparator" w:id="0">
    <w:p w:rsidR="00F013AA" w:rsidRDefault="00F01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3AA" w:rsidRPr="009B7433" w:rsidRDefault="00F013A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E2A30">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3AA" w:rsidRPr="009B7433" w:rsidRDefault="00F013A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3AA" w:rsidRDefault="00F013AA">
      <w:r>
        <w:separator/>
      </w:r>
    </w:p>
  </w:footnote>
  <w:footnote w:type="continuationSeparator" w:id="0">
    <w:p w:rsidR="00F013AA" w:rsidRDefault="00F01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3AA" w:rsidRPr="009B7433" w:rsidRDefault="00F013A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PA/10269/2017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3AA" w:rsidRPr="009B7433" w:rsidRDefault="00F013A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BD5A52-DDE3-4166-AFFB-52DB80DAFBC6}"/>
    <w:docVar w:name="dgnword-eventsink" w:val="164016536"/>
  </w:docVars>
  <w:rsids>
    <w:rsidRoot w:val="00891B40"/>
    <w:rsid w:val="00000621"/>
    <w:rsid w:val="000036C2"/>
    <w:rsid w:val="00016C1A"/>
    <w:rsid w:val="00033588"/>
    <w:rsid w:val="00033D3D"/>
    <w:rsid w:val="0004776F"/>
    <w:rsid w:val="00052895"/>
    <w:rsid w:val="00062F02"/>
    <w:rsid w:val="00071A7E"/>
    <w:rsid w:val="000746C0"/>
    <w:rsid w:val="00074D1D"/>
    <w:rsid w:val="0009161C"/>
    <w:rsid w:val="00092580"/>
    <w:rsid w:val="00093D4D"/>
    <w:rsid w:val="000A0743"/>
    <w:rsid w:val="000D5D94"/>
    <w:rsid w:val="000F1A0E"/>
    <w:rsid w:val="001165A7"/>
    <w:rsid w:val="0016508E"/>
    <w:rsid w:val="00167D3A"/>
    <w:rsid w:val="00173F50"/>
    <w:rsid w:val="00185301"/>
    <w:rsid w:val="00185986"/>
    <w:rsid w:val="001A3082"/>
    <w:rsid w:val="001A74A9"/>
    <w:rsid w:val="001B186A"/>
    <w:rsid w:val="001B2F75"/>
    <w:rsid w:val="001C6F5F"/>
    <w:rsid w:val="001D6167"/>
    <w:rsid w:val="001F2716"/>
    <w:rsid w:val="001F3AC0"/>
    <w:rsid w:val="00207617"/>
    <w:rsid w:val="0023134B"/>
    <w:rsid w:val="00273201"/>
    <w:rsid w:val="00283659"/>
    <w:rsid w:val="002C6BD4"/>
    <w:rsid w:val="002C7C6F"/>
    <w:rsid w:val="002D68BF"/>
    <w:rsid w:val="002E4541"/>
    <w:rsid w:val="002F6B98"/>
    <w:rsid w:val="00320132"/>
    <w:rsid w:val="00330680"/>
    <w:rsid w:val="00336CBF"/>
    <w:rsid w:val="00343FE3"/>
    <w:rsid w:val="003546C8"/>
    <w:rsid w:val="003571EF"/>
    <w:rsid w:val="0037777D"/>
    <w:rsid w:val="003825D4"/>
    <w:rsid w:val="003A7CF2"/>
    <w:rsid w:val="003C5CE5"/>
    <w:rsid w:val="003D25F1"/>
    <w:rsid w:val="003D60DD"/>
    <w:rsid w:val="003D6FAD"/>
    <w:rsid w:val="003E04D1"/>
    <w:rsid w:val="003E267B"/>
    <w:rsid w:val="003E7CD1"/>
    <w:rsid w:val="003F1501"/>
    <w:rsid w:val="00402B9E"/>
    <w:rsid w:val="004135DF"/>
    <w:rsid w:val="004249CB"/>
    <w:rsid w:val="0044127D"/>
    <w:rsid w:val="004448DB"/>
    <w:rsid w:val="00446C9A"/>
    <w:rsid w:val="00446F1E"/>
    <w:rsid w:val="00452F2B"/>
    <w:rsid w:val="00477193"/>
    <w:rsid w:val="004833B3"/>
    <w:rsid w:val="004A1848"/>
    <w:rsid w:val="004A2D15"/>
    <w:rsid w:val="004A534C"/>
    <w:rsid w:val="004A6F4A"/>
    <w:rsid w:val="004B70D7"/>
    <w:rsid w:val="004D6B45"/>
    <w:rsid w:val="004E4717"/>
    <w:rsid w:val="004E498E"/>
    <w:rsid w:val="004F2676"/>
    <w:rsid w:val="004F4351"/>
    <w:rsid w:val="00507FEC"/>
    <w:rsid w:val="00510F0E"/>
    <w:rsid w:val="00527987"/>
    <w:rsid w:val="005479E1"/>
    <w:rsid w:val="00553028"/>
    <w:rsid w:val="00553E0A"/>
    <w:rsid w:val="005570FD"/>
    <w:rsid w:val="005575EA"/>
    <w:rsid w:val="0057790C"/>
    <w:rsid w:val="00593795"/>
    <w:rsid w:val="005A75FF"/>
    <w:rsid w:val="005B5C4C"/>
    <w:rsid w:val="005D10AB"/>
    <w:rsid w:val="005F1515"/>
    <w:rsid w:val="00601D8F"/>
    <w:rsid w:val="00605582"/>
    <w:rsid w:val="00611F34"/>
    <w:rsid w:val="00621FE8"/>
    <w:rsid w:val="006434B6"/>
    <w:rsid w:val="00653E97"/>
    <w:rsid w:val="006667DB"/>
    <w:rsid w:val="00684A74"/>
    <w:rsid w:val="0068620A"/>
    <w:rsid w:val="00690B8A"/>
    <w:rsid w:val="006C2FB8"/>
    <w:rsid w:val="006D7908"/>
    <w:rsid w:val="006F2CF1"/>
    <w:rsid w:val="007038ED"/>
    <w:rsid w:val="00703BC3"/>
    <w:rsid w:val="00704B61"/>
    <w:rsid w:val="00704E56"/>
    <w:rsid w:val="00715A64"/>
    <w:rsid w:val="007217D8"/>
    <w:rsid w:val="0073004B"/>
    <w:rsid w:val="00740C1F"/>
    <w:rsid w:val="00746835"/>
    <w:rsid w:val="007552A9"/>
    <w:rsid w:val="0075658A"/>
    <w:rsid w:val="00761858"/>
    <w:rsid w:val="00767D59"/>
    <w:rsid w:val="00776E97"/>
    <w:rsid w:val="00780F86"/>
    <w:rsid w:val="007845C5"/>
    <w:rsid w:val="007912AD"/>
    <w:rsid w:val="007B0824"/>
    <w:rsid w:val="007B5D3C"/>
    <w:rsid w:val="00815011"/>
    <w:rsid w:val="00821B72"/>
    <w:rsid w:val="0082229E"/>
    <w:rsid w:val="00823EF2"/>
    <w:rsid w:val="008303B8"/>
    <w:rsid w:val="00833DCE"/>
    <w:rsid w:val="00833E86"/>
    <w:rsid w:val="00871D34"/>
    <w:rsid w:val="00873014"/>
    <w:rsid w:val="00891B40"/>
    <w:rsid w:val="008A25EC"/>
    <w:rsid w:val="008A6059"/>
    <w:rsid w:val="008B17FF"/>
    <w:rsid w:val="008B270C"/>
    <w:rsid w:val="008B5078"/>
    <w:rsid w:val="008B55DF"/>
    <w:rsid w:val="008C3D3D"/>
    <w:rsid w:val="008D14A7"/>
    <w:rsid w:val="008D4131"/>
    <w:rsid w:val="008F1932"/>
    <w:rsid w:val="0090151B"/>
    <w:rsid w:val="009042A9"/>
    <w:rsid w:val="00914D08"/>
    <w:rsid w:val="00921062"/>
    <w:rsid w:val="00936004"/>
    <w:rsid w:val="009722BC"/>
    <w:rsid w:val="009727A3"/>
    <w:rsid w:val="00987774"/>
    <w:rsid w:val="009A11E8"/>
    <w:rsid w:val="009B7433"/>
    <w:rsid w:val="009C195E"/>
    <w:rsid w:val="009C57C8"/>
    <w:rsid w:val="009D348A"/>
    <w:rsid w:val="009F5220"/>
    <w:rsid w:val="00A07919"/>
    <w:rsid w:val="00A15234"/>
    <w:rsid w:val="00A172F5"/>
    <w:rsid w:val="00A201AB"/>
    <w:rsid w:val="00A31C8B"/>
    <w:rsid w:val="00A509FA"/>
    <w:rsid w:val="00A5248D"/>
    <w:rsid w:val="00A77B2F"/>
    <w:rsid w:val="00A845DC"/>
    <w:rsid w:val="00AC7A80"/>
    <w:rsid w:val="00AE2A30"/>
    <w:rsid w:val="00AF29FC"/>
    <w:rsid w:val="00B262A5"/>
    <w:rsid w:val="00B26AA2"/>
    <w:rsid w:val="00B3524D"/>
    <w:rsid w:val="00B40F69"/>
    <w:rsid w:val="00B46616"/>
    <w:rsid w:val="00B528BB"/>
    <w:rsid w:val="00B607DF"/>
    <w:rsid w:val="00B7040A"/>
    <w:rsid w:val="00B83391"/>
    <w:rsid w:val="00B94C62"/>
    <w:rsid w:val="00B95326"/>
    <w:rsid w:val="00BD4196"/>
    <w:rsid w:val="00BF22CA"/>
    <w:rsid w:val="00BF23BB"/>
    <w:rsid w:val="00C26032"/>
    <w:rsid w:val="00C345E1"/>
    <w:rsid w:val="00C43BFD"/>
    <w:rsid w:val="00C6048A"/>
    <w:rsid w:val="00CB2BF7"/>
    <w:rsid w:val="00CB6E35"/>
    <w:rsid w:val="00CD368B"/>
    <w:rsid w:val="00CE09B1"/>
    <w:rsid w:val="00CE1A46"/>
    <w:rsid w:val="00CF6102"/>
    <w:rsid w:val="00D05EA6"/>
    <w:rsid w:val="00D104C2"/>
    <w:rsid w:val="00D20757"/>
    <w:rsid w:val="00D22636"/>
    <w:rsid w:val="00D32388"/>
    <w:rsid w:val="00D40FD9"/>
    <w:rsid w:val="00D53769"/>
    <w:rsid w:val="00D54E87"/>
    <w:rsid w:val="00D6602D"/>
    <w:rsid w:val="00D85C13"/>
    <w:rsid w:val="00D9111A"/>
    <w:rsid w:val="00D91BE3"/>
    <w:rsid w:val="00D949B7"/>
    <w:rsid w:val="00D94AFC"/>
    <w:rsid w:val="00DB70AE"/>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1D01"/>
    <w:rsid w:val="00EB485A"/>
    <w:rsid w:val="00ED79F1"/>
    <w:rsid w:val="00EE45D8"/>
    <w:rsid w:val="00F013AA"/>
    <w:rsid w:val="00F02528"/>
    <w:rsid w:val="00F22EDA"/>
    <w:rsid w:val="00F40176"/>
    <w:rsid w:val="00F470D6"/>
    <w:rsid w:val="00F5589A"/>
    <w:rsid w:val="00FC40FA"/>
    <w:rsid w:val="00FF5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1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1749</Words>
  <Characters>8372</Characters>
  <Application>Microsoft Office Word</Application>
  <DocSecurity>0</DocSecurity>
  <Lines>69</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2018-06-18T15:21:00Z</dcterms:created>
  <dcterms:modified xsi:type="dcterms:W3CDTF">2018-06-18T15:21:00Z</dcterms:modified>
</cp:coreProperties>
</file>