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Pr="00F97703" w:rsidRDefault="00933B65" w:rsidP="00933B65">
      <w:pPr>
        <w:rPr>
          <w:rFonts w:ascii="Book Antiqua" w:hAnsi="Book Antiqua" w:cs="Arial"/>
          <w:color w:val="000000"/>
          <w:sz w:val="16"/>
          <w:szCs w:val="16"/>
        </w:rPr>
      </w:pPr>
    </w:p>
    <w:p w:rsidR="00933B65" w:rsidRDefault="00FE0046" w:rsidP="00933B65">
      <w:pPr>
        <w:jc w:val="center"/>
        <w:rPr>
          <w:rFonts w:ascii="Book Antiqua" w:hAnsi="Book Antiqua" w:cs="Arial"/>
          <w:color w:val="000000"/>
        </w:rPr>
      </w:pPr>
      <w:r>
        <w:rPr>
          <w:noProof/>
        </w:rPr>
        <w:drawing>
          <wp:inline distT="0" distB="0" distL="0" distR="0" wp14:anchorId="334D9F49" wp14:editId="334D9F4A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9BA" w:rsidRDefault="001D19BA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</w:p>
    <w:p w:rsidR="001D19BA" w:rsidRDefault="001D19BA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</w:p>
    <w:p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933B65" w:rsidRDefault="00933B65" w:rsidP="008A64A7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 xml:space="preserve">Appeal Number: </w:t>
      </w:r>
      <w:bookmarkStart w:id="0" w:name="_GoBack"/>
      <w:r w:rsidR="007F4BBA">
        <w:rPr>
          <w:rFonts w:ascii="Book Antiqua" w:hAnsi="Book Antiqua" w:cs="Arial"/>
          <w:caps/>
          <w:color w:val="000000"/>
        </w:rPr>
        <w:t>PA/10413/2016</w:t>
      </w:r>
      <w:r w:rsidR="00194803">
        <w:rPr>
          <w:rFonts w:ascii="Book Antiqua" w:hAnsi="Book Antiqua" w:cs="Arial"/>
          <w:caps/>
          <w:color w:val="000000"/>
        </w:rPr>
        <w:t xml:space="preserve"> </w:t>
      </w:r>
      <w:bookmarkEnd w:id="0"/>
    </w:p>
    <w:p w:rsidR="001D19BA" w:rsidRPr="00F97703" w:rsidRDefault="001D19BA" w:rsidP="008A64A7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color w:val="000000"/>
        </w:rPr>
      </w:pPr>
    </w:p>
    <w:p w:rsidR="00933B65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1D19BA" w:rsidRPr="00F97703" w:rsidRDefault="001D19BA" w:rsidP="00933B65">
      <w:pPr>
        <w:jc w:val="center"/>
        <w:rPr>
          <w:rFonts w:ascii="Book Antiqua" w:hAnsi="Book Antiqua" w:cs="Arial"/>
          <w:b/>
          <w:u w:val="single"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15"/>
        <w:gridCol w:w="1096"/>
        <w:gridCol w:w="3717"/>
      </w:tblGrid>
      <w:tr w:rsidR="00933B65" w:rsidRPr="002154EF" w:rsidTr="00194803">
        <w:tc>
          <w:tcPr>
            <w:tcW w:w="4815" w:type="dxa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 xml:space="preserve">Heard at </w:t>
            </w:r>
            <w:r w:rsidR="008B5B9B" w:rsidRPr="002154EF">
              <w:rPr>
                <w:rFonts w:ascii="Book Antiqua" w:hAnsi="Book Antiqua" w:cs="Arial"/>
                <w:b/>
              </w:rPr>
              <w:t xml:space="preserve">Glasgow </w:t>
            </w:r>
          </w:p>
        </w:tc>
        <w:tc>
          <w:tcPr>
            <w:tcW w:w="4813" w:type="dxa"/>
            <w:gridSpan w:val="2"/>
            <w:shd w:val="clear" w:color="auto" w:fill="auto"/>
          </w:tcPr>
          <w:p w:rsidR="00933B65" w:rsidRPr="002154EF" w:rsidRDefault="00194803" w:rsidP="002154EF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Decision and Reasons Promulgated </w:t>
            </w:r>
          </w:p>
        </w:tc>
      </w:tr>
      <w:tr w:rsidR="00933B65" w:rsidRPr="002154EF" w:rsidTr="00194803">
        <w:tc>
          <w:tcPr>
            <w:tcW w:w="4815" w:type="dxa"/>
            <w:shd w:val="clear" w:color="auto" w:fill="auto"/>
          </w:tcPr>
          <w:p w:rsidR="00933B65" w:rsidRPr="002154EF" w:rsidRDefault="00194803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</w:t>
            </w:r>
            <w:r w:rsidR="00933B65" w:rsidRPr="002154EF">
              <w:rPr>
                <w:rFonts w:ascii="Book Antiqua" w:hAnsi="Book Antiqua" w:cs="Arial"/>
                <w:b/>
              </w:rPr>
              <w:t xml:space="preserve">n </w:t>
            </w:r>
            <w:r w:rsidR="00E339F0">
              <w:rPr>
                <w:rFonts w:ascii="Book Antiqua" w:hAnsi="Book Antiqua" w:cs="Arial"/>
                <w:b/>
              </w:rPr>
              <w:t>6</w:t>
            </w:r>
            <w:r w:rsidR="009F749F">
              <w:rPr>
                <w:rFonts w:ascii="Book Antiqua" w:hAnsi="Book Antiqua" w:cs="Arial"/>
                <w:b/>
              </w:rPr>
              <w:t xml:space="preserve"> September 2018</w:t>
            </w:r>
          </w:p>
        </w:tc>
        <w:tc>
          <w:tcPr>
            <w:tcW w:w="4813" w:type="dxa"/>
            <w:gridSpan w:val="2"/>
            <w:shd w:val="clear" w:color="auto" w:fill="auto"/>
          </w:tcPr>
          <w:p w:rsidR="00933B65" w:rsidRPr="002154EF" w:rsidRDefault="00194803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13 September 2018 </w:t>
            </w:r>
          </w:p>
        </w:tc>
      </w:tr>
      <w:tr w:rsidR="00933B65" w:rsidRPr="002154EF" w:rsidTr="00194803">
        <w:tc>
          <w:tcPr>
            <w:tcW w:w="5911" w:type="dxa"/>
            <w:gridSpan w:val="2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717" w:type="dxa"/>
            <w:shd w:val="clear" w:color="auto" w:fill="auto"/>
          </w:tcPr>
          <w:p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1D19BA" w:rsidRDefault="001D19BA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8B5B9B">
        <w:rPr>
          <w:rFonts w:ascii="Book Antiqua" w:hAnsi="Book Antiqua" w:cs="Arial"/>
          <w:b/>
          <w:color w:val="000000"/>
        </w:rPr>
        <w:t>MACLEMAN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Default="002151A4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REBAZ </w:t>
      </w:r>
      <w:r w:rsidR="00E84B7C">
        <w:rPr>
          <w:rFonts w:ascii="Book Antiqua" w:hAnsi="Book Antiqua" w:cs="Arial"/>
          <w:b/>
        </w:rPr>
        <w:t>[</w:t>
      </w:r>
      <w:r>
        <w:rPr>
          <w:rFonts w:ascii="Book Antiqua" w:hAnsi="Book Antiqua" w:cs="Arial"/>
          <w:b/>
        </w:rPr>
        <w:t>K</w:t>
      </w:r>
      <w:r w:rsidR="00E84B7C">
        <w:rPr>
          <w:rFonts w:ascii="Book Antiqua" w:hAnsi="Book Antiqua" w:cs="Arial"/>
          <w:b/>
        </w:rPr>
        <w:t>]</w:t>
      </w:r>
    </w:p>
    <w:p w:rsidR="00194803" w:rsidRPr="00F97703" w:rsidRDefault="00194803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(anonymity direction not made) </w:t>
      </w:r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D44C2B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F97703">
        <w:rPr>
          <w:rFonts w:ascii="Book Antiqua" w:hAnsi="Book Antiqua" w:cs="Arial"/>
          <w:b/>
        </w:rPr>
        <w:instrText xml:space="preserve"> FORMTEXT </w:instrText>
      </w:r>
      <w:r w:rsidRPr="00F97703">
        <w:rPr>
          <w:rFonts w:ascii="Book Antiqua" w:hAnsi="Book Antiqua" w:cs="Arial"/>
          <w:b/>
        </w:rPr>
      </w:r>
      <w:r w:rsidRPr="00F97703">
        <w:rPr>
          <w:rFonts w:ascii="Book Antiqua" w:hAnsi="Book Antiqua" w:cs="Arial"/>
          <w:b/>
        </w:rPr>
        <w:fldChar w:fldCharType="separate"/>
      </w:r>
      <w:r w:rsidRPr="00F97703">
        <w:rPr>
          <w:rFonts w:ascii="Book Antiqua" w:hAnsi="Book Antiqua" w:cs="Arial"/>
          <w:b/>
          <w:noProof/>
        </w:rPr>
        <w:t>THE SECRETARY OF STATE FOR THE HOME DEPARTMENT</w:t>
      </w:r>
      <w:r w:rsidRPr="00F97703">
        <w:rPr>
          <w:rFonts w:ascii="Book Antiqua" w:hAnsi="Book Antiqua" w:cs="Arial"/>
          <w:b/>
        </w:rPr>
        <w:fldChar w:fldCharType="end"/>
      </w:r>
      <w:bookmarkEnd w:id="1"/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Default="00933B65" w:rsidP="008A64A7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1D19BA" w:rsidRPr="00F97703" w:rsidRDefault="001D19BA" w:rsidP="008A64A7">
      <w:pPr>
        <w:jc w:val="right"/>
        <w:rPr>
          <w:rFonts w:ascii="Book Antiqua" w:hAnsi="Book Antiqua" w:cs="Arial"/>
          <w:u w:val="single"/>
        </w:rPr>
      </w:pPr>
    </w:p>
    <w:p w:rsidR="00933B65" w:rsidRPr="00F97703" w:rsidRDefault="00933B65" w:rsidP="00933B65">
      <w:pPr>
        <w:rPr>
          <w:rFonts w:ascii="Book Antiqua" w:hAnsi="Book Antiqua" w:cs="Arial"/>
        </w:rPr>
      </w:pPr>
    </w:p>
    <w:p w:rsidR="00933B65" w:rsidRPr="00F97703" w:rsidRDefault="00933B65" w:rsidP="00933B65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Appellant:</w:t>
      </w:r>
      <w:r w:rsidRPr="00F97703">
        <w:rPr>
          <w:rFonts w:ascii="Book Antiqua" w:hAnsi="Book Antiqua" w:cs="Arial"/>
        </w:rPr>
        <w:tab/>
      </w:r>
      <w:r w:rsidR="00AA3AB8">
        <w:rPr>
          <w:rFonts w:ascii="Book Antiqua" w:hAnsi="Book Antiqua" w:cs="Arial"/>
        </w:rPr>
        <w:t>M</w:t>
      </w:r>
      <w:r w:rsidR="00DB2A5F">
        <w:rPr>
          <w:rFonts w:ascii="Book Antiqua" w:hAnsi="Book Antiqua" w:cs="Arial"/>
        </w:rPr>
        <w:t xml:space="preserve">s S McKeeve, of </w:t>
      </w:r>
      <w:r w:rsidR="009F749F">
        <w:rPr>
          <w:rFonts w:ascii="Book Antiqua" w:hAnsi="Book Antiqua" w:cs="Arial"/>
        </w:rPr>
        <w:t>McGlashan MacKay</w:t>
      </w:r>
      <w:r w:rsidR="002E668B">
        <w:rPr>
          <w:rFonts w:ascii="Book Antiqua" w:hAnsi="Book Antiqua" w:cs="Arial"/>
        </w:rPr>
        <w:t xml:space="preserve">, </w:t>
      </w:r>
      <w:r w:rsidR="003D7D3D">
        <w:rPr>
          <w:rFonts w:ascii="Book Antiqua" w:hAnsi="Book Antiqua" w:cs="Arial"/>
        </w:rPr>
        <w:t>Solicitors</w:t>
      </w:r>
    </w:p>
    <w:p w:rsidR="00933B65" w:rsidRDefault="00933B65" w:rsidP="008A64A7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Pr="00F97703">
        <w:rPr>
          <w:rFonts w:ascii="Book Antiqua" w:hAnsi="Book Antiqua" w:cs="Arial"/>
        </w:rPr>
        <w:tab/>
      </w:r>
      <w:r w:rsidR="00ED6C37">
        <w:rPr>
          <w:rFonts w:ascii="Book Antiqua" w:hAnsi="Book Antiqua" w:cs="Arial"/>
        </w:rPr>
        <w:t xml:space="preserve">Mr A Govan, </w:t>
      </w:r>
      <w:r w:rsidR="003D7D3D">
        <w:rPr>
          <w:rFonts w:ascii="Book Antiqua" w:hAnsi="Book Antiqua" w:cs="Arial"/>
        </w:rPr>
        <w:t>Senior</w:t>
      </w:r>
      <w:r>
        <w:rPr>
          <w:rFonts w:ascii="Book Antiqua" w:hAnsi="Book Antiqua" w:cs="Arial"/>
        </w:rPr>
        <w:t xml:space="preserve"> Home Office Presenting Officer</w:t>
      </w:r>
    </w:p>
    <w:p w:rsidR="001D19BA" w:rsidRPr="00F97703" w:rsidRDefault="001D19BA" w:rsidP="008A64A7">
      <w:pPr>
        <w:tabs>
          <w:tab w:val="left" w:pos="2520"/>
        </w:tabs>
        <w:rPr>
          <w:rFonts w:ascii="Book Antiqua" w:hAnsi="Book Antiqua" w:cs="Arial"/>
        </w:rPr>
      </w:pPr>
    </w:p>
    <w:p w:rsidR="00933B65" w:rsidRPr="00F97703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321C6F" w:rsidRDefault="00933B65" w:rsidP="00734D2D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 w:rsidRPr="00F97703">
        <w:rPr>
          <w:rFonts w:ascii="Book Antiqua" w:hAnsi="Book Antiqua" w:cs="Arial"/>
          <w:b/>
          <w:u w:val="single"/>
        </w:rPr>
        <w:t>DETERMINATION AND REASONS</w:t>
      </w:r>
    </w:p>
    <w:p w:rsidR="001D19BA" w:rsidRPr="002B54F9" w:rsidRDefault="001D19BA" w:rsidP="00734D2D">
      <w:pPr>
        <w:tabs>
          <w:tab w:val="left" w:pos="2520"/>
        </w:tabs>
        <w:jc w:val="center"/>
        <w:rPr>
          <w:rFonts w:ascii="Book Antiqua" w:hAnsi="Book Antiqua" w:cs="Arial"/>
          <w:sz w:val="20"/>
          <w:szCs w:val="20"/>
        </w:rPr>
      </w:pPr>
    </w:p>
    <w:p w:rsidR="00D31D54" w:rsidRDefault="00007BAC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</w:t>
      </w:r>
      <w:r w:rsidR="00D31D54">
        <w:rPr>
          <w:rFonts w:ascii="Book Antiqua" w:hAnsi="Book Antiqua" w:cs="Arial"/>
        </w:rPr>
        <w:t>is decision is to be read with:</w:t>
      </w:r>
    </w:p>
    <w:p w:rsidR="00007BAC" w:rsidRPr="00D31D54" w:rsidRDefault="00D31D54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 w:cs="Arial"/>
        </w:rPr>
      </w:pPr>
      <w:r w:rsidRPr="00D31D54">
        <w:rPr>
          <w:rFonts w:ascii="Book Antiqua" w:hAnsi="Book Antiqua" w:cs="Arial"/>
        </w:rPr>
        <w:t>The</w:t>
      </w:r>
      <w:r w:rsidR="00007BAC" w:rsidRPr="00D31D54">
        <w:rPr>
          <w:rFonts w:ascii="Book Antiqua" w:hAnsi="Book Antiqua" w:cs="Arial"/>
        </w:rPr>
        <w:t xml:space="preserve"> respondent</w:t>
      </w:r>
      <w:r>
        <w:rPr>
          <w:rFonts w:ascii="Book Antiqua" w:hAnsi="Book Antiqua" w:cs="Arial"/>
        </w:rPr>
        <w:t xml:space="preserve">’s decision dated </w:t>
      </w:r>
      <w:r w:rsidR="002E668B">
        <w:rPr>
          <w:rFonts w:ascii="Book Antiqua" w:hAnsi="Book Antiqua" w:cs="Arial"/>
        </w:rPr>
        <w:t>5 September 2016,</w:t>
      </w:r>
      <w:r w:rsidR="00007BAC" w:rsidRPr="00D31D54">
        <w:rPr>
          <w:rFonts w:ascii="Book Antiqua" w:hAnsi="Book Antiqua" w:cs="Arial"/>
        </w:rPr>
        <w:t xml:space="preserve"> refus</w:t>
      </w:r>
      <w:r w:rsidR="000777B7">
        <w:rPr>
          <w:rFonts w:ascii="Book Antiqua" w:hAnsi="Book Antiqua" w:cs="Arial"/>
        </w:rPr>
        <w:t>ing the appellant’s</w:t>
      </w:r>
      <w:r w:rsidR="00007BAC" w:rsidRPr="00D31D54">
        <w:rPr>
          <w:rFonts w:ascii="Book Antiqua" w:hAnsi="Book Antiqua" w:cs="Arial"/>
        </w:rPr>
        <w:t xml:space="preserve"> claim</w:t>
      </w:r>
      <w:r w:rsidR="000777B7">
        <w:rPr>
          <w:rFonts w:ascii="Book Antiqua" w:hAnsi="Book Antiqua" w:cs="Arial"/>
        </w:rPr>
        <w:t>.</w:t>
      </w:r>
      <w:r w:rsidR="00007BAC" w:rsidRPr="00D31D54">
        <w:rPr>
          <w:rFonts w:ascii="Book Antiqua" w:hAnsi="Book Antiqua" w:cs="Arial"/>
        </w:rPr>
        <w:t xml:space="preserve"> </w:t>
      </w:r>
    </w:p>
    <w:p w:rsidR="000777B7" w:rsidRDefault="000777B7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The appellant’s grounds of appeal to the First-tier Tribunal.</w:t>
      </w:r>
    </w:p>
    <w:p w:rsidR="00007BAC" w:rsidRDefault="000777B7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decision of FtT</w:t>
      </w:r>
      <w:r w:rsidR="00007BAC">
        <w:rPr>
          <w:rFonts w:ascii="Book Antiqua" w:hAnsi="Book Antiqua" w:cs="Arial"/>
        </w:rPr>
        <w:t xml:space="preserve"> Judge </w:t>
      </w:r>
      <w:r w:rsidR="00713780">
        <w:rPr>
          <w:rFonts w:ascii="Book Antiqua" w:hAnsi="Book Antiqua" w:cs="Arial"/>
        </w:rPr>
        <w:t>Handley,</w:t>
      </w:r>
      <w:r w:rsidR="00007BAC">
        <w:rPr>
          <w:rFonts w:ascii="Book Antiqua" w:hAnsi="Book Antiqua" w:cs="Arial"/>
        </w:rPr>
        <w:t xml:space="preserve"> promulgated on</w:t>
      </w:r>
      <w:r w:rsidR="00713780">
        <w:rPr>
          <w:rFonts w:ascii="Book Antiqua" w:hAnsi="Book Antiqua" w:cs="Arial"/>
        </w:rPr>
        <w:t xml:space="preserve"> 6 November 2017, dismissing the appeal.</w:t>
      </w:r>
      <w:r w:rsidR="00007BAC">
        <w:rPr>
          <w:rFonts w:ascii="Book Antiqua" w:hAnsi="Book Antiqua" w:cs="Arial"/>
        </w:rPr>
        <w:t xml:space="preserve"> </w:t>
      </w:r>
    </w:p>
    <w:p w:rsidR="00F47052" w:rsidRDefault="00C15A7E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The appellant’s grounds of appeal </w:t>
      </w:r>
      <w:r w:rsidR="00F125AD">
        <w:rPr>
          <w:rFonts w:ascii="Book Antiqua" w:hAnsi="Book Antiqua" w:cs="Arial"/>
        </w:rPr>
        <w:t xml:space="preserve">to the UT, stated </w:t>
      </w:r>
      <w:r>
        <w:rPr>
          <w:rFonts w:ascii="Book Antiqua" w:hAnsi="Book Antiqua" w:cs="Arial"/>
        </w:rPr>
        <w:t xml:space="preserve">in the </w:t>
      </w:r>
      <w:r w:rsidRPr="00F1787C">
        <w:rPr>
          <w:rFonts w:ascii="Book Antiqua" w:hAnsi="Book Antiqua"/>
        </w:rPr>
        <w:t xml:space="preserve">application for permission </w:t>
      </w:r>
      <w:r w:rsidR="00470675">
        <w:rPr>
          <w:rFonts w:ascii="Book Antiqua" w:hAnsi="Book Antiqua"/>
        </w:rPr>
        <w:t>on</w:t>
      </w:r>
      <w:r w:rsidR="00B11175">
        <w:rPr>
          <w:rFonts w:ascii="Book Antiqua" w:hAnsi="Book Antiqua"/>
        </w:rPr>
        <w:t xml:space="preserve"> 24 January 2018</w:t>
      </w:r>
      <w:r w:rsidR="00BA3052">
        <w:rPr>
          <w:rFonts w:ascii="Book Antiqua" w:hAnsi="Book Antiqua"/>
        </w:rPr>
        <w:t xml:space="preserve"> under the heading “errors of law in light of the expert report</w:t>
      </w:r>
      <w:r w:rsidR="00377D41">
        <w:rPr>
          <w:rFonts w:ascii="Book Antiqua" w:hAnsi="Book Antiqua"/>
        </w:rPr>
        <w:t>” at 3 (i) – (iv)</w:t>
      </w:r>
      <w:r w:rsidR="00D50B7B">
        <w:rPr>
          <w:rFonts w:ascii="Book Antiqua" w:hAnsi="Book Antiqua"/>
        </w:rPr>
        <w:t>,</w:t>
      </w:r>
      <w:r w:rsidR="00377D41">
        <w:rPr>
          <w:rFonts w:ascii="Book Antiqua" w:hAnsi="Book Antiqua"/>
        </w:rPr>
        <w:t xml:space="preserve"> and </w:t>
      </w:r>
      <w:r w:rsidR="00D50B7B">
        <w:rPr>
          <w:rFonts w:ascii="Book Antiqua" w:hAnsi="Book Antiqua"/>
        </w:rPr>
        <w:t xml:space="preserve">on materiality at </w:t>
      </w:r>
      <w:r w:rsidR="00377D41">
        <w:rPr>
          <w:rFonts w:ascii="Book Antiqua" w:hAnsi="Book Antiqua"/>
        </w:rPr>
        <w:t>4 (i) – (</w:t>
      </w:r>
      <w:r w:rsidR="00AE7DEE">
        <w:rPr>
          <w:rFonts w:ascii="Book Antiqua" w:hAnsi="Book Antiqua"/>
        </w:rPr>
        <w:t>v).</w:t>
      </w:r>
      <w:r w:rsidR="00B11175">
        <w:rPr>
          <w:rFonts w:ascii="Book Antiqua" w:hAnsi="Book Antiqua"/>
        </w:rPr>
        <w:t xml:space="preserve"> </w:t>
      </w:r>
    </w:p>
    <w:p w:rsidR="00007BAC" w:rsidRDefault="00F47052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The grant of permission</w:t>
      </w:r>
      <w:r w:rsidR="00AE7DEE">
        <w:rPr>
          <w:rFonts w:ascii="Book Antiqua" w:hAnsi="Book Antiqua"/>
        </w:rPr>
        <w:t xml:space="preserve"> by the UT dated 7 </w:t>
      </w:r>
      <w:r w:rsidR="000A21EC">
        <w:rPr>
          <w:rFonts w:ascii="Book Antiqua" w:hAnsi="Book Antiqua"/>
        </w:rPr>
        <w:t>March</w:t>
      </w:r>
      <w:r w:rsidR="00AE7DEE">
        <w:rPr>
          <w:rFonts w:ascii="Book Antiqua" w:hAnsi="Book Antiqua"/>
        </w:rPr>
        <w:t xml:space="preserve"> 2018, on the view it was arguable that </w:t>
      </w:r>
      <w:r w:rsidR="00D00238">
        <w:rPr>
          <w:rFonts w:ascii="Book Antiqua" w:hAnsi="Book Antiqua"/>
        </w:rPr>
        <w:t xml:space="preserve">the Judge might have failed to engage with </w:t>
      </w:r>
      <w:r w:rsidR="000A21EC">
        <w:rPr>
          <w:rFonts w:ascii="Book Antiqua" w:hAnsi="Book Antiqua"/>
        </w:rPr>
        <w:t>an</w:t>
      </w:r>
      <w:r w:rsidR="00D00238">
        <w:rPr>
          <w:rFonts w:ascii="Book Antiqua" w:hAnsi="Book Antiqua"/>
        </w:rPr>
        <w:t xml:space="preserve"> expert report from Mr Joffe or with other background evidence.</w:t>
      </w:r>
      <w:r w:rsidR="00470675">
        <w:rPr>
          <w:rFonts w:ascii="Book Antiqua" w:hAnsi="Book Antiqua"/>
        </w:rPr>
        <w:t xml:space="preserve"> </w:t>
      </w:r>
    </w:p>
    <w:p w:rsidR="006D7406" w:rsidRPr="006D7406" w:rsidRDefault="00F2792E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Ms McKeeve sought to amend the grounds, </w:t>
      </w:r>
      <w:r w:rsidR="00CC0F57">
        <w:rPr>
          <w:rFonts w:ascii="Book Antiqua" w:hAnsi="Book Antiqua" w:cs="Arial"/>
        </w:rPr>
        <w:t>to</w:t>
      </w:r>
      <w:r>
        <w:rPr>
          <w:rFonts w:ascii="Book Antiqua" w:hAnsi="Book Antiqua" w:cs="Arial"/>
        </w:rPr>
        <w:t xml:space="preserve"> rely also on failure</w:t>
      </w:r>
      <w:r w:rsidR="00F32C03">
        <w:rPr>
          <w:rFonts w:ascii="Book Antiqua" w:hAnsi="Book Antiqua" w:cs="Arial"/>
        </w:rPr>
        <w:t xml:space="preserve"> to deal with a letter from </w:t>
      </w:r>
      <w:r w:rsidR="00701CE3">
        <w:rPr>
          <w:rFonts w:ascii="Book Antiqua" w:hAnsi="Book Antiqua" w:cs="Arial"/>
        </w:rPr>
        <w:t>Mr R</w:t>
      </w:r>
      <w:r w:rsidR="004A6A15">
        <w:rPr>
          <w:rFonts w:ascii="Book Antiqua" w:hAnsi="Book Antiqua" w:cs="Arial"/>
        </w:rPr>
        <w:t xml:space="preserve">ahamim </w:t>
      </w:r>
      <w:r w:rsidR="00701CE3">
        <w:rPr>
          <w:rFonts w:ascii="Book Antiqua" w:hAnsi="Book Antiqua" w:cs="Arial"/>
        </w:rPr>
        <w:t>Moshe</w:t>
      </w:r>
      <w:r w:rsidR="004A6A15">
        <w:rPr>
          <w:rFonts w:ascii="Book Antiqua" w:hAnsi="Book Antiqua" w:cs="Arial"/>
        </w:rPr>
        <w:t xml:space="preserve"> (or Moshe Rahamim)</w:t>
      </w:r>
      <w:r w:rsidR="009E40FC">
        <w:rPr>
          <w:rFonts w:ascii="Book Antiqua" w:hAnsi="Book Antiqua" w:cs="Arial"/>
        </w:rPr>
        <w:t xml:space="preserve">, a copy and a </w:t>
      </w:r>
      <w:r w:rsidR="009E3754">
        <w:rPr>
          <w:rFonts w:ascii="Book Antiqua" w:hAnsi="Book Antiqua" w:cs="Arial"/>
        </w:rPr>
        <w:t>translation</w:t>
      </w:r>
      <w:r w:rsidR="009E40FC">
        <w:rPr>
          <w:rFonts w:ascii="Book Antiqua" w:hAnsi="Book Antiqua" w:cs="Arial"/>
        </w:rPr>
        <w:t xml:space="preserve"> of which are</w:t>
      </w:r>
      <w:r w:rsidR="004A6A15">
        <w:rPr>
          <w:rFonts w:ascii="Book Antiqua" w:hAnsi="Book Antiqua" w:cs="Arial"/>
        </w:rPr>
        <w:t xml:space="preserve"> </w:t>
      </w:r>
      <w:r w:rsidR="009E40FC">
        <w:rPr>
          <w:rFonts w:ascii="Book Antiqua" w:hAnsi="Book Antiqua" w:cs="Arial"/>
        </w:rPr>
        <w:t>in the appellant’s</w:t>
      </w:r>
      <w:r w:rsidR="009E3754">
        <w:rPr>
          <w:rFonts w:ascii="Book Antiqua" w:hAnsi="Book Antiqua" w:cs="Arial"/>
        </w:rPr>
        <w:t xml:space="preserve"> first inventory in the FtT, item 3.</w:t>
      </w:r>
      <w:r w:rsidR="00FB1DBB">
        <w:rPr>
          <w:rFonts w:ascii="Book Antiqua" w:hAnsi="Book Antiqua" w:cs="Arial"/>
        </w:rPr>
        <w:t xml:space="preserve">  She sought a remit.</w:t>
      </w:r>
    </w:p>
    <w:p w:rsidR="00FB1DBB" w:rsidRPr="00FB1DBB" w:rsidRDefault="009E3754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Mr Govan</w:t>
      </w:r>
      <w:r w:rsidR="00F00DFB">
        <w:rPr>
          <w:rFonts w:ascii="Book Antiqua" w:hAnsi="Book Antiqua" w:cs="Arial"/>
        </w:rPr>
        <w:t>, sensibly,</w:t>
      </w:r>
      <w:r w:rsidR="00FB1DBB">
        <w:rPr>
          <w:rFonts w:ascii="Book Antiqua" w:hAnsi="Book Antiqua" w:cs="Arial"/>
        </w:rPr>
        <w:t xml:space="preserve"> did not oppose the amendment.  He argued that </w:t>
      </w:r>
      <w:r w:rsidR="00400183">
        <w:rPr>
          <w:rFonts w:ascii="Book Antiqua" w:hAnsi="Book Antiqua" w:cs="Arial"/>
        </w:rPr>
        <w:t xml:space="preserve">although there was little reference to the expert report, it did not make any difference, and that the letter did not appear to have been </w:t>
      </w:r>
      <w:r w:rsidR="009B1307">
        <w:rPr>
          <w:rFonts w:ascii="Book Antiqua" w:hAnsi="Book Antiqua" w:cs="Arial"/>
        </w:rPr>
        <w:t xml:space="preserve">heavily relied upon in the FtT, and </w:t>
      </w:r>
      <w:r w:rsidR="00400183">
        <w:rPr>
          <w:rFonts w:ascii="Book Antiqua" w:hAnsi="Book Antiqua" w:cs="Arial"/>
        </w:rPr>
        <w:t xml:space="preserve">required no separate </w:t>
      </w:r>
      <w:r w:rsidR="009B1307">
        <w:rPr>
          <w:rFonts w:ascii="Book Antiqua" w:hAnsi="Book Antiqua" w:cs="Arial"/>
        </w:rPr>
        <w:t>treatment.</w:t>
      </w:r>
      <w:r w:rsidR="00400183">
        <w:rPr>
          <w:rFonts w:ascii="Book Antiqua" w:hAnsi="Book Antiqua" w:cs="Arial"/>
        </w:rPr>
        <w:t xml:space="preserve"> </w:t>
      </w:r>
    </w:p>
    <w:p w:rsidR="009B1307" w:rsidRPr="009B1307" w:rsidRDefault="00FB1DBB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I indicated that I was satisfied that there was error of law such</w:t>
      </w:r>
      <w:r w:rsidR="009B1307">
        <w:rPr>
          <w:rFonts w:ascii="Book Antiqua" w:hAnsi="Book Antiqua" w:cs="Arial"/>
        </w:rPr>
        <w:t xml:space="preserve"> as to require remittal.</w:t>
      </w:r>
    </w:p>
    <w:p w:rsidR="00064A98" w:rsidRPr="00354741" w:rsidRDefault="008909AA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The judge narrates at par</w:t>
      </w:r>
      <w:r w:rsidR="001E7908">
        <w:rPr>
          <w:rFonts w:ascii="Book Antiqua" w:hAnsi="Book Antiqua" w:cs="Arial"/>
        </w:rPr>
        <w:t>a</w:t>
      </w:r>
      <w:r>
        <w:rPr>
          <w:rFonts w:ascii="Book Antiqua" w:hAnsi="Book Antiqua" w:cs="Arial"/>
        </w:rPr>
        <w:t>g</w:t>
      </w:r>
      <w:r w:rsidR="001E7908">
        <w:rPr>
          <w:rFonts w:ascii="Book Antiqua" w:hAnsi="Book Antiqua" w:cs="Arial"/>
        </w:rPr>
        <w:t>raph</w:t>
      </w:r>
      <w:r>
        <w:rPr>
          <w:rFonts w:ascii="Book Antiqua" w:hAnsi="Book Antiqua" w:cs="Arial"/>
        </w:rPr>
        <w:t xml:space="preserve"> </w:t>
      </w:r>
      <w:r w:rsidR="001E7908">
        <w:rPr>
          <w:rFonts w:ascii="Book Antiqua" w:hAnsi="Book Antiqua" w:cs="Arial"/>
        </w:rPr>
        <w:t>3 that the appellant submitted an expert report, but does not mention it again.</w:t>
      </w:r>
    </w:p>
    <w:p w:rsidR="00354741" w:rsidRPr="00064A98" w:rsidRDefault="00354741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The appellant claimed to be entitled neither to Iranian nor to Israeli nationality.</w:t>
      </w:r>
      <w:r w:rsidR="006D7406">
        <w:rPr>
          <w:rFonts w:ascii="Book Antiqua" w:hAnsi="Book Antiqua"/>
        </w:rPr>
        <w:t xml:space="preserve">  The report went to those crucial issues.</w:t>
      </w:r>
    </w:p>
    <w:p w:rsidR="00F2792E" w:rsidRPr="005468D6" w:rsidRDefault="00064A98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The </w:t>
      </w:r>
      <w:r w:rsidR="00CB5C2A">
        <w:rPr>
          <w:rFonts w:ascii="Book Antiqua" w:hAnsi="Book Antiqua" w:cs="Arial"/>
        </w:rPr>
        <w:t xml:space="preserve">judge at paragraph </w:t>
      </w:r>
      <w:r w:rsidR="001D7FC9">
        <w:rPr>
          <w:rFonts w:ascii="Book Antiqua" w:hAnsi="Book Antiqua" w:cs="Arial"/>
        </w:rPr>
        <w:t xml:space="preserve">37 </w:t>
      </w:r>
      <w:r w:rsidR="00336AC1">
        <w:rPr>
          <w:rFonts w:ascii="Book Antiqua" w:hAnsi="Book Antiqua" w:cs="Arial"/>
        </w:rPr>
        <w:t>finds that</w:t>
      </w:r>
      <w:r w:rsidR="001D7FC9">
        <w:rPr>
          <w:rFonts w:ascii="Book Antiqua" w:hAnsi="Book Antiqua" w:cs="Arial"/>
        </w:rPr>
        <w:t xml:space="preserve"> the appellant’s account </w:t>
      </w:r>
      <w:r w:rsidR="00336AC1">
        <w:rPr>
          <w:rFonts w:ascii="Book Antiqua" w:hAnsi="Book Antiqua" w:cs="Arial"/>
        </w:rPr>
        <w:t xml:space="preserve">of an ID card </w:t>
      </w:r>
      <w:r w:rsidR="00B11C04">
        <w:rPr>
          <w:rFonts w:ascii="Book Antiqua" w:hAnsi="Book Antiqua" w:cs="Arial"/>
        </w:rPr>
        <w:t>suggested that he was a national of Iran</w:t>
      </w:r>
      <w:r w:rsidR="00265219">
        <w:rPr>
          <w:rFonts w:ascii="Book Antiqua" w:hAnsi="Book Antiqua" w:cs="Arial"/>
        </w:rPr>
        <w:t xml:space="preserve">, and that he offered </w:t>
      </w:r>
      <w:r w:rsidR="00E979AB">
        <w:rPr>
          <w:rFonts w:ascii="Book Antiqua" w:hAnsi="Book Antiqua" w:cs="Arial"/>
        </w:rPr>
        <w:t>“</w:t>
      </w:r>
      <w:r w:rsidR="00265219">
        <w:rPr>
          <w:rFonts w:ascii="Book Antiqua" w:hAnsi="Book Antiqua" w:cs="Arial"/>
        </w:rPr>
        <w:t>no plausible explanation</w:t>
      </w:r>
      <w:r w:rsidR="00E979AB">
        <w:rPr>
          <w:rFonts w:ascii="Book Antiqua" w:hAnsi="Book Antiqua" w:cs="Arial"/>
        </w:rPr>
        <w:t>”</w:t>
      </w:r>
      <w:r w:rsidR="00265219">
        <w:rPr>
          <w:rFonts w:ascii="Book Antiqua" w:hAnsi="Book Antiqua" w:cs="Arial"/>
        </w:rPr>
        <w:t xml:space="preserve"> for his </w:t>
      </w:r>
      <w:r w:rsidR="00E979AB">
        <w:rPr>
          <w:rFonts w:ascii="Book Antiqua" w:hAnsi="Book Antiqua" w:cs="Arial"/>
        </w:rPr>
        <w:t>“</w:t>
      </w:r>
      <w:r w:rsidR="00265219">
        <w:rPr>
          <w:rFonts w:ascii="Book Antiqua" w:hAnsi="Book Antiqua" w:cs="Arial"/>
        </w:rPr>
        <w:t>lack of clarity</w:t>
      </w:r>
      <w:r w:rsidR="00E979AB">
        <w:rPr>
          <w:rFonts w:ascii="Book Antiqua" w:hAnsi="Book Antiqua" w:cs="Arial"/>
        </w:rPr>
        <w:t>”</w:t>
      </w:r>
      <w:r w:rsidR="00265219">
        <w:rPr>
          <w:rFonts w:ascii="Book Antiqua" w:hAnsi="Book Antiqua" w:cs="Arial"/>
        </w:rPr>
        <w:t xml:space="preserve"> at interview</w:t>
      </w:r>
      <w:r w:rsidR="0053674A">
        <w:rPr>
          <w:rFonts w:ascii="Book Antiqua" w:hAnsi="Book Antiqua" w:cs="Arial"/>
        </w:rPr>
        <w:t>.  As Ms McKeeve identified at paragraph 4 (ii) of the grounds and in submissions, this takes</w:t>
      </w:r>
      <w:r w:rsidR="005468D6">
        <w:rPr>
          <w:rFonts w:ascii="Book Antiqua" w:hAnsi="Book Antiqua" w:cs="Arial"/>
        </w:rPr>
        <w:t xml:space="preserve"> no account</w:t>
      </w:r>
      <w:r w:rsidR="00802076">
        <w:rPr>
          <w:rFonts w:ascii="Book Antiqua" w:hAnsi="Book Antiqua" w:cs="Arial"/>
        </w:rPr>
        <w:t xml:space="preserve"> of </w:t>
      </w:r>
      <w:r w:rsidR="00A16D22">
        <w:rPr>
          <w:rFonts w:ascii="Book Antiqua" w:hAnsi="Book Antiqua" w:cs="Arial"/>
        </w:rPr>
        <w:t xml:space="preserve">relevant passages at paragraphs </w:t>
      </w:r>
      <w:r w:rsidR="00195B39">
        <w:rPr>
          <w:rFonts w:ascii="Book Antiqua" w:hAnsi="Book Antiqua" w:cs="Arial"/>
        </w:rPr>
        <w:t xml:space="preserve">12 and 13 of </w:t>
      </w:r>
      <w:r w:rsidR="00802076">
        <w:rPr>
          <w:rFonts w:ascii="Book Antiqua" w:hAnsi="Book Antiqua" w:cs="Arial"/>
        </w:rPr>
        <w:t>the</w:t>
      </w:r>
      <w:r w:rsidR="00195B39">
        <w:rPr>
          <w:rFonts w:ascii="Book Antiqua" w:hAnsi="Book Antiqua" w:cs="Arial"/>
        </w:rPr>
        <w:t xml:space="preserve"> report.  On reference also to</w:t>
      </w:r>
      <w:r w:rsidR="00A16D22">
        <w:rPr>
          <w:rFonts w:ascii="Book Antiqua" w:hAnsi="Book Antiqua" w:cs="Arial"/>
        </w:rPr>
        <w:t xml:space="preserve"> Q/A 85 – 87 and 93</w:t>
      </w:r>
      <w:r w:rsidR="00195B39">
        <w:rPr>
          <w:rFonts w:ascii="Book Antiqua" w:hAnsi="Book Antiqua" w:cs="Arial"/>
        </w:rPr>
        <w:t xml:space="preserve"> of the interview, </w:t>
      </w:r>
      <w:r w:rsidR="000E3965">
        <w:rPr>
          <w:rFonts w:ascii="Book Antiqua" w:hAnsi="Book Antiqua" w:cs="Arial"/>
        </w:rPr>
        <w:t>issues around the ID card</w:t>
      </w:r>
      <w:r w:rsidR="00D52051">
        <w:rPr>
          <w:rFonts w:ascii="Book Antiqua" w:hAnsi="Book Antiqua" w:cs="Arial"/>
        </w:rPr>
        <w:t xml:space="preserve"> could not satisfactorily be answered without </w:t>
      </w:r>
      <w:r w:rsidR="0034152F">
        <w:rPr>
          <w:rFonts w:ascii="Book Antiqua" w:hAnsi="Book Antiqua" w:cs="Arial"/>
        </w:rPr>
        <w:t>analysing the report.</w:t>
      </w:r>
      <w:r w:rsidR="00D52051">
        <w:rPr>
          <w:rFonts w:ascii="Book Antiqua" w:hAnsi="Book Antiqua" w:cs="Arial"/>
        </w:rPr>
        <w:t xml:space="preserve"> </w:t>
      </w:r>
    </w:p>
    <w:p w:rsidR="002874B4" w:rsidRDefault="005468D6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Mr </w:t>
      </w:r>
      <w:r w:rsidR="00D02849">
        <w:rPr>
          <w:rFonts w:ascii="Book Antiqua" w:hAnsi="Book Antiqua"/>
        </w:rPr>
        <w:t>Govan</w:t>
      </w:r>
      <w:r>
        <w:rPr>
          <w:rFonts w:ascii="Book Antiqua" w:hAnsi="Book Antiqua"/>
        </w:rPr>
        <w:t xml:space="preserve"> made legitimate points about the </w:t>
      </w:r>
      <w:r w:rsidR="009D6D58">
        <w:rPr>
          <w:rFonts w:ascii="Book Antiqua" w:hAnsi="Book Antiqua"/>
        </w:rPr>
        <w:t xml:space="preserve">weight which ought to be given to the </w:t>
      </w:r>
      <w:r w:rsidR="00D02849">
        <w:rPr>
          <w:rFonts w:ascii="Book Antiqua" w:hAnsi="Book Antiqua"/>
        </w:rPr>
        <w:t>report, and it does not lead inevitably to the decision being reversed; but those were points which would be relevant in remaking the decision</w:t>
      </w:r>
      <w:r w:rsidR="00802076">
        <w:rPr>
          <w:rFonts w:ascii="Book Antiqua" w:hAnsi="Book Antiqua"/>
        </w:rPr>
        <w:t>, rather than showing that the</w:t>
      </w:r>
      <w:r w:rsidR="008741B2">
        <w:rPr>
          <w:rFonts w:ascii="Book Antiqua" w:hAnsi="Book Antiqua"/>
        </w:rPr>
        <w:t>re was no error of law</w:t>
      </w:r>
      <w:r w:rsidR="00802076">
        <w:rPr>
          <w:rFonts w:ascii="Book Antiqua" w:hAnsi="Book Antiqua"/>
        </w:rPr>
        <w:t>.</w:t>
      </w:r>
    </w:p>
    <w:p w:rsidR="000F4902" w:rsidRDefault="002874B4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grounds make further points about the materiality </w:t>
      </w:r>
      <w:r w:rsidR="00462ACB">
        <w:rPr>
          <w:rFonts w:ascii="Book Antiqua" w:hAnsi="Book Antiqua"/>
        </w:rPr>
        <w:t xml:space="preserve">of failing to take account of the report, </w:t>
      </w:r>
      <w:r w:rsidR="0036117A">
        <w:rPr>
          <w:rFonts w:ascii="Book Antiqua" w:hAnsi="Book Antiqua"/>
        </w:rPr>
        <w:t xml:space="preserve">although </w:t>
      </w:r>
      <w:r w:rsidR="00462ACB">
        <w:rPr>
          <w:rFonts w:ascii="Book Antiqua" w:hAnsi="Book Antiqua"/>
        </w:rPr>
        <w:t>of lesser force</w:t>
      </w:r>
      <w:r w:rsidR="00E650B1">
        <w:rPr>
          <w:rFonts w:ascii="Book Antiqua" w:hAnsi="Book Antiqua"/>
        </w:rPr>
        <w:t xml:space="preserve">.  It does not seem that much was made of the letter from Israel, </w:t>
      </w:r>
      <w:r w:rsidR="004C778A">
        <w:rPr>
          <w:rFonts w:ascii="Book Antiqua" w:hAnsi="Book Antiqua"/>
        </w:rPr>
        <w:t>and a</w:t>
      </w:r>
      <w:r w:rsidR="00BC3002">
        <w:rPr>
          <w:rFonts w:ascii="Book Antiqua" w:hAnsi="Book Antiqua"/>
        </w:rPr>
        <w:t>g</w:t>
      </w:r>
      <w:r w:rsidR="004C778A">
        <w:rPr>
          <w:rFonts w:ascii="Book Antiqua" w:hAnsi="Book Antiqua"/>
        </w:rPr>
        <w:t xml:space="preserve">ain, reasons may </w:t>
      </w:r>
      <w:r w:rsidR="00BC3002">
        <w:rPr>
          <w:rFonts w:ascii="Book Antiqua" w:hAnsi="Book Antiqua"/>
        </w:rPr>
        <w:t>be</w:t>
      </w:r>
      <w:r w:rsidR="004C778A">
        <w:rPr>
          <w:rFonts w:ascii="Book Antiqua" w:hAnsi="Book Antiqua"/>
        </w:rPr>
        <w:t xml:space="preserve"> found to give it little weight, </w:t>
      </w:r>
      <w:r w:rsidR="00BC3002">
        <w:rPr>
          <w:rFonts w:ascii="Book Antiqua" w:hAnsi="Book Antiqua"/>
        </w:rPr>
        <w:t xml:space="preserve">but </w:t>
      </w:r>
      <w:r w:rsidR="004C778A">
        <w:rPr>
          <w:rFonts w:ascii="Book Antiqua" w:hAnsi="Book Antiqua"/>
        </w:rPr>
        <w:t>it is a source of evidence about the appellant’s national origins which probably warranted separate treatment.</w:t>
      </w:r>
    </w:p>
    <w:p w:rsidR="00FF3123" w:rsidRDefault="000F4902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The grounds as a whole, and at 4 (ii) in particular, </w:t>
      </w:r>
      <w:r w:rsidR="007F740F">
        <w:rPr>
          <w:rFonts w:ascii="Book Antiqua" w:hAnsi="Book Antiqua"/>
        </w:rPr>
        <w:t>sho</w:t>
      </w:r>
      <w:r w:rsidR="00C84482">
        <w:rPr>
          <w:rFonts w:ascii="Book Antiqua" w:hAnsi="Book Antiqua"/>
        </w:rPr>
        <w:t xml:space="preserve">w error on issues such that the decision cannot </w:t>
      </w:r>
      <w:r w:rsidR="008A25D2">
        <w:rPr>
          <w:rFonts w:ascii="Book Antiqua" w:hAnsi="Book Antiqua"/>
        </w:rPr>
        <w:t>s</w:t>
      </w:r>
      <w:r w:rsidR="00C84482">
        <w:rPr>
          <w:rFonts w:ascii="Book Antiqua" w:hAnsi="Book Antiqua"/>
        </w:rPr>
        <w:t>afely stand.</w:t>
      </w:r>
    </w:p>
    <w:p w:rsidR="006146BC" w:rsidRDefault="00C84482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Mr Govan argued that the decision could be remade by submissions on the report and the letter.  However, I preferred the </w:t>
      </w:r>
      <w:r w:rsidR="00761A3C">
        <w:rPr>
          <w:rFonts w:ascii="Book Antiqua" w:hAnsi="Book Antiqua"/>
        </w:rPr>
        <w:t>submission by Ms McKeeve that the overall credibility assessment was affected in such a way as to require a fresh hearing.</w:t>
      </w:r>
    </w:p>
    <w:p w:rsidR="006146BC" w:rsidRDefault="006146BC" w:rsidP="006146B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FtT is </w:t>
      </w:r>
      <w:r w:rsidRPr="0023596F">
        <w:rPr>
          <w:rFonts w:ascii="Book Antiqua" w:hAnsi="Book Antiqua" w:cs="Arial"/>
          <w:b/>
        </w:rPr>
        <w:t>set aside</w:t>
      </w:r>
      <w:r>
        <w:rPr>
          <w:rFonts w:ascii="Book Antiqua" w:hAnsi="Book Antiqua" w:cs="Arial"/>
        </w:rPr>
        <w:t>. It stands only as a record of what was said at the hearing.</w:t>
      </w:r>
    </w:p>
    <w:p w:rsidR="006146BC" w:rsidRDefault="006146BC" w:rsidP="006146B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The nature of th</w:t>
      </w:r>
      <w:r w:rsidR="00FF3123">
        <w:rPr>
          <w:rFonts w:ascii="Book Antiqua" w:hAnsi="Book Antiqua"/>
        </w:rPr>
        <w:t>e</w:t>
      </w:r>
      <w:r>
        <w:rPr>
          <w:rFonts w:ascii="Book Antiqua" w:hAnsi="Book Antiqua"/>
        </w:rPr>
        <w:t xml:space="preserve"> case is such that it is appropriate under section 12 of the 2002 Act and Practice Statement 7.2 to remit to the FtT for an entirely fresh hearing.  </w:t>
      </w:r>
    </w:p>
    <w:p w:rsidR="005468D6" w:rsidRPr="00F2792E" w:rsidRDefault="006146BC" w:rsidP="006146B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The member(s) of the FtT chosen to consider the case are not to include Judge</w:t>
      </w:r>
      <w:r w:rsidR="00CC0F57">
        <w:rPr>
          <w:rFonts w:ascii="Book Antiqua" w:hAnsi="Book Antiqua" w:cs="Arial"/>
        </w:rPr>
        <w:t xml:space="preserve"> Handley.</w:t>
      </w:r>
      <w:r>
        <w:rPr>
          <w:rFonts w:ascii="Book Antiqua" w:hAnsi="Book Antiqua" w:cs="Arial"/>
        </w:rPr>
        <w:t xml:space="preserve"> </w:t>
      </w:r>
      <w:r w:rsidR="00761A3C">
        <w:rPr>
          <w:rFonts w:ascii="Book Antiqua" w:hAnsi="Book Antiqua"/>
        </w:rPr>
        <w:t xml:space="preserve"> </w:t>
      </w:r>
      <w:r w:rsidR="00C84482">
        <w:rPr>
          <w:rFonts w:ascii="Book Antiqua" w:hAnsi="Book Antiqua"/>
        </w:rPr>
        <w:t xml:space="preserve">  </w:t>
      </w:r>
      <w:r w:rsidR="000F4902">
        <w:rPr>
          <w:rFonts w:ascii="Book Antiqua" w:hAnsi="Book Antiqua"/>
        </w:rPr>
        <w:t xml:space="preserve"> </w:t>
      </w:r>
      <w:r w:rsidR="004C778A">
        <w:rPr>
          <w:rFonts w:ascii="Book Antiqua" w:hAnsi="Book Antiqua"/>
        </w:rPr>
        <w:t xml:space="preserve">   </w:t>
      </w:r>
      <w:r w:rsidR="00462ACB">
        <w:rPr>
          <w:rFonts w:ascii="Book Antiqua" w:hAnsi="Book Antiqua"/>
        </w:rPr>
        <w:t xml:space="preserve"> </w:t>
      </w:r>
      <w:r w:rsidR="00D02849">
        <w:rPr>
          <w:rFonts w:ascii="Book Antiqua" w:hAnsi="Book Antiqua"/>
        </w:rPr>
        <w:t xml:space="preserve"> </w:t>
      </w:r>
    </w:p>
    <w:p w:rsidR="00321C6F" w:rsidRPr="006146BC" w:rsidRDefault="00F2792E" w:rsidP="00321C6F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 w:rsidRPr="006146BC">
        <w:rPr>
          <w:rFonts w:ascii="Book Antiqua" w:hAnsi="Book Antiqua" w:cs="Arial"/>
        </w:rPr>
        <w:t xml:space="preserve"> </w:t>
      </w:r>
      <w:r w:rsidR="00321C6F" w:rsidRPr="006146BC">
        <w:rPr>
          <w:rFonts w:ascii="Book Antiqua" w:hAnsi="Book Antiqua" w:cs="Arial"/>
        </w:rPr>
        <w:t>No</w:t>
      </w:r>
      <w:r w:rsidR="00321C6F" w:rsidRPr="006146BC">
        <w:rPr>
          <w:rFonts w:ascii="Book Antiqua" w:hAnsi="Book Antiqua"/>
        </w:rPr>
        <w:t xml:space="preserve"> anonymity direction has been requested or made.  </w:t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0046" w:rsidRPr="009445D2">
        <w:rPr>
          <w:noProof/>
          <w:sz w:val="22"/>
          <w:szCs w:val="22"/>
        </w:rPr>
        <w:drawing>
          <wp:inline distT="0" distB="0" distL="0" distR="0" wp14:anchorId="334D9F4B" wp14:editId="334D9F4C">
            <wp:extent cx="1533525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E339F0">
        <w:rPr>
          <w:rFonts w:ascii="Book Antiqua" w:hAnsi="Book Antiqua" w:cs="Arial"/>
        </w:rPr>
        <w:t>6</w:t>
      </w:r>
      <w:r w:rsidR="002151A4">
        <w:rPr>
          <w:rFonts w:ascii="Book Antiqua" w:hAnsi="Book Antiqua" w:cs="Arial"/>
        </w:rPr>
        <w:t xml:space="preserve"> September</w:t>
      </w:r>
      <w:r w:rsidR="007F4BBA">
        <w:rPr>
          <w:rFonts w:ascii="Book Antiqua" w:hAnsi="Book Antiqua" w:cs="Arial"/>
        </w:rPr>
        <w:t xml:space="preserve"> </w:t>
      </w:r>
      <w:r w:rsidR="000B442A">
        <w:rPr>
          <w:rFonts w:ascii="Book Antiqua" w:hAnsi="Book Antiqua" w:cs="Arial"/>
        </w:rPr>
        <w:t>20</w:t>
      </w:r>
      <w:r w:rsidR="00A810D2">
        <w:rPr>
          <w:rFonts w:ascii="Book Antiqua" w:hAnsi="Book Antiqua" w:cs="Arial"/>
        </w:rPr>
        <w:t>1</w:t>
      </w:r>
      <w:r w:rsidR="00B170ED">
        <w:rPr>
          <w:rFonts w:ascii="Book Antiqua" w:hAnsi="Book Antiqua" w:cs="Arial"/>
        </w:rPr>
        <w:t>8</w:t>
      </w:r>
      <w:r>
        <w:rPr>
          <w:rFonts w:ascii="Book Antiqua" w:hAnsi="Book Antiqua" w:cs="Arial"/>
        </w:rPr>
        <w:t xml:space="preserve"> </w:t>
      </w:r>
    </w:p>
    <w:p w:rsidR="00321C6F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Upper Tribunal Judge Macleman</w:t>
      </w:r>
    </w:p>
    <w:p w:rsidR="00933B65" w:rsidRPr="00F97703" w:rsidRDefault="00933B65" w:rsidP="00933B65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:rsidR="00266FFE" w:rsidRDefault="00266FFE"/>
    <w:p w:rsidR="006D2D9A" w:rsidRDefault="006D2D9A"/>
    <w:sectPr w:rsidR="006D2D9A" w:rsidSect="00614E94">
      <w:headerReference w:type="default" r:id="rId10"/>
      <w:footerReference w:type="defaul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F1A" w:rsidRDefault="00377F1A">
      <w:r>
        <w:separator/>
      </w:r>
    </w:p>
  </w:endnote>
  <w:endnote w:type="continuationSeparator" w:id="0">
    <w:p w:rsidR="00377F1A" w:rsidRDefault="00377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593795" w:rsidRDefault="008D4782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487E10">
      <w:rPr>
        <w:rStyle w:val="PageNumber"/>
        <w:rFonts w:ascii="Arial" w:hAnsi="Arial" w:cs="Arial"/>
        <w:noProof/>
        <w:sz w:val="16"/>
        <w:szCs w:val="16"/>
      </w:rPr>
      <w:t>3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090CF9" w:rsidRDefault="008D4782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</w:t>
    </w:r>
    <w:r w:rsidR="00194803">
      <w:rPr>
        <w:rFonts w:ascii="Arial" w:hAnsi="Arial" w:cs="Arial"/>
        <w:b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F1A" w:rsidRDefault="00377F1A">
      <w:r>
        <w:separator/>
      </w:r>
    </w:p>
  </w:footnote>
  <w:footnote w:type="continuationSeparator" w:id="0">
    <w:p w:rsidR="00377F1A" w:rsidRDefault="00377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3C5CE5" w:rsidRDefault="008D4782" w:rsidP="00614E94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Appeal Number: </w:t>
    </w:r>
    <w:r w:rsidR="00194803" w:rsidRPr="00194803">
      <w:rPr>
        <w:rFonts w:ascii="Arial" w:hAnsi="Arial" w:cs="Arial"/>
        <w:sz w:val="16"/>
        <w:szCs w:val="16"/>
      </w:rPr>
      <w:t>PA/10413/2016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BAA4D2A-C319-41DE-BC2F-6E1149FFB2E7}"/>
    <w:docVar w:name="dgnword-eventsink" w:val="242408496"/>
  </w:docVars>
  <w:rsids>
    <w:rsidRoot w:val="00933B65"/>
    <w:rsid w:val="00005159"/>
    <w:rsid w:val="00007BAC"/>
    <w:rsid w:val="00050F40"/>
    <w:rsid w:val="00064A98"/>
    <w:rsid w:val="000777B7"/>
    <w:rsid w:val="00087C41"/>
    <w:rsid w:val="000A21EC"/>
    <w:rsid w:val="000B442A"/>
    <w:rsid w:val="000E3965"/>
    <w:rsid w:val="000F4902"/>
    <w:rsid w:val="001103E2"/>
    <w:rsid w:val="00117089"/>
    <w:rsid w:val="00172233"/>
    <w:rsid w:val="00184269"/>
    <w:rsid w:val="00194803"/>
    <w:rsid w:val="00195B39"/>
    <w:rsid w:val="001D19BA"/>
    <w:rsid w:val="001D6343"/>
    <w:rsid w:val="001D7FC9"/>
    <w:rsid w:val="001E0145"/>
    <w:rsid w:val="001E7908"/>
    <w:rsid w:val="001F3A81"/>
    <w:rsid w:val="002065B8"/>
    <w:rsid w:val="002135A6"/>
    <w:rsid w:val="002151A4"/>
    <w:rsid w:val="002154EF"/>
    <w:rsid w:val="00224440"/>
    <w:rsid w:val="00265219"/>
    <w:rsid w:val="00266FFE"/>
    <w:rsid w:val="00274F92"/>
    <w:rsid w:val="002874B4"/>
    <w:rsid w:val="002C683E"/>
    <w:rsid w:val="002E668B"/>
    <w:rsid w:val="00321C6F"/>
    <w:rsid w:val="00336AC1"/>
    <w:rsid w:val="0034152F"/>
    <w:rsid w:val="00354741"/>
    <w:rsid w:val="00357A0A"/>
    <w:rsid w:val="0036117A"/>
    <w:rsid w:val="00377D41"/>
    <w:rsid w:val="00377F1A"/>
    <w:rsid w:val="003812EE"/>
    <w:rsid w:val="003B077B"/>
    <w:rsid w:val="003C1934"/>
    <w:rsid w:val="003D7D3D"/>
    <w:rsid w:val="003D7F34"/>
    <w:rsid w:val="003E6445"/>
    <w:rsid w:val="00400183"/>
    <w:rsid w:val="004171D0"/>
    <w:rsid w:val="00441640"/>
    <w:rsid w:val="004541E5"/>
    <w:rsid w:val="0046122D"/>
    <w:rsid w:val="00462ACB"/>
    <w:rsid w:val="00470675"/>
    <w:rsid w:val="00487E10"/>
    <w:rsid w:val="004A012D"/>
    <w:rsid w:val="004A6A15"/>
    <w:rsid w:val="004C778A"/>
    <w:rsid w:val="00513527"/>
    <w:rsid w:val="0053674A"/>
    <w:rsid w:val="005468D6"/>
    <w:rsid w:val="0057020B"/>
    <w:rsid w:val="00590CEE"/>
    <w:rsid w:val="00594CA2"/>
    <w:rsid w:val="00595C55"/>
    <w:rsid w:val="005A1712"/>
    <w:rsid w:val="005F6D40"/>
    <w:rsid w:val="00614020"/>
    <w:rsid w:val="006146BC"/>
    <w:rsid w:val="00614E94"/>
    <w:rsid w:val="0063091E"/>
    <w:rsid w:val="00630F86"/>
    <w:rsid w:val="00630FF4"/>
    <w:rsid w:val="0065091A"/>
    <w:rsid w:val="00657E4A"/>
    <w:rsid w:val="006D2D9A"/>
    <w:rsid w:val="006D7406"/>
    <w:rsid w:val="006D7C16"/>
    <w:rsid w:val="006E04CC"/>
    <w:rsid w:val="006E3DE1"/>
    <w:rsid w:val="00701CE3"/>
    <w:rsid w:val="00713780"/>
    <w:rsid w:val="00734D2D"/>
    <w:rsid w:val="007412E0"/>
    <w:rsid w:val="00761A3C"/>
    <w:rsid w:val="0076616E"/>
    <w:rsid w:val="00774C7C"/>
    <w:rsid w:val="007F4BBA"/>
    <w:rsid w:val="007F740F"/>
    <w:rsid w:val="007F7538"/>
    <w:rsid w:val="00802076"/>
    <w:rsid w:val="0080239D"/>
    <w:rsid w:val="00810338"/>
    <w:rsid w:val="0084433E"/>
    <w:rsid w:val="008573A0"/>
    <w:rsid w:val="00861DE2"/>
    <w:rsid w:val="008741B2"/>
    <w:rsid w:val="008832E8"/>
    <w:rsid w:val="008909AA"/>
    <w:rsid w:val="008A25D2"/>
    <w:rsid w:val="008A64A7"/>
    <w:rsid w:val="008B5B9B"/>
    <w:rsid w:val="008C2761"/>
    <w:rsid w:val="008D4782"/>
    <w:rsid w:val="008F2CE1"/>
    <w:rsid w:val="00923BA9"/>
    <w:rsid w:val="00926DE2"/>
    <w:rsid w:val="00933B65"/>
    <w:rsid w:val="009701EB"/>
    <w:rsid w:val="009960ED"/>
    <w:rsid w:val="009B1307"/>
    <w:rsid w:val="009D6D58"/>
    <w:rsid w:val="009E3754"/>
    <w:rsid w:val="009E3D21"/>
    <w:rsid w:val="009E40FC"/>
    <w:rsid w:val="009F361B"/>
    <w:rsid w:val="009F749F"/>
    <w:rsid w:val="00A16D22"/>
    <w:rsid w:val="00A810D2"/>
    <w:rsid w:val="00A86A8D"/>
    <w:rsid w:val="00AA199C"/>
    <w:rsid w:val="00AA25A1"/>
    <w:rsid w:val="00AA3AB8"/>
    <w:rsid w:val="00AA5502"/>
    <w:rsid w:val="00AE2EFB"/>
    <w:rsid w:val="00AE7DEE"/>
    <w:rsid w:val="00B11175"/>
    <w:rsid w:val="00B11C04"/>
    <w:rsid w:val="00B170ED"/>
    <w:rsid w:val="00B52844"/>
    <w:rsid w:val="00B6571C"/>
    <w:rsid w:val="00BA3052"/>
    <w:rsid w:val="00BB2B34"/>
    <w:rsid w:val="00BB470C"/>
    <w:rsid w:val="00BB69F4"/>
    <w:rsid w:val="00BC0611"/>
    <w:rsid w:val="00BC220A"/>
    <w:rsid w:val="00BC3002"/>
    <w:rsid w:val="00BE1A17"/>
    <w:rsid w:val="00BE34CF"/>
    <w:rsid w:val="00C01F6A"/>
    <w:rsid w:val="00C15A7E"/>
    <w:rsid w:val="00C51B29"/>
    <w:rsid w:val="00C6098F"/>
    <w:rsid w:val="00C628F1"/>
    <w:rsid w:val="00C84482"/>
    <w:rsid w:val="00CB5C2A"/>
    <w:rsid w:val="00CC0F57"/>
    <w:rsid w:val="00CD5AEE"/>
    <w:rsid w:val="00CF0FE6"/>
    <w:rsid w:val="00D00238"/>
    <w:rsid w:val="00D02849"/>
    <w:rsid w:val="00D31D54"/>
    <w:rsid w:val="00D44C2B"/>
    <w:rsid w:val="00D50B7B"/>
    <w:rsid w:val="00D52051"/>
    <w:rsid w:val="00DA3D04"/>
    <w:rsid w:val="00DB2A5F"/>
    <w:rsid w:val="00DC699D"/>
    <w:rsid w:val="00E339F0"/>
    <w:rsid w:val="00E650B1"/>
    <w:rsid w:val="00E84B7C"/>
    <w:rsid w:val="00E979AB"/>
    <w:rsid w:val="00EA3D98"/>
    <w:rsid w:val="00ED6C37"/>
    <w:rsid w:val="00EE6CE7"/>
    <w:rsid w:val="00F00DFB"/>
    <w:rsid w:val="00F125AD"/>
    <w:rsid w:val="00F2792E"/>
    <w:rsid w:val="00F32C03"/>
    <w:rsid w:val="00F40619"/>
    <w:rsid w:val="00F47052"/>
    <w:rsid w:val="00F648C0"/>
    <w:rsid w:val="00F85C8A"/>
    <w:rsid w:val="00FA0A2E"/>
    <w:rsid w:val="00FA2A43"/>
    <w:rsid w:val="00FA7FC0"/>
    <w:rsid w:val="00FB0516"/>
    <w:rsid w:val="00FB1DBB"/>
    <w:rsid w:val="00FE0046"/>
    <w:rsid w:val="00FE33A7"/>
    <w:rsid w:val="00FF3123"/>
    <w:rsid w:val="00FF48BE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0ED6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1D19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D19BA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C4D64-26B0-45FA-8D01-392D46D2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711</Words>
  <Characters>3370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2018-10-03T10:22:00Z</dcterms:created>
  <dcterms:modified xsi:type="dcterms:W3CDTF">2018-10-03T10:22:00Z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