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053C10" w:rsidP="008A605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420968" w:rsidRPr="00F5664C" w:rsidRDefault="00420968" w:rsidP="00420968">
      <w:pPr>
        <w:rPr>
          <w:rFonts w:ascii="Book Antiqua" w:hAnsi="Book Antiqua" w:cs="Arial"/>
          <w:sz w:val="16"/>
          <w:szCs w:val="16"/>
        </w:rPr>
      </w:pP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656B6C" w:rsidRDefault="008A6059" w:rsidP="00780F86">
      <w:pPr>
        <w:tabs>
          <w:tab w:val="right" w:pos="9720"/>
        </w:tabs>
        <w:ind w:right="-82"/>
        <w:rPr>
          <w:rFonts w:ascii="Book Antiqua" w:hAnsi="Book Antiqua" w:cs="Arial"/>
          <w:caps/>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420968" w:rsidRPr="00F5664C">
        <w:rPr>
          <w:rFonts w:ascii="Book Antiqua" w:hAnsi="Book Antiqua" w:cs="Arial"/>
        </w:rPr>
        <w:t xml:space="preserve">Appeal Number: </w:t>
      </w:r>
      <w:bookmarkStart w:id="0" w:name="_GoBack"/>
      <w:r w:rsidR="00656B6C" w:rsidRPr="00656B6C">
        <w:rPr>
          <w:rFonts w:ascii="Book Antiqua" w:hAnsi="Book Antiqua" w:cs="Arial"/>
          <w:caps/>
        </w:rPr>
        <w:t>PA/10472/2017</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420968" w:rsidRPr="00612A00" w:rsidTr="00612A00">
        <w:tc>
          <w:tcPr>
            <w:tcW w:w="6048" w:type="dxa"/>
            <w:shd w:val="clear" w:color="auto" w:fill="auto"/>
          </w:tcPr>
          <w:p w:rsidR="00420968" w:rsidRPr="00612A00" w:rsidRDefault="00420968" w:rsidP="00612A00">
            <w:pPr>
              <w:jc w:val="both"/>
              <w:rPr>
                <w:rFonts w:ascii="Book Antiqua" w:hAnsi="Book Antiqua" w:cs="Arial"/>
                <w:b/>
              </w:rPr>
            </w:pPr>
            <w:r w:rsidRPr="00612A00">
              <w:rPr>
                <w:rFonts w:ascii="Book Antiqua" w:hAnsi="Book Antiqua" w:cs="Arial"/>
                <w:b/>
              </w:rPr>
              <w:t xml:space="preserve">Heard at </w:t>
            </w:r>
            <w:r w:rsidR="00656B6C" w:rsidRPr="00612A00">
              <w:rPr>
                <w:rFonts w:ascii="Book Antiqua" w:hAnsi="Book Antiqua" w:cs="Arial"/>
                <w:b/>
              </w:rPr>
              <w:t xml:space="preserve">Field House </w:t>
            </w:r>
          </w:p>
        </w:tc>
        <w:tc>
          <w:tcPr>
            <w:tcW w:w="3960" w:type="dxa"/>
            <w:shd w:val="clear" w:color="auto" w:fill="auto"/>
          </w:tcPr>
          <w:p w:rsidR="00420968" w:rsidRPr="00612A00" w:rsidRDefault="00420968" w:rsidP="00612A00">
            <w:pPr>
              <w:jc w:val="both"/>
              <w:rPr>
                <w:rFonts w:ascii="Book Antiqua" w:hAnsi="Book Antiqua" w:cs="Arial"/>
                <w:b/>
                <w:color w:val="000000"/>
              </w:rPr>
            </w:pPr>
            <w:r w:rsidRPr="00612A00">
              <w:rPr>
                <w:rFonts w:ascii="Book Antiqua" w:hAnsi="Book Antiqua" w:cs="Arial"/>
                <w:b/>
                <w:color w:val="000000"/>
              </w:rPr>
              <w:t>Decision &amp; Reasons Promulgated</w:t>
            </w:r>
          </w:p>
        </w:tc>
      </w:tr>
      <w:tr w:rsidR="00420968" w:rsidRPr="00612A00" w:rsidTr="00612A00">
        <w:tc>
          <w:tcPr>
            <w:tcW w:w="6048" w:type="dxa"/>
            <w:shd w:val="clear" w:color="auto" w:fill="auto"/>
          </w:tcPr>
          <w:p w:rsidR="00420968" w:rsidRPr="00612A00" w:rsidRDefault="00420968" w:rsidP="00612A00">
            <w:pPr>
              <w:jc w:val="both"/>
              <w:rPr>
                <w:rFonts w:ascii="Book Antiqua" w:hAnsi="Book Antiqua" w:cs="Arial"/>
                <w:b/>
              </w:rPr>
            </w:pPr>
            <w:r w:rsidRPr="00612A00">
              <w:rPr>
                <w:rFonts w:ascii="Book Antiqua" w:hAnsi="Book Antiqua" w:cs="Arial"/>
                <w:b/>
              </w:rPr>
              <w:t xml:space="preserve">On </w:t>
            </w:r>
            <w:r w:rsidR="00656B6C" w:rsidRPr="00612A00">
              <w:rPr>
                <w:rFonts w:ascii="Book Antiqua" w:hAnsi="Book Antiqua" w:cs="Arial"/>
                <w:b/>
              </w:rPr>
              <w:t xml:space="preserve">17 April 2018 </w:t>
            </w:r>
          </w:p>
        </w:tc>
        <w:tc>
          <w:tcPr>
            <w:tcW w:w="3960" w:type="dxa"/>
            <w:shd w:val="clear" w:color="auto" w:fill="auto"/>
          </w:tcPr>
          <w:p w:rsidR="00420968" w:rsidRPr="00612A00" w:rsidRDefault="00F22B26" w:rsidP="00612A00">
            <w:pPr>
              <w:jc w:val="both"/>
              <w:rPr>
                <w:rFonts w:ascii="Book Antiqua" w:hAnsi="Book Antiqua" w:cs="Arial"/>
                <w:b/>
              </w:rPr>
            </w:pPr>
            <w:r>
              <w:rPr>
                <w:rFonts w:ascii="Book Antiqua" w:hAnsi="Book Antiqua" w:cs="Arial"/>
                <w:b/>
              </w:rPr>
              <w:t>On 23 May 2018</w:t>
            </w:r>
          </w:p>
        </w:tc>
      </w:tr>
      <w:tr w:rsidR="00D22636" w:rsidRPr="00612A00" w:rsidTr="00612A00">
        <w:tc>
          <w:tcPr>
            <w:tcW w:w="6048" w:type="dxa"/>
            <w:shd w:val="clear" w:color="auto" w:fill="auto"/>
          </w:tcPr>
          <w:p w:rsidR="00D22636" w:rsidRPr="00612A00" w:rsidRDefault="00D22636" w:rsidP="00612A00">
            <w:pPr>
              <w:jc w:val="both"/>
              <w:rPr>
                <w:rFonts w:ascii="Book Antiqua" w:hAnsi="Book Antiqua" w:cs="Arial"/>
                <w:b/>
              </w:rPr>
            </w:pPr>
          </w:p>
        </w:tc>
        <w:tc>
          <w:tcPr>
            <w:tcW w:w="3960" w:type="dxa"/>
            <w:shd w:val="clear" w:color="auto" w:fill="auto"/>
          </w:tcPr>
          <w:p w:rsidR="00D22636" w:rsidRPr="00612A00" w:rsidRDefault="00D22636" w:rsidP="00612A00">
            <w:pPr>
              <w:jc w:val="both"/>
              <w:rPr>
                <w:rFonts w:ascii="Book Antiqua" w:hAnsi="Book Antiqua" w:cs="Arial"/>
                <w:b/>
              </w:rPr>
            </w:pPr>
          </w:p>
        </w:tc>
      </w:tr>
    </w:tbl>
    <w:p w:rsidR="00A15234" w:rsidRPr="009B7433" w:rsidRDefault="00A15234" w:rsidP="00E4627B">
      <w:pP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C50137">
        <w:rPr>
          <w:rFonts w:ascii="Book Antiqua" w:hAnsi="Book Antiqua" w:cs="Arial"/>
          <w:b/>
          <w:color w:val="000000"/>
        </w:rPr>
        <w:t>PUTY UPPER TRIBUNAL JUDGE HUTCHINSON</w:t>
      </w:r>
    </w:p>
    <w:p w:rsidR="000239E1" w:rsidRDefault="000239E1" w:rsidP="000239E1">
      <w:pPr>
        <w:jc w:val="center"/>
        <w:rPr>
          <w:rFonts w:ascii="Book Antiqua" w:hAnsi="Book Antiqua" w:cs="Arial"/>
          <w:b/>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0239E1" w:rsidRDefault="008F2209" w:rsidP="000239E1">
      <w:pPr>
        <w:jc w:val="center"/>
        <w:rPr>
          <w:rFonts w:ascii="Book Antiqua" w:hAnsi="Book Antiqua" w:cs="Arial"/>
          <w:b/>
          <w:caps/>
        </w:rPr>
      </w:pPr>
      <w:r>
        <w:rPr>
          <w:rFonts w:ascii="Book Antiqua" w:hAnsi="Book Antiqua" w:cs="Arial"/>
          <w:b/>
          <w:caps/>
        </w:rPr>
        <w:t xml:space="preserve">MISS L R </w:t>
      </w:r>
    </w:p>
    <w:p w:rsidR="000239E1" w:rsidRPr="00F5664C" w:rsidRDefault="000239E1" w:rsidP="000239E1">
      <w:pPr>
        <w:jc w:val="center"/>
        <w:rPr>
          <w:rFonts w:ascii="Book Antiqua" w:hAnsi="Book Antiqua" w:cs="Arial"/>
          <w:b/>
          <w:caps/>
        </w:rPr>
      </w:pPr>
      <w:r>
        <w:rPr>
          <w:rFonts w:ascii="Book Antiqua" w:hAnsi="Book Antiqua" w:cs="Arial"/>
          <w:b/>
          <w:caps/>
        </w:rPr>
        <w:t xml:space="preserve">(anonymity direction </w:t>
      </w:r>
      <w:r w:rsidR="00656B6C">
        <w:rPr>
          <w:rFonts w:ascii="Book Antiqua" w:hAnsi="Book Antiqua" w:cs="Arial"/>
          <w:b/>
          <w:caps/>
        </w:rPr>
        <w:t>made</w:t>
      </w:r>
      <w:r>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C67BB7" w:rsidP="00704B61">
      <w:pPr>
        <w:jc w:val="center"/>
        <w:rPr>
          <w:rFonts w:ascii="Book Antiqua" w:hAnsi="Book Antiqua" w:cs="Arial"/>
          <w:b/>
        </w:rPr>
      </w:pPr>
      <w:r>
        <w:rPr>
          <w:rFonts w:ascii="Book Antiqua" w:hAnsi="Book Antiqua" w:cs="Arial"/>
          <w:b/>
        </w:rPr>
        <w:t>THE SECRETARY OF STATE FOR THE HOME DEPARTMENT</w:t>
      </w:r>
      <w:r w:rsidRPr="009B7433">
        <w:rPr>
          <w:rFonts w:ascii="Book Antiqua" w:hAnsi="Book Antiqua" w:cs="Arial"/>
          <w:b/>
        </w:rPr>
        <w:t xml:space="preserve"> </w:t>
      </w:r>
    </w:p>
    <w:p w:rsidR="00DD5071" w:rsidRPr="009B7433" w:rsidRDefault="00DD5071" w:rsidP="00E4627B">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4D7F7A" w:rsidRPr="009B7433" w:rsidRDefault="004D7F7A" w:rsidP="00DD5071">
      <w:pPr>
        <w:rPr>
          <w:rFonts w:ascii="Book Antiqua" w:hAnsi="Book Antiqua" w:cs="Arial"/>
          <w:u w:val="single"/>
        </w:rPr>
      </w:pPr>
    </w:p>
    <w:p w:rsidR="000239E1" w:rsidRPr="00F5664C" w:rsidRDefault="000239E1" w:rsidP="000239E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0239E1" w:rsidRPr="00F5664C" w:rsidRDefault="000239E1" w:rsidP="000239E1">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56B6C">
        <w:rPr>
          <w:rFonts w:ascii="Book Antiqua" w:hAnsi="Book Antiqua" w:cs="Arial"/>
        </w:rPr>
        <w:t xml:space="preserve">Mr K Behbahani, Solicitor of Behbahani &amp; Co Solicitors </w:t>
      </w:r>
    </w:p>
    <w:p w:rsidR="000239E1" w:rsidRPr="00F5664C" w:rsidRDefault="000239E1" w:rsidP="000239E1">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56B6C">
        <w:rPr>
          <w:rFonts w:ascii="Book Antiqua" w:hAnsi="Book Antiqua" w:cs="Arial"/>
        </w:rPr>
        <w:t xml:space="preserve">Ms A Everett, Home Office Presenting Officer </w:t>
      </w:r>
    </w:p>
    <w:p w:rsidR="00D05375" w:rsidRDefault="00D05375" w:rsidP="00D05375">
      <w:pPr>
        <w:tabs>
          <w:tab w:val="left" w:pos="2520"/>
        </w:tabs>
        <w:rPr>
          <w:rFonts w:ascii="Book Antiqua" w:hAnsi="Book Antiqua" w:cs="Arial"/>
        </w:rPr>
      </w:pPr>
    </w:p>
    <w:p w:rsidR="004D7F7A" w:rsidRPr="00F5664C" w:rsidRDefault="004D7F7A" w:rsidP="00D05375">
      <w:pPr>
        <w:tabs>
          <w:tab w:val="left" w:pos="2520"/>
        </w:tabs>
        <w:rPr>
          <w:rFonts w:ascii="Book Antiqua" w:hAnsi="Book Antiqua" w:cs="Arial"/>
        </w:rPr>
      </w:pPr>
    </w:p>
    <w:p w:rsidR="00D05375" w:rsidRPr="00F5664C" w:rsidRDefault="00D05375" w:rsidP="00D05375">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0239E1" w:rsidRPr="00656B6C" w:rsidRDefault="00656B6C" w:rsidP="00656B6C">
      <w:pPr>
        <w:spacing w:before="240"/>
        <w:jc w:val="both"/>
        <w:rPr>
          <w:rFonts w:ascii="Book Antiqua" w:hAnsi="Book Antiqua" w:cs="Arial"/>
          <w:b/>
          <w:u w:val="single"/>
        </w:rPr>
      </w:pPr>
      <w:r w:rsidRPr="00656B6C">
        <w:rPr>
          <w:rFonts w:ascii="Book Antiqua" w:hAnsi="Book Antiqua" w:cs="Arial"/>
          <w:b/>
          <w:u w:val="single"/>
        </w:rPr>
        <w:t>Background</w:t>
      </w:r>
    </w:p>
    <w:p w:rsidR="00656B6C" w:rsidRDefault="00C67BB7" w:rsidP="000239E1">
      <w:pPr>
        <w:numPr>
          <w:ilvl w:val="0"/>
          <w:numId w:val="3"/>
        </w:numPr>
        <w:tabs>
          <w:tab w:val="clear" w:pos="567"/>
        </w:tabs>
        <w:spacing w:before="240"/>
        <w:jc w:val="both"/>
        <w:rPr>
          <w:rFonts w:ascii="Book Antiqua" w:hAnsi="Book Antiqua" w:cs="Arial"/>
        </w:rPr>
      </w:pPr>
      <w:r>
        <w:rPr>
          <w:rFonts w:ascii="Book Antiqua" w:hAnsi="Book Antiqua" w:cs="Arial"/>
        </w:rPr>
        <w:t>The appellant</w:t>
      </w:r>
      <w:r w:rsidR="00656B6C">
        <w:rPr>
          <w:rFonts w:ascii="Book Antiqua" w:hAnsi="Book Antiqua" w:cs="Arial"/>
        </w:rPr>
        <w:t xml:space="preserve"> is a citizen of </w:t>
      </w:r>
      <w:r w:rsidR="00DE424C">
        <w:rPr>
          <w:rFonts w:ascii="Book Antiqua" w:hAnsi="Book Antiqua" w:cs="Arial"/>
        </w:rPr>
        <w:t>Iran</w:t>
      </w:r>
      <w:r w:rsidR="00656B6C">
        <w:rPr>
          <w:rFonts w:ascii="Book Antiqua" w:hAnsi="Book Antiqua" w:cs="Arial"/>
        </w:rPr>
        <w:t xml:space="preserve">, born on </w:t>
      </w:r>
      <w:proofErr w:type="gramStart"/>
      <w:r w:rsidR="004D7F7A">
        <w:rPr>
          <w:rFonts w:ascii="Book Antiqua" w:hAnsi="Book Antiqua" w:cs="Arial"/>
        </w:rPr>
        <w:t>[ ]</w:t>
      </w:r>
      <w:proofErr w:type="gramEnd"/>
      <w:r w:rsidR="00656B6C">
        <w:rPr>
          <w:rFonts w:ascii="Book Antiqua" w:hAnsi="Book Antiqua" w:cs="Arial"/>
        </w:rPr>
        <w:t xml:space="preserve"> 1975</w:t>
      </w:r>
      <w:r w:rsidR="005C03DF">
        <w:rPr>
          <w:rFonts w:ascii="Book Antiqua" w:hAnsi="Book Antiqua" w:cs="Arial"/>
        </w:rPr>
        <w:t>, who appealed the decision of the respondent, dated 24 October 2017</w:t>
      </w:r>
      <w:r w:rsidR="00353DB1">
        <w:rPr>
          <w:rFonts w:ascii="Book Antiqua" w:hAnsi="Book Antiqua" w:cs="Arial"/>
        </w:rPr>
        <w:t>,</w:t>
      </w:r>
      <w:r w:rsidR="005C03DF">
        <w:rPr>
          <w:rFonts w:ascii="Book Antiqua" w:hAnsi="Book Antiqua" w:cs="Arial"/>
        </w:rPr>
        <w:t xml:space="preserve"> to refuse the appellant’s protection claim.  In a Decision and Reasons promulgated on 30 November 2017, </w:t>
      </w:r>
      <w:r w:rsidR="00BB78FA">
        <w:rPr>
          <w:rFonts w:ascii="Book Antiqua" w:hAnsi="Book Antiqua" w:cs="Arial"/>
        </w:rPr>
        <w:t>Judge of the First-tier Tribunal I Ross dismissed the appellant’s appeal.</w:t>
      </w:r>
    </w:p>
    <w:p w:rsidR="00BB78FA" w:rsidRDefault="00BB78FA" w:rsidP="000239E1">
      <w:pPr>
        <w:numPr>
          <w:ilvl w:val="0"/>
          <w:numId w:val="3"/>
        </w:numPr>
        <w:tabs>
          <w:tab w:val="clear" w:pos="567"/>
        </w:tabs>
        <w:spacing w:before="240"/>
        <w:jc w:val="both"/>
        <w:rPr>
          <w:rFonts w:ascii="Book Antiqua" w:hAnsi="Book Antiqua" w:cs="Arial"/>
        </w:rPr>
      </w:pPr>
      <w:r>
        <w:rPr>
          <w:rFonts w:ascii="Book Antiqua" w:hAnsi="Book Antiqua" w:cs="Arial"/>
        </w:rPr>
        <w:lastRenderedPageBreak/>
        <w:t>The appellant appeals to the Upper Tribunal</w:t>
      </w:r>
      <w:r w:rsidR="00353DB1">
        <w:rPr>
          <w:rFonts w:ascii="Book Antiqua" w:hAnsi="Book Antiqua" w:cs="Arial"/>
        </w:rPr>
        <w:t>.</w:t>
      </w:r>
      <w:r>
        <w:rPr>
          <w:rFonts w:ascii="Book Antiqua" w:hAnsi="Book Antiqua" w:cs="Arial"/>
        </w:rPr>
        <w:t xml:space="preserve"> with permission from the Upper Tribunal</w:t>
      </w:r>
      <w:r w:rsidR="00353DB1">
        <w:rPr>
          <w:rFonts w:ascii="Book Antiqua" w:hAnsi="Book Antiqua" w:cs="Arial"/>
        </w:rPr>
        <w:t>,</w:t>
      </w:r>
      <w:r>
        <w:rPr>
          <w:rFonts w:ascii="Book Antiqua" w:hAnsi="Book Antiqua" w:cs="Arial"/>
        </w:rPr>
        <w:t xml:space="preserve"> on the following </w:t>
      </w:r>
      <w:proofErr w:type="gramStart"/>
      <w:r>
        <w:rPr>
          <w:rFonts w:ascii="Book Antiqua" w:hAnsi="Book Antiqua" w:cs="Arial"/>
        </w:rPr>
        <w:t>grounds:</w:t>
      </w:r>
      <w:r w:rsidR="009D2E7A">
        <w:rPr>
          <w:rFonts w:ascii="Book Antiqua" w:hAnsi="Book Antiqua" w:cs="Arial"/>
        </w:rPr>
        <w:t>-</w:t>
      </w:r>
      <w:proofErr w:type="gramEnd"/>
    </w:p>
    <w:p w:rsidR="00BB78FA" w:rsidRDefault="00BB78FA" w:rsidP="004D7F7A">
      <w:pPr>
        <w:spacing w:before="120"/>
        <w:ind w:left="1134"/>
        <w:jc w:val="both"/>
        <w:rPr>
          <w:rFonts w:ascii="Book Antiqua" w:hAnsi="Book Antiqua" w:cs="Arial"/>
        </w:rPr>
      </w:pPr>
      <w:r>
        <w:rPr>
          <w:rFonts w:ascii="Book Antiqua" w:hAnsi="Book Antiqua" w:cs="Arial"/>
        </w:rPr>
        <w:t>Ground 1 – The judge’s findings were based on material mistakes of fact, and the judge’s own perception rather than actual evidence</w:t>
      </w:r>
      <w:r w:rsidR="001F4C22">
        <w:rPr>
          <w:rFonts w:ascii="Book Antiqua" w:hAnsi="Book Antiqua" w:cs="Arial"/>
        </w:rPr>
        <w:t>.</w:t>
      </w:r>
    </w:p>
    <w:p w:rsidR="00BB78FA" w:rsidRDefault="00BB78FA" w:rsidP="004D7F7A">
      <w:pPr>
        <w:spacing w:before="120"/>
        <w:ind w:left="1134"/>
        <w:jc w:val="both"/>
        <w:rPr>
          <w:rFonts w:ascii="Book Antiqua" w:hAnsi="Book Antiqua" w:cs="Arial"/>
        </w:rPr>
      </w:pPr>
      <w:r>
        <w:rPr>
          <w:rFonts w:ascii="Book Antiqua" w:hAnsi="Book Antiqua" w:cs="Arial"/>
        </w:rPr>
        <w:t xml:space="preserve">Ground 2 – The judge </w:t>
      </w:r>
      <w:r w:rsidR="00DE424C">
        <w:rPr>
          <w:rFonts w:ascii="Book Antiqua" w:hAnsi="Book Antiqua" w:cs="Arial"/>
        </w:rPr>
        <w:t>failed</w:t>
      </w:r>
      <w:r>
        <w:rPr>
          <w:rFonts w:ascii="Book Antiqua" w:hAnsi="Book Antiqua" w:cs="Arial"/>
        </w:rPr>
        <w:t xml:space="preserve"> to give the appellant an opportunity to respond in relation to the judge’s findings about the circumstances in </w:t>
      </w:r>
      <w:r w:rsidR="00DE424C">
        <w:rPr>
          <w:rFonts w:ascii="Book Antiqua" w:hAnsi="Book Antiqua" w:cs="Arial"/>
        </w:rPr>
        <w:t>which</w:t>
      </w:r>
      <w:r>
        <w:rPr>
          <w:rFonts w:ascii="Book Antiqua" w:hAnsi="Book Antiqua" w:cs="Arial"/>
        </w:rPr>
        <w:t xml:space="preserve"> she was approached by an Evangelical Christian in </w:t>
      </w:r>
      <w:smartTag w:uri="urn:schemas-microsoft-com:office:smarttags" w:element="country-region">
        <w:smartTag w:uri="urn:schemas-microsoft-com:office:smarttags" w:element="place">
          <w:r>
            <w:rPr>
              <w:rFonts w:ascii="Book Antiqua" w:hAnsi="Book Antiqua" w:cs="Arial"/>
            </w:rPr>
            <w:t>Turkey</w:t>
          </w:r>
        </w:smartTag>
      </w:smartTag>
      <w:r w:rsidR="001F4C22">
        <w:rPr>
          <w:rFonts w:ascii="Book Antiqua" w:hAnsi="Book Antiqua" w:cs="Arial"/>
        </w:rPr>
        <w:t>.</w:t>
      </w:r>
    </w:p>
    <w:p w:rsidR="00BB78FA" w:rsidRDefault="00BB78FA" w:rsidP="004D7F7A">
      <w:pPr>
        <w:spacing w:before="120"/>
        <w:ind w:left="1134"/>
        <w:jc w:val="both"/>
        <w:rPr>
          <w:rFonts w:ascii="Book Antiqua" w:hAnsi="Book Antiqua" w:cs="Arial"/>
        </w:rPr>
      </w:pPr>
      <w:r>
        <w:rPr>
          <w:rFonts w:ascii="Book Antiqua" w:hAnsi="Book Antiqua" w:cs="Arial"/>
        </w:rPr>
        <w:t xml:space="preserve">Ground 3 – The judge </w:t>
      </w:r>
      <w:r w:rsidR="00DE424C">
        <w:rPr>
          <w:rFonts w:ascii="Book Antiqua" w:hAnsi="Book Antiqua" w:cs="Arial"/>
        </w:rPr>
        <w:t>failed</w:t>
      </w:r>
      <w:r>
        <w:rPr>
          <w:rFonts w:ascii="Book Antiqua" w:hAnsi="Book Antiqua" w:cs="Arial"/>
        </w:rPr>
        <w:t xml:space="preserve"> to properly consider the appellant’s evidence as to her personal interest in discovering about new religions and the judge was incorrect in his findings that the appellant had not provided the description of the contents of the CD.  The appellant also gave reasons as to why it was decided it would not be in the children’s best interests to enrol at Harrogate School and there was nothing vague in her evidence and there was no indication at [33] as to any consideration of the appellant’s explanations as to why she and her husband were scared to en</w:t>
      </w:r>
      <w:r w:rsidR="001F4C22">
        <w:rPr>
          <w:rFonts w:ascii="Book Antiqua" w:hAnsi="Book Antiqua" w:cs="Arial"/>
        </w:rPr>
        <w:t>gage in detailed communication.</w:t>
      </w:r>
    </w:p>
    <w:p w:rsidR="00BB78FA" w:rsidRDefault="00BB78FA" w:rsidP="004D7F7A">
      <w:pPr>
        <w:spacing w:before="120"/>
        <w:ind w:left="1134"/>
        <w:jc w:val="both"/>
        <w:rPr>
          <w:rFonts w:ascii="Book Antiqua" w:hAnsi="Book Antiqua" w:cs="Arial"/>
        </w:rPr>
      </w:pPr>
      <w:r>
        <w:rPr>
          <w:rFonts w:ascii="Book Antiqua" w:hAnsi="Book Antiqua" w:cs="Arial"/>
        </w:rPr>
        <w:t>Ground 4 – The judge failed to give adequate reasons for concluding</w:t>
      </w:r>
      <w:r w:rsidR="00353DB1">
        <w:rPr>
          <w:rFonts w:ascii="Book Antiqua" w:hAnsi="Book Antiqua" w:cs="Arial"/>
        </w:rPr>
        <w:t>,</w:t>
      </w:r>
      <w:r>
        <w:rPr>
          <w:rFonts w:ascii="Book Antiqua" w:hAnsi="Book Antiqua" w:cs="Arial"/>
        </w:rPr>
        <w:t xml:space="preserve"> at [28]</w:t>
      </w:r>
      <w:r w:rsidR="00353DB1">
        <w:rPr>
          <w:rFonts w:ascii="Book Antiqua" w:hAnsi="Book Antiqua" w:cs="Arial"/>
        </w:rPr>
        <w:t>,</w:t>
      </w:r>
      <w:r>
        <w:rPr>
          <w:rFonts w:ascii="Book Antiqua" w:hAnsi="Book Antiqua" w:cs="Arial"/>
        </w:rPr>
        <w:t xml:space="preserve"> </w:t>
      </w:r>
      <w:r w:rsidR="00556718">
        <w:rPr>
          <w:rFonts w:ascii="Book Antiqua" w:hAnsi="Book Antiqua" w:cs="Arial"/>
        </w:rPr>
        <w:t xml:space="preserve">that the appellant’s evidence regarding her home computer was not true and that there was no reason </w:t>
      </w:r>
      <w:r w:rsidR="00436E95">
        <w:rPr>
          <w:rFonts w:ascii="Book Antiqua" w:hAnsi="Book Antiqua" w:cs="Arial"/>
        </w:rPr>
        <w:t xml:space="preserve">for her to take the CD </w:t>
      </w:r>
      <w:r w:rsidR="00491724">
        <w:rPr>
          <w:rFonts w:ascii="Book Antiqua" w:hAnsi="Book Antiqua" w:cs="Arial"/>
        </w:rPr>
        <w:t xml:space="preserve">back to </w:t>
      </w:r>
      <w:r w:rsidR="00DE424C">
        <w:rPr>
          <w:rFonts w:ascii="Book Antiqua" w:hAnsi="Book Antiqua" w:cs="Arial"/>
        </w:rPr>
        <w:t>Iran</w:t>
      </w:r>
      <w:r w:rsidR="00491724">
        <w:rPr>
          <w:rFonts w:ascii="Book Antiqua" w:hAnsi="Book Antiqua" w:cs="Arial"/>
        </w:rPr>
        <w:t xml:space="preserve"> given that her home computer was not able to play CDs.  It was also submitted that there was no reasoning behind the judge’s finding that there was no reason why the authorities would not have looked for the appellant before 23 March </w:t>
      </w:r>
      <w:r w:rsidR="001F4C22">
        <w:rPr>
          <w:rFonts w:ascii="Book Antiqua" w:hAnsi="Book Antiqua" w:cs="Arial"/>
        </w:rPr>
        <w:t>2017.</w:t>
      </w:r>
    </w:p>
    <w:p w:rsidR="001F4C22" w:rsidRDefault="001F4C22" w:rsidP="004D7F7A">
      <w:pPr>
        <w:spacing w:before="120"/>
        <w:ind w:left="1134"/>
        <w:jc w:val="both"/>
        <w:rPr>
          <w:rFonts w:ascii="Book Antiqua" w:hAnsi="Book Antiqua" w:cs="Arial"/>
        </w:rPr>
      </w:pPr>
      <w:r>
        <w:rPr>
          <w:rFonts w:ascii="Book Antiqua" w:hAnsi="Book Antiqua" w:cs="Arial"/>
        </w:rPr>
        <w:t xml:space="preserve">Ground 5 – </w:t>
      </w:r>
      <w:r w:rsidR="00DE424C">
        <w:rPr>
          <w:rFonts w:ascii="Book Antiqua" w:hAnsi="Book Antiqua" w:cs="Arial"/>
        </w:rPr>
        <w:t>Reaching</w:t>
      </w:r>
      <w:r>
        <w:rPr>
          <w:rFonts w:ascii="Book Antiqua" w:hAnsi="Book Antiqua" w:cs="Arial"/>
        </w:rPr>
        <w:t xml:space="preserve"> findings unsupported by the evidence; the judge made findings in </w:t>
      </w:r>
      <w:r w:rsidR="00DE424C">
        <w:rPr>
          <w:rFonts w:ascii="Book Antiqua" w:hAnsi="Book Antiqua" w:cs="Arial"/>
        </w:rPr>
        <w:t>relation</w:t>
      </w:r>
      <w:r>
        <w:rPr>
          <w:rFonts w:ascii="Book Antiqua" w:hAnsi="Book Antiqua" w:cs="Arial"/>
        </w:rPr>
        <w:t xml:space="preserve"> to the lack of evidence in </w:t>
      </w:r>
      <w:r w:rsidR="00DE424C">
        <w:rPr>
          <w:rFonts w:ascii="Book Antiqua" w:hAnsi="Book Antiqua" w:cs="Arial"/>
        </w:rPr>
        <w:t>relation</w:t>
      </w:r>
      <w:r>
        <w:rPr>
          <w:rFonts w:ascii="Book Antiqua" w:hAnsi="Book Antiqua" w:cs="Arial"/>
        </w:rPr>
        <w:t xml:space="preserve"> to her husband’s suspension from work and her daughter’s expulsion from university, but this was not supported by the evidence and the judge was referred in oral submissions to the background evidence that the Iranian authorities often carry out </w:t>
      </w:r>
      <w:r w:rsidR="000B5224">
        <w:rPr>
          <w:rFonts w:ascii="Book Antiqua" w:hAnsi="Book Antiqua" w:cs="Arial"/>
        </w:rPr>
        <w:t xml:space="preserve">visits </w:t>
      </w:r>
      <w:r>
        <w:rPr>
          <w:rFonts w:ascii="Book Antiqua" w:hAnsi="Book Antiqua" w:cs="Arial"/>
        </w:rPr>
        <w:t>without following official procedures.</w:t>
      </w:r>
    </w:p>
    <w:p w:rsidR="001F4C22" w:rsidRDefault="001F4C22" w:rsidP="004D7F7A">
      <w:pPr>
        <w:spacing w:before="120"/>
        <w:ind w:left="1134"/>
        <w:jc w:val="both"/>
        <w:rPr>
          <w:rFonts w:ascii="Book Antiqua" w:hAnsi="Book Antiqua" w:cs="Arial"/>
        </w:rPr>
      </w:pPr>
      <w:r>
        <w:rPr>
          <w:rFonts w:ascii="Book Antiqua" w:hAnsi="Book Antiqua" w:cs="Arial"/>
        </w:rPr>
        <w:t xml:space="preserve">Ground 6 – Failure to make any findings in relation to the risk of return based on imputed religious political opinion – judge was asked to consider the risk on return of the appellant as a failed asylum seeker and was referred to the Supreme Court’s approach in </w:t>
      </w:r>
      <w:r w:rsidRPr="001F4C22">
        <w:rPr>
          <w:rFonts w:ascii="Book Antiqua" w:hAnsi="Book Antiqua" w:cs="Arial"/>
          <w:b/>
          <w:u w:val="single"/>
        </w:rPr>
        <w:t>RT</w:t>
      </w:r>
      <w:r w:rsidRPr="001F4C22">
        <w:rPr>
          <w:rFonts w:ascii="Book Antiqua" w:hAnsi="Book Antiqua" w:cs="Arial"/>
          <w:b/>
        </w:rPr>
        <w:t xml:space="preserve"> (</w:t>
      </w:r>
      <w:smartTag w:uri="urn:schemas-microsoft-com:office:smarttags" w:element="country-region">
        <w:smartTag w:uri="urn:schemas-microsoft-com:office:smarttags" w:element="place">
          <w:r w:rsidRPr="001F4C22">
            <w:rPr>
              <w:rFonts w:ascii="Book Antiqua" w:hAnsi="Book Antiqua" w:cs="Arial"/>
              <w:b/>
            </w:rPr>
            <w:t>Zimbabwe</w:t>
          </w:r>
        </w:smartTag>
      </w:smartTag>
      <w:r w:rsidRPr="001F4C22">
        <w:rPr>
          <w:rFonts w:ascii="Book Antiqua" w:hAnsi="Book Antiqua" w:cs="Arial"/>
          <w:b/>
        </w:rPr>
        <w:t>)</w:t>
      </w:r>
      <w:r>
        <w:rPr>
          <w:rFonts w:ascii="Book Antiqua" w:hAnsi="Book Antiqua" w:cs="Arial"/>
        </w:rPr>
        <w:t>.</w:t>
      </w:r>
    </w:p>
    <w:p w:rsidR="001F4C22" w:rsidRDefault="001F4C22" w:rsidP="004D7F7A">
      <w:pPr>
        <w:spacing w:before="120"/>
        <w:ind w:left="1134"/>
        <w:jc w:val="both"/>
        <w:rPr>
          <w:rFonts w:ascii="Book Antiqua" w:hAnsi="Book Antiqua" w:cs="Arial"/>
        </w:rPr>
      </w:pPr>
      <w:r>
        <w:rPr>
          <w:rFonts w:ascii="Book Antiqua" w:hAnsi="Book Antiqua" w:cs="Arial"/>
        </w:rPr>
        <w:t xml:space="preserve">Ground 7 – </w:t>
      </w:r>
      <w:r w:rsidR="00DE424C">
        <w:rPr>
          <w:rFonts w:ascii="Book Antiqua" w:hAnsi="Book Antiqua" w:cs="Arial"/>
        </w:rPr>
        <w:t>Failure</w:t>
      </w:r>
      <w:r>
        <w:rPr>
          <w:rFonts w:ascii="Book Antiqua" w:hAnsi="Book Antiqua" w:cs="Arial"/>
        </w:rPr>
        <w:t xml:space="preserve"> to attach proper weight to hearsay evidence – the judge gave little weight to hearsay evidence and had </w:t>
      </w:r>
      <w:r w:rsidR="00DE424C">
        <w:rPr>
          <w:rFonts w:ascii="Book Antiqua" w:hAnsi="Book Antiqua" w:cs="Arial"/>
        </w:rPr>
        <w:t>failed</w:t>
      </w:r>
      <w:r>
        <w:rPr>
          <w:rFonts w:ascii="Book Antiqua" w:hAnsi="Book Antiqua" w:cs="Arial"/>
        </w:rPr>
        <w:t xml:space="preserve"> to give proper reasons as to why this evidence was unreliable.</w:t>
      </w:r>
    </w:p>
    <w:p w:rsidR="00BB78FA" w:rsidRPr="002A638F" w:rsidRDefault="00C67BB7" w:rsidP="002A638F">
      <w:pPr>
        <w:spacing w:before="240"/>
        <w:jc w:val="both"/>
        <w:rPr>
          <w:rFonts w:ascii="Book Antiqua" w:hAnsi="Book Antiqua" w:cs="Arial"/>
          <w:b/>
          <w:u w:val="single"/>
        </w:rPr>
      </w:pPr>
      <w:r>
        <w:rPr>
          <w:rFonts w:ascii="Book Antiqua" w:hAnsi="Book Antiqua" w:cs="Arial"/>
          <w:b/>
          <w:u w:val="single"/>
        </w:rPr>
        <w:t xml:space="preserve">The Hearing </w:t>
      </w:r>
    </w:p>
    <w:p w:rsidR="00FF0BA1" w:rsidRPr="00F5664C" w:rsidRDefault="002A638F" w:rsidP="00FF0BA1">
      <w:pPr>
        <w:numPr>
          <w:ilvl w:val="0"/>
          <w:numId w:val="3"/>
        </w:numPr>
        <w:tabs>
          <w:tab w:val="clear" w:pos="567"/>
        </w:tabs>
        <w:spacing w:before="240"/>
        <w:jc w:val="both"/>
        <w:rPr>
          <w:rFonts w:ascii="Book Antiqua" w:hAnsi="Book Antiqua" w:cs="Arial"/>
        </w:rPr>
      </w:pPr>
      <w:r>
        <w:rPr>
          <w:rFonts w:ascii="Book Antiqua" w:hAnsi="Book Antiqua" w:cs="Arial"/>
        </w:rPr>
        <w:t xml:space="preserve">Mr Behbahani submitted that the judge had made a number of mistakes of fact which were material and that this exhibited a total failure to take into </w:t>
      </w:r>
      <w:r w:rsidR="00DE424C">
        <w:rPr>
          <w:rFonts w:ascii="Book Antiqua" w:hAnsi="Book Antiqua" w:cs="Arial"/>
        </w:rPr>
        <w:t>account</w:t>
      </w:r>
      <w:r>
        <w:rPr>
          <w:rFonts w:ascii="Book Antiqua" w:hAnsi="Book Antiqua" w:cs="Arial"/>
        </w:rPr>
        <w:t xml:space="preserve"> the evidence in the asylum interview and cast doubt on whether or not anxious scrutiny had been applied, given that there were a number of mistakes.  Mr Behbahani submitted that the appellant had explained what her mov</w:t>
      </w:r>
      <w:r w:rsidR="008B3D6D">
        <w:rPr>
          <w:rFonts w:ascii="Book Antiqua" w:hAnsi="Book Antiqua" w:cs="Arial"/>
        </w:rPr>
        <w:t xml:space="preserve">ements were between 16 March and </w:t>
      </w:r>
      <w:r>
        <w:rPr>
          <w:rFonts w:ascii="Book Antiqua" w:hAnsi="Book Antiqua" w:cs="Arial"/>
        </w:rPr>
        <w:t>23 March</w:t>
      </w:r>
      <w:r w:rsidR="00353DB1">
        <w:rPr>
          <w:rFonts w:ascii="Book Antiqua" w:hAnsi="Book Antiqua" w:cs="Arial"/>
        </w:rPr>
        <w:t xml:space="preserve"> 2017, in </w:t>
      </w:r>
      <w:r>
        <w:rPr>
          <w:rFonts w:ascii="Book Antiqua" w:hAnsi="Book Antiqua" w:cs="Arial"/>
        </w:rPr>
        <w:t>the screening interview from 3.1 to 3.3</w:t>
      </w:r>
      <w:r w:rsidR="00353DB1">
        <w:rPr>
          <w:rFonts w:ascii="Book Antiqua" w:hAnsi="Book Antiqua" w:cs="Arial"/>
        </w:rPr>
        <w:t>,</w:t>
      </w:r>
      <w:r>
        <w:rPr>
          <w:rFonts w:ascii="Book Antiqua" w:hAnsi="Book Antiqua" w:cs="Arial"/>
        </w:rPr>
        <w:t xml:space="preserve"> and noted that 4 April was the date of the screening but not the date of the appellant’s initial contact to claim asylum.</w:t>
      </w:r>
      <w:r w:rsidR="00FF0BA1">
        <w:rPr>
          <w:rFonts w:ascii="Book Antiqua" w:hAnsi="Book Antiqua" w:cs="Arial"/>
        </w:rPr>
        <w:t xml:space="preserve">  </w:t>
      </w:r>
      <w:r w:rsidR="00FF0BA1">
        <w:rPr>
          <w:rFonts w:ascii="Book Antiqua" w:hAnsi="Book Antiqua" w:cs="Arial"/>
        </w:rPr>
        <w:lastRenderedPageBreak/>
        <w:t>This evidence had to be considered.  Mr Behbahani submitted that in light of the asylum interview from questions 89 to 110 in relation to the appellant’s actions</w:t>
      </w:r>
      <w:r w:rsidR="00353DB1">
        <w:rPr>
          <w:rFonts w:ascii="Book Antiqua" w:hAnsi="Book Antiqua" w:cs="Arial"/>
        </w:rPr>
        <w:t>,</w:t>
      </w:r>
      <w:r w:rsidR="00FF0BA1">
        <w:rPr>
          <w:rFonts w:ascii="Book Antiqua" w:hAnsi="Book Antiqua" w:cs="Arial"/>
        </w:rPr>
        <w:t xml:space="preserve"> the judge erred at [35] of the Decisions and Reasons</w:t>
      </w:r>
      <w:r w:rsidR="00FB17AC">
        <w:rPr>
          <w:rFonts w:ascii="Book Antiqua" w:hAnsi="Book Antiqua" w:cs="Arial"/>
        </w:rPr>
        <w:t xml:space="preserve">, including that there was no reason given for the finding that there was no </w:t>
      </w:r>
      <w:r w:rsidR="00DE424C">
        <w:rPr>
          <w:rFonts w:ascii="Book Antiqua" w:hAnsi="Book Antiqua" w:cs="Arial"/>
        </w:rPr>
        <w:t>reason</w:t>
      </w:r>
      <w:r w:rsidR="00FB17AC">
        <w:rPr>
          <w:rFonts w:ascii="Book Antiqua" w:hAnsi="Book Antiqua" w:cs="Arial"/>
        </w:rPr>
        <w:t xml:space="preserve"> why the authorities would not look for the appellant before 23 March.  It was further submitted that the judge was relying on his own perception in relation to the lack of documentary evidence about the husband’s suspension from work and her daughter’s expulsion from university and Mr Behbahani again emphasised the background information as to the </w:t>
      </w:r>
      <w:r w:rsidR="00DE424C">
        <w:rPr>
          <w:rFonts w:ascii="Book Antiqua" w:hAnsi="Book Antiqua" w:cs="Arial"/>
        </w:rPr>
        <w:t>arbitrary</w:t>
      </w:r>
      <w:r w:rsidR="00FB17AC">
        <w:rPr>
          <w:rFonts w:ascii="Book Antiqua" w:hAnsi="Book Antiqua" w:cs="Arial"/>
        </w:rPr>
        <w:t xml:space="preserve"> actions of the Iranian authorities who often do not follow their official procedures, such as they are.  It was submitted that the Tribunal’s findings did not follow the lower standard of proof.  In relation to ground 6 Mr Behbahani submitted that the Tribunal </w:t>
      </w:r>
      <w:r w:rsidR="00DE424C">
        <w:rPr>
          <w:rFonts w:ascii="Book Antiqua" w:hAnsi="Book Antiqua" w:cs="Arial"/>
        </w:rPr>
        <w:t>failed</w:t>
      </w:r>
      <w:r w:rsidR="00FB17AC">
        <w:rPr>
          <w:rFonts w:ascii="Book Antiqua" w:hAnsi="Book Antiqua" w:cs="Arial"/>
        </w:rPr>
        <w:t xml:space="preserve"> to </w:t>
      </w:r>
      <w:r w:rsidR="00DE424C">
        <w:rPr>
          <w:rFonts w:ascii="Book Antiqua" w:hAnsi="Book Antiqua" w:cs="Arial"/>
        </w:rPr>
        <w:t>consider</w:t>
      </w:r>
      <w:r w:rsidR="00FB17AC">
        <w:rPr>
          <w:rFonts w:ascii="Book Antiqua" w:hAnsi="Book Antiqua" w:cs="Arial"/>
        </w:rPr>
        <w:t xml:space="preserve"> in the alternative how the appellant would be considered as a failed asylum seeker.  </w:t>
      </w:r>
    </w:p>
    <w:p w:rsidR="00AE6FAB" w:rsidRDefault="00FB17AC"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Ms Everett </w:t>
      </w:r>
      <w:r w:rsidR="00DE424C">
        <w:rPr>
          <w:rFonts w:ascii="Book Antiqua" w:hAnsi="Book Antiqua" w:cs="Arial"/>
        </w:rPr>
        <w:t>accepted</w:t>
      </w:r>
      <w:r>
        <w:rPr>
          <w:rFonts w:ascii="Book Antiqua" w:hAnsi="Book Antiqua" w:cs="Arial"/>
        </w:rPr>
        <w:t xml:space="preserve"> that the appellant made</w:t>
      </w:r>
      <w:r w:rsidR="00353DB1">
        <w:rPr>
          <w:rFonts w:ascii="Book Antiqua" w:hAnsi="Book Antiqua" w:cs="Arial"/>
        </w:rPr>
        <w:t xml:space="preserve"> some</w:t>
      </w:r>
      <w:r>
        <w:rPr>
          <w:rFonts w:ascii="Book Antiqua" w:hAnsi="Book Antiqua" w:cs="Arial"/>
        </w:rPr>
        <w:t xml:space="preserve"> fair criticism in ground 1, that the judge had substituted his own inference which may be based</w:t>
      </w:r>
      <w:r w:rsidR="00353DB1">
        <w:rPr>
          <w:rFonts w:ascii="Book Antiqua" w:hAnsi="Book Antiqua" w:cs="Arial"/>
        </w:rPr>
        <w:t xml:space="preserve"> on conjecture in relation to one or two </w:t>
      </w:r>
      <w:r>
        <w:rPr>
          <w:rFonts w:ascii="Book Antiqua" w:hAnsi="Book Antiqua" w:cs="Arial"/>
        </w:rPr>
        <w:t xml:space="preserve">issues.  However, she submitted this was not fatal to the decision.  The essence of the appellant’s claim was that having spoken to an Evangelist in Turkey she took a CD about Christianity which she smuggled into Iran at great risk to herself and then watched some of it.  She submitted that the judge gave cogent reasons why that was not accepted.  Mr Behbahani </w:t>
      </w:r>
      <w:r w:rsidR="00353DB1">
        <w:rPr>
          <w:rFonts w:ascii="Book Antiqua" w:hAnsi="Book Antiqua" w:cs="Arial"/>
        </w:rPr>
        <w:t>submitted that</w:t>
      </w:r>
      <w:r>
        <w:rPr>
          <w:rFonts w:ascii="Book Antiqua" w:hAnsi="Book Antiqua" w:cs="Arial"/>
        </w:rPr>
        <w:t xml:space="preserve"> a person was allowed to be a devout Muslim and still enquire about other reli</w:t>
      </w:r>
      <w:r w:rsidR="00353DB1">
        <w:rPr>
          <w:rFonts w:ascii="Book Antiqua" w:hAnsi="Book Antiqua" w:cs="Arial"/>
        </w:rPr>
        <w:t>gions.  However, the Tribunal was</w:t>
      </w:r>
      <w:r>
        <w:rPr>
          <w:rFonts w:ascii="Book Antiqua" w:hAnsi="Book Antiqua" w:cs="Arial"/>
        </w:rPr>
        <w:t xml:space="preserve"> being as</w:t>
      </w:r>
      <w:r w:rsidR="00353DB1">
        <w:rPr>
          <w:rFonts w:ascii="Book Antiqua" w:hAnsi="Book Antiqua" w:cs="Arial"/>
        </w:rPr>
        <w:t>ked to accept that such</w:t>
      </w:r>
      <w:r>
        <w:rPr>
          <w:rFonts w:ascii="Book Antiqua" w:hAnsi="Book Antiqua" w:cs="Arial"/>
        </w:rPr>
        <w:t xml:space="preserve"> interest</w:t>
      </w:r>
      <w:r w:rsidR="00AE6FAB">
        <w:rPr>
          <w:rFonts w:ascii="Book Antiqua" w:hAnsi="Book Antiqua" w:cs="Arial"/>
        </w:rPr>
        <w:t>, of a devout M</w:t>
      </w:r>
      <w:r w:rsidR="00353DB1">
        <w:rPr>
          <w:rFonts w:ascii="Book Antiqua" w:hAnsi="Book Antiqua" w:cs="Arial"/>
        </w:rPr>
        <w:t>uslim,</w:t>
      </w:r>
      <w:r>
        <w:rPr>
          <w:rFonts w:ascii="Book Antiqua" w:hAnsi="Book Antiqua" w:cs="Arial"/>
        </w:rPr>
        <w:t xml:space="preserve"> was enough for the appellant</w:t>
      </w:r>
      <w:r w:rsidR="00353DB1">
        <w:rPr>
          <w:rFonts w:ascii="Book Antiqua" w:hAnsi="Book Antiqua" w:cs="Arial"/>
        </w:rPr>
        <w:t xml:space="preserve"> to put herself at great risk by</w:t>
      </w:r>
      <w:r>
        <w:rPr>
          <w:rFonts w:ascii="Book Antiqua" w:hAnsi="Book Antiqua" w:cs="Arial"/>
        </w:rPr>
        <w:t xml:space="preserve"> smuggling a CD into Iran which was then barely watched.  The Tribunal was entitled not to accept this.  </w:t>
      </w:r>
    </w:p>
    <w:p w:rsidR="002A638F" w:rsidRDefault="00FB17AC"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Equally, the Tribunal was entitled to look at why the appellant and her children were in the UK </w:t>
      </w:r>
      <w:r w:rsidR="00AB5265">
        <w:rPr>
          <w:rFonts w:ascii="Book Antiqua" w:hAnsi="Book Antiqua" w:cs="Arial"/>
        </w:rPr>
        <w:t xml:space="preserve">at all.  Whilst Ms Everett </w:t>
      </w:r>
      <w:r w:rsidR="00DE424C">
        <w:rPr>
          <w:rFonts w:ascii="Book Antiqua" w:hAnsi="Book Antiqua" w:cs="Arial"/>
        </w:rPr>
        <w:t>accepted</w:t>
      </w:r>
      <w:r w:rsidR="00AB5265">
        <w:rPr>
          <w:rFonts w:ascii="Book Antiqua" w:hAnsi="Book Antiqua" w:cs="Arial"/>
        </w:rPr>
        <w:t xml:space="preserve"> that there might be a lack of written information in relation to the appellant’s husband’s </w:t>
      </w:r>
      <w:r w:rsidR="00AE6FAB">
        <w:rPr>
          <w:rFonts w:ascii="Book Antiqua" w:hAnsi="Book Antiqua" w:cs="Arial"/>
        </w:rPr>
        <w:t xml:space="preserve">claimed </w:t>
      </w:r>
      <w:r w:rsidR="00AB5265">
        <w:rPr>
          <w:rFonts w:ascii="Book Antiqua" w:hAnsi="Book Antiqua" w:cs="Arial"/>
        </w:rPr>
        <w:t xml:space="preserve">loss of employment, there was nothing from the schools in the UK which the appellant maintained had been the </w:t>
      </w:r>
      <w:r w:rsidR="00AE6FAB">
        <w:rPr>
          <w:rFonts w:ascii="Book Antiqua" w:hAnsi="Book Antiqua" w:cs="Arial"/>
        </w:rPr>
        <w:t xml:space="preserve">only </w:t>
      </w:r>
      <w:r w:rsidR="00AB5265">
        <w:rPr>
          <w:rFonts w:ascii="Book Antiqua" w:hAnsi="Book Antiqua" w:cs="Arial"/>
        </w:rPr>
        <w:t>reason</w:t>
      </w:r>
      <w:r w:rsidR="00AE6FAB">
        <w:rPr>
          <w:rFonts w:ascii="Book Antiqua" w:hAnsi="Book Antiqua" w:cs="Arial"/>
        </w:rPr>
        <w:t xml:space="preserve"> for</w:t>
      </w:r>
      <w:r w:rsidR="00AB5265">
        <w:rPr>
          <w:rFonts w:ascii="Book Antiqua" w:hAnsi="Book Antiqua" w:cs="Arial"/>
        </w:rPr>
        <w:t xml:space="preserve"> coming to the UK </w:t>
      </w:r>
      <w:r w:rsidR="00AE6FAB">
        <w:rPr>
          <w:rFonts w:ascii="Book Antiqua" w:hAnsi="Book Antiqua" w:cs="Arial"/>
        </w:rPr>
        <w:t xml:space="preserve">(to look at prospective </w:t>
      </w:r>
      <w:r w:rsidR="00AB5265">
        <w:rPr>
          <w:rFonts w:ascii="Book Antiqua" w:hAnsi="Book Antiqua" w:cs="Arial"/>
        </w:rPr>
        <w:t>schools</w:t>
      </w:r>
      <w:r w:rsidR="00AE6FAB">
        <w:rPr>
          <w:rFonts w:ascii="Book Antiqua" w:hAnsi="Book Antiqua" w:cs="Arial"/>
        </w:rPr>
        <w:t>)</w:t>
      </w:r>
      <w:r w:rsidR="00AB5265">
        <w:rPr>
          <w:rFonts w:ascii="Book Antiqua" w:hAnsi="Book Antiqua" w:cs="Arial"/>
        </w:rPr>
        <w:t xml:space="preserve">.  Ms Everett submitted this was a case where </w:t>
      </w:r>
      <w:r w:rsidR="00AE6FAB">
        <w:rPr>
          <w:rFonts w:ascii="Book Antiqua" w:hAnsi="Book Antiqua" w:cs="Arial"/>
        </w:rPr>
        <w:t>any</w:t>
      </w:r>
      <w:r w:rsidR="00AB5265">
        <w:rPr>
          <w:rFonts w:ascii="Book Antiqua" w:hAnsi="Book Antiqua" w:cs="Arial"/>
        </w:rPr>
        <w:t xml:space="preserve"> errors made by the judge could be ring-fenced</w:t>
      </w:r>
      <w:r w:rsidR="00AE6FAB">
        <w:rPr>
          <w:rFonts w:ascii="Book Antiqua" w:hAnsi="Book Antiqua" w:cs="Arial"/>
        </w:rPr>
        <w:t>,</w:t>
      </w:r>
      <w:r w:rsidR="00AB5265">
        <w:rPr>
          <w:rFonts w:ascii="Book Antiqua" w:hAnsi="Book Antiqua" w:cs="Arial"/>
        </w:rPr>
        <w:t xml:space="preserve"> given the core of the claim which the Tribunal did not </w:t>
      </w:r>
      <w:r w:rsidR="00DE424C">
        <w:rPr>
          <w:rFonts w:ascii="Book Antiqua" w:hAnsi="Book Antiqua" w:cs="Arial"/>
        </w:rPr>
        <w:t>accept</w:t>
      </w:r>
      <w:r w:rsidR="00AB5265">
        <w:rPr>
          <w:rFonts w:ascii="Book Antiqua" w:hAnsi="Book Antiqua" w:cs="Arial"/>
        </w:rPr>
        <w:t xml:space="preserve">.  In relation to the appellant’s risk on return as a failed asylum seeker there was no evidence to suggest a failed asylum seeker is enough to attract attention and it is not contested that the appellant has remained a Muslim and therefore </w:t>
      </w:r>
      <w:r w:rsidR="00AB5265" w:rsidRPr="00AB5265">
        <w:rPr>
          <w:rFonts w:ascii="Book Antiqua" w:hAnsi="Book Antiqua" w:cs="Arial"/>
          <w:b/>
          <w:u w:val="single"/>
        </w:rPr>
        <w:t>HJ</w:t>
      </w:r>
      <w:r w:rsidR="00AB5265" w:rsidRPr="00AB5265">
        <w:rPr>
          <w:rFonts w:ascii="Book Antiqua" w:hAnsi="Book Antiqua" w:cs="Arial"/>
          <w:b/>
        </w:rPr>
        <w:t xml:space="preserve"> (Iran</w:t>
      </w:r>
      <w:r w:rsidR="0067023D">
        <w:rPr>
          <w:rFonts w:ascii="Book Antiqua" w:hAnsi="Book Antiqua" w:cs="Arial"/>
          <w:b/>
        </w:rPr>
        <w:t xml:space="preserve">) and another v SSHD [2010] UKSC 31 </w:t>
      </w:r>
      <w:r w:rsidR="00AB5265">
        <w:rPr>
          <w:rFonts w:ascii="Book Antiqua" w:hAnsi="Book Antiqua" w:cs="Arial"/>
        </w:rPr>
        <w:t>does not bite.  In answer to any question the appel</w:t>
      </w:r>
      <w:r w:rsidR="00AE6FAB">
        <w:rPr>
          <w:rFonts w:ascii="Book Antiqua" w:hAnsi="Book Antiqua" w:cs="Arial"/>
        </w:rPr>
        <w:t xml:space="preserve">lant would have to answer “No” </w:t>
      </w:r>
      <w:r w:rsidR="00AB5265">
        <w:rPr>
          <w:rFonts w:ascii="Book Antiqua" w:hAnsi="Book Antiqua" w:cs="Arial"/>
        </w:rPr>
        <w:t xml:space="preserve">that she was not a convert and that would be the end of the enquiry.  </w:t>
      </w:r>
      <w:proofErr w:type="gramStart"/>
      <w:r w:rsidR="00AB5265">
        <w:rPr>
          <w:rFonts w:ascii="Book Antiqua" w:hAnsi="Book Antiqua" w:cs="Arial"/>
        </w:rPr>
        <w:t>Therefore</w:t>
      </w:r>
      <w:proofErr w:type="gramEnd"/>
      <w:r w:rsidR="00AB5265">
        <w:rPr>
          <w:rFonts w:ascii="Book Antiqua" w:hAnsi="Book Antiqua" w:cs="Arial"/>
        </w:rPr>
        <w:t xml:space="preserve"> any failure to deal with this issue was not determinative.</w:t>
      </w:r>
    </w:p>
    <w:p w:rsidR="00AB5265" w:rsidRDefault="00AB5265"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In reply Mr Behbahani submitted that whilst Ms Everett was correct in her interpretation of the summary of the claim, she was wrong in stating that it was all about the CD.  It was not.  The appellant has </w:t>
      </w:r>
      <w:r w:rsidR="00DE424C">
        <w:rPr>
          <w:rFonts w:ascii="Book Antiqua" w:hAnsi="Book Antiqua" w:cs="Arial"/>
        </w:rPr>
        <w:t>maintained</w:t>
      </w:r>
      <w:r>
        <w:rPr>
          <w:rFonts w:ascii="Book Antiqua" w:hAnsi="Book Antiqua" w:cs="Arial"/>
        </w:rPr>
        <w:t xml:space="preserve"> that she is guilty by </w:t>
      </w:r>
      <w:r w:rsidR="00DE424C">
        <w:rPr>
          <w:rFonts w:ascii="Book Antiqua" w:hAnsi="Book Antiqua" w:cs="Arial"/>
        </w:rPr>
        <w:t>association</w:t>
      </w:r>
      <w:r>
        <w:rPr>
          <w:rFonts w:ascii="Book Antiqua" w:hAnsi="Book Antiqua" w:cs="Arial"/>
        </w:rPr>
        <w:t xml:space="preserve"> and complicity and there was adverse interest in her because of the difficulties her colleagues at work experienced.  The appellant has maintained that she did not claim asylum when she arrived as she wanted to return home.  The chronology is not about whether the appellant watched five minutes of the CD.  In the same context </w:t>
      </w:r>
      <w:r>
        <w:rPr>
          <w:rFonts w:ascii="Book Antiqua" w:hAnsi="Book Antiqua" w:cs="Arial"/>
        </w:rPr>
        <w:lastRenderedPageBreak/>
        <w:t xml:space="preserve">there was little relevance in relation to the appellant’s enquiries about the school in </w:t>
      </w:r>
      <w:smartTag w:uri="urn:schemas-microsoft-com:office:smarttags" w:element="place">
        <w:r w:rsidR="00DE424C">
          <w:rPr>
            <w:rFonts w:ascii="Book Antiqua" w:hAnsi="Book Antiqua" w:cs="Arial"/>
          </w:rPr>
          <w:t>Harrogate</w:t>
        </w:r>
      </w:smartTag>
      <w:r>
        <w:rPr>
          <w:rFonts w:ascii="Book Antiqua" w:hAnsi="Book Antiqua" w:cs="Arial"/>
        </w:rPr>
        <w:t xml:space="preserve"> which related to a previous visit and the appellant had said in evidence that it would not be appropriate for the children to study there and Mr Behbahani did not see the relevance of this.  </w:t>
      </w:r>
      <w:r w:rsidR="00DE424C">
        <w:rPr>
          <w:rFonts w:ascii="Book Antiqua" w:hAnsi="Book Antiqua" w:cs="Arial"/>
        </w:rPr>
        <w:t>Equally</w:t>
      </w:r>
      <w:r>
        <w:rPr>
          <w:rFonts w:ascii="Book Antiqua" w:hAnsi="Book Antiqua" w:cs="Arial"/>
        </w:rPr>
        <w:t>, in relation to the children going to s</w:t>
      </w:r>
      <w:r w:rsidR="00923C10">
        <w:rPr>
          <w:rFonts w:ascii="Book Antiqua" w:hAnsi="Book Antiqua" w:cs="Arial"/>
        </w:rPr>
        <w:t>chool in Chiswick it was known</w:t>
      </w:r>
      <w:r>
        <w:rPr>
          <w:rFonts w:ascii="Book Antiqua" w:hAnsi="Book Antiqua" w:cs="Arial"/>
        </w:rPr>
        <w:t xml:space="preserve"> that asylum seekers were entitled to free education and therefore it is not relevant that the children might have been attending school.  In relation to the risk on return Mr Behbahani accepted that there was no general risk for failed asylum seekers on return to Iran, but this was a fact-sensitive consideration that should have been undertaken </w:t>
      </w:r>
      <w:r w:rsidR="00923C10">
        <w:rPr>
          <w:rFonts w:ascii="Book Antiqua" w:hAnsi="Book Antiqua" w:cs="Arial"/>
        </w:rPr>
        <w:t xml:space="preserve">in light </w:t>
      </w:r>
      <w:r>
        <w:rPr>
          <w:rFonts w:ascii="Book Antiqua" w:hAnsi="Book Antiqua" w:cs="Arial"/>
        </w:rPr>
        <w:t xml:space="preserve">of </w:t>
      </w:r>
      <w:r w:rsidRPr="00AB5265">
        <w:rPr>
          <w:rFonts w:ascii="Book Antiqua" w:hAnsi="Book Antiqua" w:cs="Arial"/>
          <w:b/>
          <w:u w:val="single"/>
        </w:rPr>
        <w:t>RT</w:t>
      </w:r>
      <w:r w:rsidRPr="00AB5265">
        <w:rPr>
          <w:rFonts w:ascii="Book Antiqua" w:hAnsi="Book Antiqua" w:cs="Arial"/>
          <w:b/>
        </w:rPr>
        <w:t xml:space="preserve"> (Zimbabwe</w:t>
      </w:r>
      <w:r w:rsidRPr="00923C10">
        <w:rPr>
          <w:rFonts w:ascii="Book Antiqua" w:hAnsi="Book Antiqua" w:cs="Arial"/>
          <w:b/>
        </w:rPr>
        <w:t>)</w:t>
      </w:r>
      <w:r w:rsidR="00923C10" w:rsidRPr="00923C10">
        <w:rPr>
          <w:rFonts w:ascii="Book Antiqua" w:hAnsi="Book Antiqua" w:cs="Arial"/>
          <w:b/>
        </w:rPr>
        <w:t xml:space="preserve"> [2012] UKSC 38</w:t>
      </w:r>
      <w:r w:rsidR="00923C10">
        <w:rPr>
          <w:rFonts w:ascii="Book Antiqua" w:hAnsi="Book Antiqua" w:cs="Arial"/>
        </w:rPr>
        <w:t xml:space="preserve"> </w:t>
      </w:r>
      <w:r>
        <w:rPr>
          <w:rFonts w:ascii="Book Antiqua" w:hAnsi="Book Antiqua" w:cs="Arial"/>
        </w:rPr>
        <w:t xml:space="preserve">and the appellant will be guilty by association.  </w:t>
      </w:r>
    </w:p>
    <w:p w:rsidR="00AB5265" w:rsidRPr="00AB5265" w:rsidRDefault="00C67BB7" w:rsidP="00AB5265">
      <w:pPr>
        <w:spacing w:before="240"/>
        <w:jc w:val="both"/>
        <w:rPr>
          <w:rFonts w:ascii="Book Antiqua" w:hAnsi="Book Antiqua" w:cs="Arial"/>
          <w:b/>
          <w:u w:val="single"/>
        </w:rPr>
      </w:pPr>
      <w:r w:rsidRPr="002A638F">
        <w:rPr>
          <w:rFonts w:ascii="Book Antiqua" w:hAnsi="Book Antiqua" w:cs="Arial"/>
          <w:b/>
          <w:u w:val="single"/>
        </w:rPr>
        <w:t>Error of Law Discussion</w:t>
      </w:r>
    </w:p>
    <w:p w:rsidR="00AB5265" w:rsidRDefault="0067023D"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First-tier Tribunal Judge was incorrect in his contention that a number of matters had not been explained by the appellant or that they lacked detail, whereas these </w:t>
      </w:r>
      <w:r w:rsidR="00B120B3">
        <w:rPr>
          <w:rFonts w:ascii="Book Antiqua" w:hAnsi="Book Antiqua" w:cs="Arial"/>
        </w:rPr>
        <w:t>were dealt with to an extent in the interview</w:t>
      </w:r>
      <w:r>
        <w:rPr>
          <w:rFonts w:ascii="Book Antiqua" w:hAnsi="Book Antiqua" w:cs="Arial"/>
        </w:rPr>
        <w:t xml:space="preserve"> (for example the appellant did give the name of the church in Turkey and had said where when and how she was approached by the man in Turkey – although the judge was correct in his finding that there was no description of this man; in addition the appellant stated at interview that she was in Shiraz for medical treatment).  The First-tier Tribunal was also incorrect in substituting its own perception in stating </w:t>
      </w:r>
      <w:r w:rsidR="00B120B3">
        <w:rPr>
          <w:rFonts w:ascii="Book Antiqua" w:hAnsi="Book Antiqua" w:cs="Arial"/>
        </w:rPr>
        <w:t xml:space="preserve">that it would be highly unlikely that as a Muslim woman the appellant would engage in a conversation with a male stranger.  </w:t>
      </w:r>
    </w:p>
    <w:p w:rsidR="00C51189" w:rsidRDefault="00B120B3" w:rsidP="000239E1">
      <w:pPr>
        <w:numPr>
          <w:ilvl w:val="0"/>
          <w:numId w:val="3"/>
        </w:numPr>
        <w:tabs>
          <w:tab w:val="clear" w:pos="567"/>
        </w:tabs>
        <w:spacing w:before="240"/>
        <w:jc w:val="both"/>
        <w:rPr>
          <w:rFonts w:ascii="Book Antiqua" w:hAnsi="Book Antiqua" w:cs="Arial"/>
        </w:rPr>
      </w:pPr>
      <w:proofErr w:type="gramStart"/>
      <w:r>
        <w:rPr>
          <w:rFonts w:ascii="Book Antiqua" w:hAnsi="Book Antiqua" w:cs="Arial"/>
        </w:rPr>
        <w:t>However</w:t>
      </w:r>
      <w:proofErr w:type="gramEnd"/>
      <w:r w:rsidR="0083707D">
        <w:rPr>
          <w:rFonts w:ascii="Book Antiqua" w:hAnsi="Book Antiqua" w:cs="Arial"/>
        </w:rPr>
        <w:t xml:space="preserve"> I am not satisfied that such</w:t>
      </w:r>
      <w:r w:rsidR="00E27CFF">
        <w:rPr>
          <w:rFonts w:ascii="Book Antiqua" w:hAnsi="Book Antiqua" w:cs="Arial"/>
        </w:rPr>
        <w:t xml:space="preserve"> relatively</w:t>
      </w:r>
      <w:r w:rsidR="0083707D">
        <w:rPr>
          <w:rFonts w:ascii="Book Antiqua" w:hAnsi="Book Antiqua" w:cs="Arial"/>
        </w:rPr>
        <w:t xml:space="preserve"> errors go to the core of the appellant’s claim or that they are material to the extent that the decision of First-tier Tribunal should be set aside.  The Tribunal provided detailed and</w:t>
      </w:r>
      <w:r w:rsidR="00C67BB7">
        <w:rPr>
          <w:rFonts w:ascii="Book Antiqua" w:hAnsi="Book Antiqua" w:cs="Arial"/>
        </w:rPr>
        <w:t xml:space="preserve"> </w:t>
      </w:r>
      <w:r>
        <w:rPr>
          <w:rFonts w:ascii="Book Antiqua" w:hAnsi="Book Antiqua" w:cs="Arial"/>
        </w:rPr>
        <w:t xml:space="preserve">adequate reasons for not accepting the core of this appellant’s claim.  </w:t>
      </w:r>
      <w:r w:rsidR="0083707D">
        <w:rPr>
          <w:rFonts w:ascii="Book Antiqua" w:hAnsi="Book Antiqua" w:cs="Arial"/>
        </w:rPr>
        <w:t>Significantly, t</w:t>
      </w:r>
      <w:r>
        <w:rPr>
          <w:rFonts w:ascii="Book Antiqua" w:hAnsi="Book Antiqua" w:cs="Arial"/>
        </w:rPr>
        <w:t>he Tribunal</w:t>
      </w:r>
      <w:r w:rsidR="00D26227">
        <w:rPr>
          <w:rFonts w:ascii="Book Antiqua" w:hAnsi="Book Antiqua" w:cs="Arial"/>
        </w:rPr>
        <w:t xml:space="preserve"> did not ac</w:t>
      </w:r>
      <w:r>
        <w:rPr>
          <w:rFonts w:ascii="Book Antiqua" w:hAnsi="Book Antiqua" w:cs="Arial"/>
        </w:rPr>
        <w:t>cept the appellant’s evidence about the CD</w:t>
      </w:r>
      <w:r w:rsidR="0083707D">
        <w:rPr>
          <w:rFonts w:ascii="Book Antiqua" w:hAnsi="Book Antiqua" w:cs="Arial"/>
        </w:rPr>
        <w:t>,</w:t>
      </w:r>
      <w:r>
        <w:rPr>
          <w:rFonts w:ascii="Book Antiqua" w:hAnsi="Book Antiqua" w:cs="Arial"/>
        </w:rPr>
        <w:t xml:space="preserve"> which she claimed to have smuggled from Turkey into Iran</w:t>
      </w:r>
      <w:r w:rsidR="0083707D">
        <w:rPr>
          <w:rFonts w:ascii="Book Antiqua" w:hAnsi="Book Antiqua" w:cs="Arial"/>
        </w:rPr>
        <w:t>,</w:t>
      </w:r>
      <w:r>
        <w:rPr>
          <w:rFonts w:ascii="Book Antiqua" w:hAnsi="Book Antiqua" w:cs="Arial"/>
        </w:rPr>
        <w:t xml:space="preserve"> which the judge found to be vague, non-specific and not credible.  </w:t>
      </w:r>
      <w:r w:rsidR="004E7B74">
        <w:rPr>
          <w:rFonts w:ascii="Book Antiqua" w:hAnsi="Book Antiqua" w:cs="Arial"/>
        </w:rPr>
        <w:t xml:space="preserve">The Tribunal took into consideration the appellant was a devout Muslim with no previous association to Christian house churches and found that she gave no credible reason as to why she would take the risk of being searched and detained, travelling as she was with her children, by smuggling a CD into </w:t>
      </w:r>
      <w:smartTag w:uri="urn:schemas-microsoft-com:office:smarttags" w:element="country-region">
        <w:smartTag w:uri="urn:schemas-microsoft-com:office:smarttags" w:element="place">
          <w:r w:rsidR="004E7B74">
            <w:rPr>
              <w:rFonts w:ascii="Book Antiqua" w:hAnsi="Book Antiqua" w:cs="Arial"/>
            </w:rPr>
            <w:t>Iran</w:t>
          </w:r>
        </w:smartTag>
      </w:smartTag>
      <w:r w:rsidR="004E7B74">
        <w:rPr>
          <w:rFonts w:ascii="Book Antiqua" w:hAnsi="Book Antiqua" w:cs="Arial"/>
        </w:rPr>
        <w:t>.  Whilst it was contended that the appellant had given detailed reasons of her personal interest,</w:t>
      </w:r>
      <w:r w:rsidR="0083707D">
        <w:rPr>
          <w:rFonts w:ascii="Book Antiqua" w:hAnsi="Book Antiqua" w:cs="Arial"/>
        </w:rPr>
        <w:t xml:space="preserve"> her evidence on this point was limited;</w:t>
      </w:r>
      <w:r w:rsidR="004E7B74">
        <w:rPr>
          <w:rFonts w:ascii="Book Antiqua" w:hAnsi="Book Antiqua" w:cs="Arial"/>
        </w:rPr>
        <w:t xml:space="preserve"> the appellant</w:t>
      </w:r>
      <w:r w:rsidR="0083707D">
        <w:rPr>
          <w:rFonts w:ascii="Book Antiqua" w:hAnsi="Book Antiqua" w:cs="Arial"/>
        </w:rPr>
        <w:t xml:space="preserve"> stating at interview</w:t>
      </w:r>
      <w:r w:rsidR="004E7B74">
        <w:rPr>
          <w:rFonts w:ascii="Book Antiqua" w:hAnsi="Book Antiqua" w:cs="Arial"/>
        </w:rPr>
        <w:t xml:space="preserve"> at [68] that </w:t>
      </w:r>
      <w:r w:rsidR="00C51189">
        <w:rPr>
          <w:rFonts w:ascii="Book Antiqua" w:hAnsi="Book Antiqua" w:cs="Arial"/>
        </w:rPr>
        <w:t xml:space="preserve">in discussing at work she said she </w:t>
      </w:r>
      <w:proofErr w:type="gramStart"/>
      <w:r w:rsidR="00C51189">
        <w:rPr>
          <w:rFonts w:ascii="Book Antiqua" w:hAnsi="Book Antiqua" w:cs="Arial"/>
        </w:rPr>
        <w:t>was:-</w:t>
      </w:r>
      <w:proofErr w:type="gramEnd"/>
    </w:p>
    <w:p w:rsidR="00B120B3" w:rsidRPr="004D7F7A" w:rsidRDefault="00C51189" w:rsidP="004D7F7A">
      <w:pPr>
        <w:spacing w:before="120"/>
        <w:ind w:left="1134" w:right="567"/>
        <w:jc w:val="both"/>
        <w:rPr>
          <w:rFonts w:ascii="Book Antiqua" w:hAnsi="Book Antiqua" w:cs="Arial"/>
          <w:sz w:val="22"/>
        </w:rPr>
      </w:pPr>
      <w:r w:rsidRPr="004D7F7A">
        <w:rPr>
          <w:rFonts w:ascii="Book Antiqua" w:hAnsi="Book Antiqua" w:cs="Arial"/>
          <w:sz w:val="22"/>
        </w:rPr>
        <w:t>“</w:t>
      </w:r>
      <w:r w:rsidR="004D7F7A">
        <w:rPr>
          <w:rFonts w:ascii="Book Antiqua" w:hAnsi="Book Antiqua" w:cs="Arial"/>
          <w:sz w:val="22"/>
        </w:rPr>
        <w:t xml:space="preserve">… </w:t>
      </w:r>
      <w:r w:rsidRPr="004D7F7A">
        <w:rPr>
          <w:rFonts w:ascii="Book Antiqua" w:hAnsi="Book Antiqua" w:cs="Arial"/>
          <w:sz w:val="22"/>
        </w:rPr>
        <w:t xml:space="preserve">serious to know about other religion or curious to learn about other religions when I was in Bandari Abas there was not any other religions except Islam.  I was not thinking that there was like another religion in any other areas of </w:t>
      </w:r>
      <w:smartTag w:uri="urn:schemas-microsoft-com:office:smarttags" w:element="place">
        <w:smartTag w:uri="urn:schemas-microsoft-com:office:smarttags" w:element="country-region">
          <w:r w:rsidRPr="004D7F7A">
            <w:rPr>
              <w:rFonts w:ascii="Book Antiqua" w:hAnsi="Book Antiqua" w:cs="Arial"/>
              <w:sz w:val="22"/>
            </w:rPr>
            <w:t>Iran</w:t>
          </w:r>
        </w:smartTag>
      </w:smartTag>
      <w:r w:rsidRPr="004D7F7A">
        <w:rPr>
          <w:rFonts w:ascii="Book Antiqua" w:hAnsi="Book Antiqua" w:cs="Arial"/>
          <w:sz w:val="22"/>
        </w:rPr>
        <w:t xml:space="preserve"> because it was an Islamic society”.  </w:t>
      </w:r>
    </w:p>
    <w:p w:rsidR="0083707D" w:rsidRDefault="00D26227"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then went on to state when </w:t>
      </w:r>
      <w:r w:rsidR="0083707D">
        <w:rPr>
          <w:rFonts w:ascii="Book Antiqua" w:hAnsi="Book Antiqua" w:cs="Arial"/>
        </w:rPr>
        <w:t>she was</w:t>
      </w:r>
      <w:r>
        <w:rPr>
          <w:rFonts w:ascii="Book Antiqua" w:hAnsi="Book Antiqua" w:cs="Arial"/>
        </w:rPr>
        <w:t xml:space="preserve"> in Turkey, it being the appellant’s case that she was in Turkey to apply for visas to the UK to look at schools, a man approached </w:t>
      </w:r>
      <w:r w:rsidR="00DE424C">
        <w:rPr>
          <w:rFonts w:ascii="Book Antiqua" w:hAnsi="Book Antiqua" w:cs="Arial"/>
        </w:rPr>
        <w:t>them</w:t>
      </w:r>
      <w:r>
        <w:rPr>
          <w:rFonts w:ascii="Book Antiqua" w:hAnsi="Book Antiqua" w:cs="Arial"/>
        </w:rPr>
        <w:t xml:space="preserve"> and gave them some information and asked her to come to a church, which the appellant discussed with her husband and they decided to do so.  </w:t>
      </w:r>
      <w:r w:rsidR="00B40D97">
        <w:rPr>
          <w:rFonts w:ascii="Book Antiqua" w:hAnsi="Book Antiqua" w:cs="Arial"/>
        </w:rPr>
        <w:t>The appellant stated that they went, took pictures, l</w:t>
      </w:r>
      <w:r w:rsidR="004D7F7A">
        <w:rPr>
          <w:rFonts w:ascii="Book Antiqua" w:hAnsi="Book Antiqua" w:cs="Arial"/>
        </w:rPr>
        <w:t>i</w:t>
      </w:r>
      <w:r w:rsidR="00B40D97">
        <w:rPr>
          <w:rFonts w:ascii="Book Antiqua" w:hAnsi="Book Antiqua" w:cs="Arial"/>
        </w:rPr>
        <w:t xml:space="preserve">t a candle, arrived at the last part of </w:t>
      </w:r>
      <w:r w:rsidR="00B40D97">
        <w:rPr>
          <w:rFonts w:ascii="Book Antiqua" w:hAnsi="Book Antiqua" w:cs="Arial"/>
        </w:rPr>
        <w:lastRenderedPageBreak/>
        <w:t xml:space="preserve">the ceremony and </w:t>
      </w:r>
      <w:r w:rsidR="0083707D">
        <w:rPr>
          <w:rFonts w:ascii="Book Antiqua" w:hAnsi="Book Antiqua" w:cs="Arial"/>
        </w:rPr>
        <w:t xml:space="preserve">she </w:t>
      </w:r>
      <w:r w:rsidR="00B40D97">
        <w:rPr>
          <w:rFonts w:ascii="Book Antiqua" w:hAnsi="Book Antiqua" w:cs="Arial"/>
        </w:rPr>
        <w:t xml:space="preserve">was “emotionally impressed” and brought a CD home with her in the baggage of her children.  </w:t>
      </w:r>
    </w:p>
    <w:p w:rsidR="00E94CA6" w:rsidRDefault="00FE730E" w:rsidP="000239E1">
      <w:pPr>
        <w:numPr>
          <w:ilvl w:val="0"/>
          <w:numId w:val="3"/>
        </w:numPr>
        <w:tabs>
          <w:tab w:val="clear" w:pos="567"/>
        </w:tabs>
        <w:spacing w:before="240"/>
        <w:jc w:val="both"/>
        <w:rPr>
          <w:rFonts w:ascii="Book Antiqua" w:hAnsi="Book Antiqua" w:cs="Arial"/>
        </w:rPr>
      </w:pPr>
      <w:r>
        <w:rPr>
          <w:rFonts w:ascii="Book Antiqua" w:hAnsi="Book Antiqua" w:cs="Arial"/>
        </w:rPr>
        <w:t>In</w:t>
      </w:r>
      <w:r w:rsidR="008B3D6D">
        <w:rPr>
          <w:rFonts w:ascii="Book Antiqua" w:hAnsi="Book Antiqua" w:cs="Arial"/>
        </w:rPr>
        <w:t xml:space="preserve"> light of this</w:t>
      </w:r>
      <w:r w:rsidR="0083707D">
        <w:rPr>
          <w:rFonts w:ascii="Book Antiqua" w:hAnsi="Book Antiqua" w:cs="Arial"/>
        </w:rPr>
        <w:t xml:space="preserve"> evidence</w:t>
      </w:r>
      <w:r>
        <w:rPr>
          <w:rFonts w:ascii="Book Antiqua" w:hAnsi="Book Antiqua" w:cs="Arial"/>
        </w:rPr>
        <w:t xml:space="preserve">, the Tribunal was entitled to reach the findings it did that the appellant’s evidence in relation to bringing the CD to the UK was </w:t>
      </w:r>
      <w:r w:rsidR="0083707D">
        <w:rPr>
          <w:rFonts w:ascii="Book Antiqua" w:hAnsi="Book Antiqua" w:cs="Arial"/>
        </w:rPr>
        <w:t>‘extremely</w:t>
      </w:r>
      <w:r>
        <w:rPr>
          <w:rFonts w:ascii="Book Antiqua" w:hAnsi="Book Antiqua" w:cs="Arial"/>
        </w:rPr>
        <w:t xml:space="preserve"> </w:t>
      </w:r>
      <w:r w:rsidR="0083707D">
        <w:rPr>
          <w:rFonts w:ascii="Book Antiqua" w:hAnsi="Book Antiqua" w:cs="Arial"/>
        </w:rPr>
        <w:t>vague</w:t>
      </w:r>
      <w:r>
        <w:rPr>
          <w:rFonts w:ascii="Book Antiqua" w:hAnsi="Book Antiqua" w:cs="Arial"/>
        </w:rPr>
        <w:t>, non-specific and not credible</w:t>
      </w:r>
      <w:r w:rsidR="0083707D">
        <w:rPr>
          <w:rFonts w:ascii="Book Antiqua" w:hAnsi="Book Antiqua" w:cs="Arial"/>
        </w:rPr>
        <w:t>’.  T</w:t>
      </w:r>
      <w:r>
        <w:rPr>
          <w:rFonts w:ascii="Book Antiqua" w:hAnsi="Book Antiqua" w:cs="Arial"/>
        </w:rPr>
        <w:t>here was no substance in the submission that the appellant had given detailed reasons for her personal interest</w:t>
      </w:r>
      <w:r w:rsidR="008B3D6D">
        <w:rPr>
          <w:rFonts w:ascii="Book Antiqua" w:hAnsi="Book Antiqua" w:cs="Arial"/>
        </w:rPr>
        <w:t xml:space="preserve"> in Christianity</w:t>
      </w:r>
      <w:r>
        <w:rPr>
          <w:rFonts w:ascii="Book Antiqua" w:hAnsi="Book Antiqua" w:cs="Arial"/>
        </w:rPr>
        <w:t xml:space="preserve">.  </w:t>
      </w:r>
      <w:r w:rsidR="00E27CFF">
        <w:rPr>
          <w:rFonts w:ascii="Book Antiqua" w:hAnsi="Book Antiqua" w:cs="Arial"/>
        </w:rPr>
        <w:t xml:space="preserve">Equally, there was no error in the Tribunal’s approach, at [28] that </w:t>
      </w:r>
      <w:r w:rsidR="004D485C">
        <w:rPr>
          <w:rFonts w:ascii="Book Antiqua" w:hAnsi="Book Antiqua" w:cs="Arial"/>
        </w:rPr>
        <w:t xml:space="preserve">the appellant, having stated that her </w:t>
      </w:r>
      <w:r w:rsidR="00DE424C">
        <w:rPr>
          <w:rFonts w:ascii="Book Antiqua" w:hAnsi="Book Antiqua" w:cs="Arial"/>
        </w:rPr>
        <w:t>home</w:t>
      </w:r>
      <w:r w:rsidR="004D485C">
        <w:rPr>
          <w:rFonts w:ascii="Book Antiqua" w:hAnsi="Book Antiqua" w:cs="Arial"/>
        </w:rPr>
        <w:t xml:space="preserve"> computer did not play CDs, </w:t>
      </w:r>
      <w:r w:rsidR="0083707D">
        <w:rPr>
          <w:rFonts w:ascii="Book Antiqua" w:hAnsi="Book Antiqua" w:cs="Arial"/>
        </w:rPr>
        <w:t>had</w:t>
      </w:r>
      <w:r w:rsidR="00E27CFF">
        <w:rPr>
          <w:rFonts w:ascii="Book Antiqua" w:hAnsi="Book Antiqua" w:cs="Arial"/>
        </w:rPr>
        <w:t xml:space="preserve"> no reason</w:t>
      </w:r>
      <w:r w:rsidR="004D485C">
        <w:rPr>
          <w:rFonts w:ascii="Book Antiqua" w:hAnsi="Book Antiqua" w:cs="Arial"/>
        </w:rPr>
        <w:t xml:space="preserve"> to bring a CD back to Iran.  The fact that it was submitted that the appellant volunteered this evidence about her computer at home not playing a CD is irrelevant.  Equally, at [35] given that the appellant stated that her friends were arrested when she was in Shiraz, on 16 March, the judge was entitled to reach the finding that he did that there was no reason why the authorities would not have looked for her before she left on 23 March</w:t>
      </w:r>
      <w:r w:rsidR="0064376E">
        <w:rPr>
          <w:rFonts w:ascii="Book Antiqua" w:hAnsi="Book Antiqua" w:cs="Arial"/>
        </w:rPr>
        <w:t xml:space="preserve"> 2017, </w:t>
      </w:r>
      <w:r w:rsidR="00DE424C">
        <w:rPr>
          <w:rFonts w:ascii="Book Antiqua" w:hAnsi="Book Antiqua" w:cs="Arial"/>
        </w:rPr>
        <w:t>particularly</w:t>
      </w:r>
      <w:r w:rsidR="0064376E">
        <w:rPr>
          <w:rFonts w:ascii="Book Antiqua" w:hAnsi="Book Antiqua" w:cs="Arial"/>
        </w:rPr>
        <w:t xml:space="preserve"> given that the appellant states that she was called by her boss</w:t>
      </w:r>
      <w:r w:rsidR="00E23DEE">
        <w:rPr>
          <w:rFonts w:ascii="Book Antiqua" w:hAnsi="Book Antiqua" w:cs="Arial"/>
        </w:rPr>
        <w:t xml:space="preserve"> stating that she must return as her two </w:t>
      </w:r>
      <w:r w:rsidR="00DE424C">
        <w:rPr>
          <w:rFonts w:ascii="Book Antiqua" w:hAnsi="Book Antiqua" w:cs="Arial"/>
        </w:rPr>
        <w:t>colleagues</w:t>
      </w:r>
      <w:r w:rsidR="00E27CFF">
        <w:rPr>
          <w:rFonts w:ascii="Book Antiqua" w:hAnsi="Book Antiqua" w:cs="Arial"/>
        </w:rPr>
        <w:t xml:space="preserve"> had</w:t>
      </w:r>
      <w:r w:rsidR="00E23DEE">
        <w:rPr>
          <w:rFonts w:ascii="Book Antiqua" w:hAnsi="Book Antiqua" w:cs="Arial"/>
        </w:rPr>
        <w:t xml:space="preserve"> been arrested due to changing their religion</w:t>
      </w:r>
      <w:r w:rsidR="00E27CFF">
        <w:rPr>
          <w:rFonts w:ascii="Book Antiqua" w:hAnsi="Book Antiqua" w:cs="Arial"/>
        </w:rPr>
        <w:t xml:space="preserve"> and that the appellant’s room </w:t>
      </w:r>
      <w:r w:rsidR="00E94CA6">
        <w:rPr>
          <w:rFonts w:ascii="Book Antiqua" w:hAnsi="Book Antiqua" w:cs="Arial"/>
        </w:rPr>
        <w:t>was</w:t>
      </w:r>
      <w:r w:rsidR="00F113C2">
        <w:rPr>
          <w:rFonts w:ascii="Book Antiqua" w:hAnsi="Book Antiqua" w:cs="Arial"/>
        </w:rPr>
        <w:t xml:space="preserve"> subsequently</w:t>
      </w:r>
      <w:r w:rsidR="00E27CFF">
        <w:rPr>
          <w:rFonts w:ascii="Book Antiqua" w:hAnsi="Book Antiqua" w:cs="Arial"/>
        </w:rPr>
        <w:t xml:space="preserve"> searched and the CD seized together with her tablet, her laptop and a booklet</w:t>
      </w:r>
      <w:r w:rsidR="00923A48">
        <w:rPr>
          <w:rFonts w:ascii="Book Antiqua" w:hAnsi="Book Antiqua" w:cs="Arial"/>
        </w:rPr>
        <w:t xml:space="preserve">.  </w:t>
      </w:r>
    </w:p>
    <w:p w:rsidR="00C51189" w:rsidRDefault="00E94CA6" w:rsidP="000239E1">
      <w:pPr>
        <w:numPr>
          <w:ilvl w:val="0"/>
          <w:numId w:val="3"/>
        </w:numPr>
        <w:tabs>
          <w:tab w:val="clear" w:pos="567"/>
        </w:tabs>
        <w:spacing w:before="240"/>
        <w:jc w:val="both"/>
        <w:rPr>
          <w:rFonts w:ascii="Book Antiqua" w:hAnsi="Book Antiqua" w:cs="Arial"/>
        </w:rPr>
      </w:pPr>
      <w:r>
        <w:rPr>
          <w:rFonts w:ascii="Book Antiqua" w:hAnsi="Book Antiqua" w:cs="Arial"/>
        </w:rPr>
        <w:t>In addition, although the grounds for permission contended that the appellant had offered ‘detailed explanations’ of the appellant’s movements between 16 March and 23 March 2017 which were repeated in her witness statement, Mr Behbahani was unable to take me to these</w:t>
      </w:r>
      <w:r w:rsidR="00231F34">
        <w:rPr>
          <w:rFonts w:ascii="Book Antiqua" w:hAnsi="Book Antiqua" w:cs="Arial"/>
        </w:rPr>
        <w:t xml:space="preserve"> detailed</w:t>
      </w:r>
      <w:r>
        <w:rPr>
          <w:rFonts w:ascii="Book Antiqua" w:hAnsi="Book Antiqua" w:cs="Arial"/>
        </w:rPr>
        <w:t xml:space="preserve"> explanations.  Although he referred me to questions 89 to 110 of the asylum interview (and I accept that the appellant had subsequent to the asylum interview amended the date that she became aware her husband was arrested from 7 March to 27 March 2017) and to the screening interview at</w:t>
      </w:r>
      <w:r w:rsidR="008B3D6D">
        <w:rPr>
          <w:rFonts w:ascii="Book Antiqua" w:hAnsi="Book Antiqua" w:cs="Arial"/>
        </w:rPr>
        <w:t xml:space="preserve"> 3.1 to</w:t>
      </w:r>
      <w:r>
        <w:rPr>
          <w:rFonts w:ascii="Book Antiqua" w:hAnsi="Book Antiqua" w:cs="Arial"/>
        </w:rPr>
        <w:t xml:space="preserve"> 3.3, this was where the appellant explained that she di</w:t>
      </w:r>
      <w:r w:rsidR="0098114F">
        <w:rPr>
          <w:rFonts w:ascii="Book Antiqua" w:hAnsi="Book Antiqua" w:cs="Arial"/>
        </w:rPr>
        <w:t>d not intend to claim asylum (having stated at 3.1</w:t>
      </w:r>
      <w:r>
        <w:rPr>
          <w:rFonts w:ascii="Book Antiqua" w:hAnsi="Book Antiqua" w:cs="Arial"/>
        </w:rPr>
        <w:t xml:space="preserve"> that she </w:t>
      </w:r>
      <w:r w:rsidR="0098114F">
        <w:rPr>
          <w:rFonts w:ascii="Book Antiqua" w:hAnsi="Book Antiqua" w:cs="Arial"/>
        </w:rPr>
        <w:t xml:space="preserve">left because of her problems but </w:t>
      </w:r>
      <w:r>
        <w:rPr>
          <w:rFonts w:ascii="Book Antiqua" w:hAnsi="Book Antiqua" w:cs="Arial"/>
        </w:rPr>
        <w:t>was just coming to the UK</w:t>
      </w:r>
      <w:r w:rsidR="0098114F">
        <w:rPr>
          <w:rFonts w:ascii="Book Antiqua" w:hAnsi="Book Antiqua" w:cs="Arial"/>
        </w:rPr>
        <w:t xml:space="preserve"> as her husband suggested she should go for a short break to see what happened as she already had a visa).  Although the appellant, at question 72 of the asylum interview had stated that she we</w:t>
      </w:r>
      <w:r w:rsidR="00F726C6">
        <w:rPr>
          <w:rFonts w:ascii="Book Antiqua" w:hAnsi="Book Antiqua" w:cs="Arial"/>
        </w:rPr>
        <w:t>nt to S</w:t>
      </w:r>
      <w:r w:rsidR="0098114F">
        <w:rPr>
          <w:rFonts w:ascii="Book Antiqua" w:hAnsi="Book Antiqua" w:cs="Arial"/>
        </w:rPr>
        <w:t>hiraz on 11 March 2017 as she had 10 days holiday there was nothing in the evidence before the First-tier Tribunal that might contradict the finding, at [35]</w:t>
      </w:r>
      <w:r w:rsidR="008B3D6D">
        <w:rPr>
          <w:rFonts w:ascii="Book Antiqua" w:hAnsi="Book Antiqua" w:cs="Arial"/>
        </w:rPr>
        <w:t>, that she failed</w:t>
      </w:r>
      <w:r w:rsidR="0098114F">
        <w:rPr>
          <w:rFonts w:ascii="Book Antiqua" w:hAnsi="Book Antiqua" w:cs="Arial"/>
        </w:rPr>
        <w:t xml:space="preserve"> to explain her movements between 16 and 23 March.  The Tribunal also made findings, which have not been substantively challenged, that</w:t>
      </w:r>
      <w:r w:rsidR="00F726C6">
        <w:rPr>
          <w:rFonts w:ascii="Book Antiqua" w:hAnsi="Book Antiqua" w:cs="Arial"/>
        </w:rPr>
        <w:t xml:space="preserve"> it was not accepted that the claimed adverse events would have coincidentally occurred approximately 14 days before the expiry of the appellant’s UK visa and noted that the appellant made her asylum claim just before her visa expired.  Although Mr Behbahani submitted that the appointment for the screening interview had been made before 4 April 2017, that does not negate the adequacy of the judge’s findings in relation to the appellant’s actions in entering the UK and claiming asylum in and around the expiry of her visa.</w:t>
      </w:r>
    </w:p>
    <w:p w:rsidR="00007533" w:rsidRDefault="00923A48"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Tribunal also gave adequate reasons for </w:t>
      </w:r>
      <w:r w:rsidR="00E27CFF">
        <w:rPr>
          <w:rFonts w:ascii="Book Antiqua" w:hAnsi="Book Antiqua" w:cs="Arial"/>
        </w:rPr>
        <w:t>finding</w:t>
      </w:r>
      <w:r>
        <w:rPr>
          <w:rFonts w:ascii="Book Antiqua" w:hAnsi="Book Antiqua" w:cs="Arial"/>
        </w:rPr>
        <w:t xml:space="preserve"> that the appell</w:t>
      </w:r>
      <w:r w:rsidR="00E27CFF">
        <w:rPr>
          <w:rFonts w:ascii="Book Antiqua" w:hAnsi="Book Antiqua" w:cs="Arial"/>
        </w:rPr>
        <w:t>ant’s evidence as to the CD content was</w:t>
      </w:r>
      <w:r>
        <w:rPr>
          <w:rFonts w:ascii="Book Antiqua" w:hAnsi="Book Antiqua" w:cs="Arial"/>
        </w:rPr>
        <w:t xml:space="preserve"> vague, tenuous and lacking in detail (</w:t>
      </w:r>
      <w:r w:rsidR="0098114F">
        <w:rPr>
          <w:rFonts w:ascii="Book Antiqua" w:hAnsi="Book Antiqua" w:cs="Arial"/>
        </w:rPr>
        <w:t xml:space="preserve">paragraph </w:t>
      </w:r>
      <w:r>
        <w:rPr>
          <w:rFonts w:ascii="Book Antiqua" w:hAnsi="Book Antiqua" w:cs="Arial"/>
        </w:rPr>
        <w:t xml:space="preserve">[29]).  The judge found that the appellant was unable </w:t>
      </w:r>
      <w:r w:rsidR="00DE424C">
        <w:rPr>
          <w:rFonts w:ascii="Book Antiqua" w:hAnsi="Book Antiqua" w:cs="Arial"/>
        </w:rPr>
        <w:t>to</w:t>
      </w:r>
      <w:r>
        <w:rPr>
          <w:rFonts w:ascii="Book Antiqua" w:hAnsi="Book Antiqua" w:cs="Arial"/>
        </w:rPr>
        <w:t xml:space="preserve"> give any credible detail about the CD at all, and equally there was no error in the judge’s finding that it was not credible for the appellant only to watch the CD for five minutes at a time and that she had only seen </w:t>
      </w:r>
      <w:r>
        <w:rPr>
          <w:rFonts w:ascii="Book Antiqua" w:hAnsi="Book Antiqua" w:cs="Arial"/>
        </w:rPr>
        <w:lastRenderedPageBreak/>
        <w:t>part of it despite having it for approximately nine months between</w:t>
      </w:r>
      <w:r w:rsidR="00E27CFF">
        <w:rPr>
          <w:rFonts w:ascii="Book Antiqua" w:hAnsi="Book Antiqua" w:cs="Arial"/>
        </w:rPr>
        <w:t xml:space="preserve"> May 2016 and March 2017.  The judge was entitled to find as he did that this was</w:t>
      </w:r>
      <w:r>
        <w:rPr>
          <w:rFonts w:ascii="Book Antiqua" w:hAnsi="Book Antiqua" w:cs="Arial"/>
        </w:rPr>
        <w:t xml:space="preserve"> another attempt to deflect questions about the CD’s content.  The judge also found that the appellant’s evidence had been inconsistent in relation to her laptop at work </w:t>
      </w:r>
      <w:r w:rsidR="00E27CFF">
        <w:rPr>
          <w:rFonts w:ascii="Book Antiqua" w:hAnsi="Book Antiqua" w:cs="Arial"/>
        </w:rPr>
        <w:t>and this was evidence that she had</w:t>
      </w:r>
      <w:r>
        <w:rPr>
          <w:rFonts w:ascii="Book Antiqua" w:hAnsi="Book Antiqua" w:cs="Arial"/>
        </w:rPr>
        <w:t xml:space="preserve"> given to explain away inconsistencies about not being allowed to take a laptop home, even though she had said it was her laptop.  </w:t>
      </w:r>
      <w:r w:rsidR="00BB2A51">
        <w:rPr>
          <w:rFonts w:ascii="Book Antiqua" w:hAnsi="Book Antiqua" w:cs="Arial"/>
        </w:rPr>
        <w:t xml:space="preserve">There was no error in the approach of the Tribunal.  All the evidence was considered in the round and any mistakes made were peripheral to the judge’s key findings which were that the appellant’s case was inconsistent and lacking in </w:t>
      </w:r>
      <w:r w:rsidR="00007533">
        <w:rPr>
          <w:rFonts w:ascii="Book Antiqua" w:hAnsi="Book Antiqua" w:cs="Arial"/>
        </w:rPr>
        <w:t xml:space="preserve">credibility and that it was not accepted that she had </w:t>
      </w:r>
      <w:r w:rsidR="00DE424C">
        <w:rPr>
          <w:rFonts w:ascii="Book Antiqua" w:hAnsi="Book Antiqua" w:cs="Arial"/>
        </w:rPr>
        <w:t>brought</w:t>
      </w:r>
      <w:r w:rsidR="00007533">
        <w:rPr>
          <w:rFonts w:ascii="Book Antiqua" w:hAnsi="Book Antiqua" w:cs="Arial"/>
        </w:rPr>
        <w:t xml:space="preserve"> home the CD as claimed</w:t>
      </w:r>
      <w:r w:rsidR="0041476A">
        <w:rPr>
          <w:rFonts w:ascii="Book Antiqua" w:hAnsi="Book Antiqua" w:cs="Arial"/>
        </w:rPr>
        <w:t xml:space="preserve"> or that she would be guilty by association because of claimed difficulties experienced by work colleagues</w:t>
      </w:r>
      <w:r w:rsidR="00007533">
        <w:rPr>
          <w:rFonts w:ascii="Book Antiqua" w:hAnsi="Book Antiqua" w:cs="Arial"/>
        </w:rPr>
        <w:t xml:space="preserve">.  </w:t>
      </w:r>
    </w:p>
    <w:p w:rsidR="0089208F" w:rsidRDefault="0089208F"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The judge was entitled to attach very little weight to the hearsay evidence that the appellant was told about the arrests by her director.  </w:t>
      </w:r>
      <w:r w:rsidR="00402583">
        <w:rPr>
          <w:rFonts w:ascii="Book Antiqua" w:hAnsi="Book Antiqua" w:cs="Arial"/>
        </w:rPr>
        <w:t xml:space="preserve">Although hearsay is admissible, </w:t>
      </w:r>
      <w:r w:rsidR="009E419C">
        <w:rPr>
          <w:rFonts w:ascii="Book Antiqua" w:hAnsi="Book Antiqua" w:cs="Arial"/>
        </w:rPr>
        <w:t xml:space="preserve">it is well established that </w:t>
      </w:r>
      <w:r w:rsidR="00402583">
        <w:rPr>
          <w:rFonts w:ascii="Book Antiqua" w:hAnsi="Book Antiqua" w:cs="Arial"/>
        </w:rPr>
        <w:t>the weight to be attached</w:t>
      </w:r>
      <w:r w:rsidR="009E419C">
        <w:rPr>
          <w:rFonts w:ascii="Book Antiqua" w:hAnsi="Book Antiqua" w:cs="Arial"/>
        </w:rPr>
        <w:t xml:space="preserve"> to any particular factor</w:t>
      </w:r>
      <w:r w:rsidR="00402583">
        <w:rPr>
          <w:rFonts w:ascii="Book Antiqua" w:hAnsi="Book Antiqua" w:cs="Arial"/>
        </w:rPr>
        <w:t xml:space="preserve"> is a matter for the judge</w:t>
      </w:r>
      <w:r w:rsidR="009E419C">
        <w:rPr>
          <w:rFonts w:ascii="Book Antiqua" w:hAnsi="Book Antiqua" w:cs="Arial"/>
        </w:rPr>
        <w:t xml:space="preserve"> (see for example </w:t>
      </w:r>
      <w:r w:rsidR="001F6640">
        <w:rPr>
          <w:rFonts w:ascii="Book Antiqua" w:hAnsi="Book Antiqua" w:cs="Arial"/>
          <w:b/>
          <w:u w:val="single"/>
        </w:rPr>
        <w:t>JT Cameroon</w:t>
      </w:r>
      <w:r w:rsidR="001F6640">
        <w:rPr>
          <w:rFonts w:ascii="Book Antiqua" w:hAnsi="Book Antiqua" w:cs="Arial"/>
          <w:b/>
        </w:rPr>
        <w:t xml:space="preserve"> [2008</w:t>
      </w:r>
      <w:r w:rsidR="009E419C" w:rsidRPr="009E419C">
        <w:rPr>
          <w:rFonts w:ascii="Book Antiqua" w:hAnsi="Book Antiqua" w:cs="Arial"/>
          <w:b/>
        </w:rPr>
        <w:t xml:space="preserve">] </w:t>
      </w:r>
      <w:r w:rsidR="001F6640">
        <w:rPr>
          <w:rFonts w:ascii="Book Antiqua" w:hAnsi="Book Antiqua" w:cs="Arial"/>
          <w:b/>
        </w:rPr>
        <w:t xml:space="preserve">EWCA </w:t>
      </w:r>
      <w:proofErr w:type="spellStart"/>
      <w:r w:rsidR="001F6640">
        <w:rPr>
          <w:rFonts w:ascii="Book Antiqua" w:hAnsi="Book Antiqua" w:cs="Arial"/>
          <w:b/>
        </w:rPr>
        <w:t>Civ</w:t>
      </w:r>
      <w:proofErr w:type="spellEnd"/>
      <w:r w:rsidR="001F6640">
        <w:rPr>
          <w:rFonts w:ascii="Book Antiqua" w:hAnsi="Book Antiqua" w:cs="Arial"/>
          <w:b/>
        </w:rPr>
        <w:t xml:space="preserve"> 878</w:t>
      </w:r>
      <w:r w:rsidR="009E419C">
        <w:rPr>
          <w:rFonts w:ascii="Book Antiqua" w:hAnsi="Book Antiqua" w:cs="Arial"/>
          <w:b/>
        </w:rPr>
        <w:t>)</w:t>
      </w:r>
      <w:r w:rsidR="00402583">
        <w:rPr>
          <w:rFonts w:ascii="Book Antiqua" w:hAnsi="Book Antiqua" w:cs="Arial"/>
        </w:rPr>
        <w:t>.</w:t>
      </w:r>
      <w:r w:rsidR="00093F09">
        <w:rPr>
          <w:rFonts w:ascii="Book Antiqua" w:hAnsi="Book Antiqua" w:cs="Arial"/>
        </w:rPr>
        <w:t xml:space="preserve">  Neither could it be properly said that the judge’s approach was</w:t>
      </w:r>
      <w:r w:rsidR="00402583">
        <w:rPr>
          <w:rFonts w:ascii="Book Antiqua" w:hAnsi="Book Antiqua" w:cs="Arial"/>
        </w:rPr>
        <w:t xml:space="preserve"> </w:t>
      </w:r>
      <w:r w:rsidR="00093F09">
        <w:rPr>
          <w:rFonts w:ascii="Book Antiqua" w:hAnsi="Book Antiqua" w:cs="Arial"/>
        </w:rPr>
        <w:t>irrational.</w:t>
      </w:r>
      <w:r w:rsidR="00402583">
        <w:rPr>
          <w:rFonts w:ascii="Book Antiqua" w:hAnsi="Book Antiqua" w:cs="Arial"/>
        </w:rPr>
        <w:t xml:space="preserve"> </w:t>
      </w:r>
      <w:r>
        <w:rPr>
          <w:rFonts w:ascii="Book Antiqua" w:hAnsi="Book Antiqua" w:cs="Arial"/>
        </w:rPr>
        <w:t xml:space="preserve">The Tribunal did not make this finding in isolation, </w:t>
      </w:r>
      <w:r w:rsidR="0041476A">
        <w:rPr>
          <w:rFonts w:ascii="Book Antiqua" w:hAnsi="Book Antiqua" w:cs="Arial"/>
        </w:rPr>
        <w:t xml:space="preserve">but considered in the round </w:t>
      </w:r>
      <w:r>
        <w:rPr>
          <w:rFonts w:ascii="Book Antiqua" w:hAnsi="Book Antiqua" w:cs="Arial"/>
        </w:rPr>
        <w:t>found this evidence to be unreliable</w:t>
      </w:r>
      <w:r w:rsidR="0098114F">
        <w:rPr>
          <w:rFonts w:ascii="Book Antiqua" w:hAnsi="Book Antiqua" w:cs="Arial"/>
        </w:rPr>
        <w:t>.</w:t>
      </w:r>
      <w:r w:rsidR="00F113C2">
        <w:rPr>
          <w:rFonts w:ascii="Book Antiqua" w:hAnsi="Book Antiqua" w:cs="Arial"/>
        </w:rPr>
        <w:t xml:space="preserve">  Equally, although the grounds argued that the judge ought to have raised the issue of the claimed lack of detail in relation to circumstances where the appellant claimed she was approached by an evangelical Christian in Turkey, the appellant, who was legally represented, was aware that the respondent did not accept her claim as credible, including due to the general vagueness of her evidence.  It was for the appellant to demonstrate to the lower standard that her claim was true.</w:t>
      </w:r>
    </w:p>
    <w:p w:rsidR="0089208F" w:rsidRDefault="0089208F" w:rsidP="000239E1">
      <w:pPr>
        <w:numPr>
          <w:ilvl w:val="0"/>
          <w:numId w:val="3"/>
        </w:numPr>
        <w:tabs>
          <w:tab w:val="clear" w:pos="567"/>
        </w:tabs>
        <w:spacing w:before="240"/>
        <w:jc w:val="both"/>
        <w:rPr>
          <w:rFonts w:ascii="Book Antiqua" w:hAnsi="Book Antiqua" w:cs="Arial"/>
        </w:rPr>
      </w:pPr>
      <w:r>
        <w:rPr>
          <w:rFonts w:ascii="Book Antiqua" w:hAnsi="Book Antiqua" w:cs="Arial"/>
        </w:rPr>
        <w:t>There was</w:t>
      </w:r>
      <w:r w:rsidR="00007533">
        <w:rPr>
          <w:rFonts w:ascii="Book Antiqua" w:hAnsi="Book Antiqua" w:cs="Arial"/>
        </w:rPr>
        <w:t xml:space="preserve"> no error in the Tribunal’s approach in making </w:t>
      </w:r>
      <w:r>
        <w:rPr>
          <w:rFonts w:ascii="Book Antiqua" w:hAnsi="Book Antiqua" w:cs="Arial"/>
        </w:rPr>
        <w:t>an adverse inference due to</w:t>
      </w:r>
      <w:r w:rsidR="00007533">
        <w:rPr>
          <w:rFonts w:ascii="Book Antiqua" w:hAnsi="Book Antiqua" w:cs="Arial"/>
        </w:rPr>
        <w:t xml:space="preserve"> the appellant’s complete failure to provide any further information or evidence in relation to the schools in the UK which she claimed she entered on a previous visit on 12 November 2016 to apply for admission</w:t>
      </w:r>
      <w:r>
        <w:rPr>
          <w:rFonts w:ascii="Book Antiqua" w:hAnsi="Book Antiqua" w:cs="Arial"/>
        </w:rPr>
        <w:t xml:space="preserve"> for her children</w:t>
      </w:r>
      <w:r w:rsidR="00007533">
        <w:rPr>
          <w:rFonts w:ascii="Book Antiqua" w:hAnsi="Book Antiqua" w:cs="Arial"/>
        </w:rPr>
        <w:t>.  The fact that Mr Behbahani submits that</w:t>
      </w:r>
      <w:r>
        <w:rPr>
          <w:rFonts w:ascii="Book Antiqua" w:hAnsi="Book Antiqua" w:cs="Arial"/>
        </w:rPr>
        <w:t xml:space="preserve"> this related to a previous trip and that</w:t>
      </w:r>
      <w:r w:rsidR="00007533">
        <w:rPr>
          <w:rFonts w:ascii="Book Antiqua" w:hAnsi="Book Antiqua" w:cs="Arial"/>
        </w:rPr>
        <w:t xml:space="preserve"> th</w:t>
      </w:r>
      <w:r>
        <w:rPr>
          <w:rFonts w:ascii="Book Antiqua" w:hAnsi="Book Antiqua" w:cs="Arial"/>
        </w:rPr>
        <w:t>e appellant gave reasons why she and her husband</w:t>
      </w:r>
      <w:r w:rsidR="00007533">
        <w:rPr>
          <w:rFonts w:ascii="Book Antiqua" w:hAnsi="Book Antiqua" w:cs="Arial"/>
        </w:rPr>
        <w:t xml:space="preserve"> decided these schools were not suitable does not adequately address that the appellant ought to have had evidence from these schools, for example, school </w:t>
      </w:r>
      <w:r w:rsidR="00DE424C">
        <w:rPr>
          <w:rFonts w:ascii="Book Antiqua" w:hAnsi="Book Antiqua" w:cs="Arial"/>
        </w:rPr>
        <w:t>literature</w:t>
      </w:r>
      <w:r w:rsidR="00007533">
        <w:rPr>
          <w:rFonts w:ascii="Book Antiqua" w:hAnsi="Book Antiqua" w:cs="Arial"/>
        </w:rPr>
        <w:t xml:space="preserve">, an invitation letter or an application form, and that her evidence on this point was vague.  </w:t>
      </w:r>
      <w:r>
        <w:rPr>
          <w:rFonts w:ascii="Book Antiqua" w:hAnsi="Book Antiqua" w:cs="Arial"/>
        </w:rPr>
        <w:t>The entire reason for the appellant both being in Turkey</w:t>
      </w:r>
      <w:r w:rsidR="0041476A">
        <w:rPr>
          <w:rFonts w:ascii="Book Antiqua" w:hAnsi="Book Antiqua" w:cs="Arial"/>
        </w:rPr>
        <w:t>,</w:t>
      </w:r>
      <w:r>
        <w:rPr>
          <w:rFonts w:ascii="Book Antiqua" w:hAnsi="Book Antiqua" w:cs="Arial"/>
        </w:rPr>
        <w:t xml:space="preserve"> where the basis of her claim began</w:t>
      </w:r>
      <w:r w:rsidR="0041476A">
        <w:rPr>
          <w:rFonts w:ascii="Book Antiqua" w:hAnsi="Book Antiqua" w:cs="Arial"/>
        </w:rPr>
        <w:t>,</w:t>
      </w:r>
      <w:r>
        <w:rPr>
          <w:rFonts w:ascii="Book Antiqua" w:hAnsi="Book Antiqua" w:cs="Arial"/>
        </w:rPr>
        <w:t xml:space="preserve"> and for the appellant having a visa to enter the UK</w:t>
      </w:r>
      <w:r w:rsidR="00F113C2">
        <w:rPr>
          <w:rFonts w:ascii="Book Antiqua" w:hAnsi="Book Antiqua" w:cs="Arial"/>
        </w:rPr>
        <w:t>,</w:t>
      </w:r>
      <w:r>
        <w:rPr>
          <w:rFonts w:ascii="Book Antiqua" w:hAnsi="Book Antiqua" w:cs="Arial"/>
        </w:rPr>
        <w:t xml:space="preserve"> was predicated on the family considering sending her children to public school in England, specifically Harrogate school</w:t>
      </w:r>
      <w:r w:rsidR="000C0019">
        <w:rPr>
          <w:rFonts w:ascii="Book Antiqua" w:hAnsi="Book Antiqua" w:cs="Arial"/>
        </w:rPr>
        <w:t xml:space="preserve"> (which she accepted was a very expensive public school)</w:t>
      </w:r>
      <w:r>
        <w:rPr>
          <w:rFonts w:ascii="Book Antiqua" w:hAnsi="Book Antiqua" w:cs="Arial"/>
        </w:rPr>
        <w:t>.  The Tribunal was entitled to treat the complete absence of any information to support these claims, where such ought to be available</w:t>
      </w:r>
      <w:r w:rsidR="00F113C2">
        <w:rPr>
          <w:rFonts w:ascii="Book Antiqua" w:hAnsi="Book Antiqua" w:cs="Arial"/>
        </w:rPr>
        <w:t>,</w:t>
      </w:r>
      <w:r>
        <w:rPr>
          <w:rFonts w:ascii="Book Antiqua" w:hAnsi="Book Antiqua" w:cs="Arial"/>
        </w:rPr>
        <w:t xml:space="preserve"> as significant and damaging. </w:t>
      </w:r>
    </w:p>
    <w:p w:rsidR="00B40D97" w:rsidRPr="0089208F" w:rsidRDefault="00007533" w:rsidP="0089208F">
      <w:pPr>
        <w:numPr>
          <w:ilvl w:val="0"/>
          <w:numId w:val="3"/>
        </w:numPr>
        <w:tabs>
          <w:tab w:val="clear" w:pos="567"/>
        </w:tabs>
        <w:spacing w:before="240"/>
        <w:jc w:val="both"/>
        <w:rPr>
          <w:rFonts w:ascii="Book Antiqua" w:hAnsi="Book Antiqua" w:cs="Arial"/>
        </w:rPr>
      </w:pPr>
      <w:r>
        <w:rPr>
          <w:rFonts w:ascii="Book Antiqua" w:hAnsi="Book Antiqua" w:cs="Arial"/>
        </w:rPr>
        <w:t xml:space="preserve">Equally, the judge was entitled to find at [36] that the appellant ought to have been able to provide evidence in relation to the children attending school in Chiswick. </w:t>
      </w:r>
      <w:r w:rsidR="0089208F">
        <w:rPr>
          <w:rFonts w:ascii="Book Antiqua" w:hAnsi="Book Antiqua" w:cs="Arial"/>
        </w:rPr>
        <w:t xml:space="preserve"> </w:t>
      </w:r>
      <w:r w:rsidRPr="0089208F">
        <w:rPr>
          <w:rFonts w:ascii="Book Antiqua" w:hAnsi="Book Antiqua" w:cs="Arial"/>
        </w:rPr>
        <w:t>The fact that</w:t>
      </w:r>
      <w:r w:rsidR="0089208F" w:rsidRPr="0089208F">
        <w:rPr>
          <w:rFonts w:ascii="Book Antiqua" w:hAnsi="Book Antiqua" w:cs="Arial"/>
        </w:rPr>
        <w:t xml:space="preserve">, as submitted on behalf of the appellant, </w:t>
      </w:r>
      <w:r w:rsidRPr="0089208F">
        <w:rPr>
          <w:rFonts w:ascii="Book Antiqua" w:hAnsi="Book Antiqua" w:cs="Arial"/>
        </w:rPr>
        <w:t xml:space="preserve">children of asylum seekers are entitled to attend school is again irrelevant and the judge was entitled to find that this was potentially relevant to the appellant’s motives for coming to the UK with her children and to draw adverse inference from her failure to provide this evidence when considered in the round.  </w:t>
      </w:r>
      <w:r w:rsidR="008C081C">
        <w:rPr>
          <w:rFonts w:ascii="Book Antiqua" w:hAnsi="Book Antiqua" w:cs="Arial"/>
        </w:rPr>
        <w:t>A</w:t>
      </w:r>
      <w:r w:rsidR="000C0019">
        <w:rPr>
          <w:rFonts w:ascii="Book Antiqua" w:hAnsi="Book Antiqua" w:cs="Arial"/>
        </w:rPr>
        <w:t xml:space="preserve">lthough </w:t>
      </w:r>
      <w:r w:rsidRPr="0089208F">
        <w:rPr>
          <w:rFonts w:ascii="Book Antiqua" w:hAnsi="Book Antiqua" w:cs="Arial"/>
        </w:rPr>
        <w:t xml:space="preserve">Ms Everett </w:t>
      </w:r>
      <w:r w:rsidR="000C0019">
        <w:rPr>
          <w:rFonts w:ascii="Book Antiqua" w:hAnsi="Book Antiqua" w:cs="Arial"/>
        </w:rPr>
        <w:t>accepted that</w:t>
      </w:r>
      <w:r w:rsidRPr="0089208F">
        <w:rPr>
          <w:rFonts w:ascii="Book Antiqua" w:hAnsi="Book Antiqua" w:cs="Arial"/>
        </w:rPr>
        <w:t xml:space="preserve"> there may be difficulties </w:t>
      </w:r>
      <w:r w:rsidRPr="0089208F">
        <w:rPr>
          <w:rFonts w:ascii="Book Antiqua" w:hAnsi="Book Antiqua" w:cs="Arial"/>
        </w:rPr>
        <w:lastRenderedPageBreak/>
        <w:t>in providing documentary evidence that the appellant’s husband lost his job, the Tribunal reached well-</w:t>
      </w:r>
      <w:r w:rsidR="00DE424C" w:rsidRPr="0089208F">
        <w:rPr>
          <w:rFonts w:ascii="Book Antiqua" w:hAnsi="Book Antiqua" w:cs="Arial"/>
        </w:rPr>
        <w:t>reasoned</w:t>
      </w:r>
      <w:r w:rsidRPr="0089208F">
        <w:rPr>
          <w:rFonts w:ascii="Book Antiqua" w:hAnsi="Book Antiqua" w:cs="Arial"/>
        </w:rPr>
        <w:t xml:space="preserve"> findings including at [33] and [34] as to the lack of adequate evidence from her husband</w:t>
      </w:r>
      <w:r w:rsidR="000C0019">
        <w:rPr>
          <w:rFonts w:ascii="Book Antiqua" w:hAnsi="Book Antiqua" w:cs="Arial"/>
        </w:rPr>
        <w:t xml:space="preserve"> generally</w:t>
      </w:r>
      <w:r w:rsidRPr="0089208F">
        <w:rPr>
          <w:rFonts w:ascii="Book Antiqua" w:hAnsi="Book Antiqua" w:cs="Arial"/>
        </w:rPr>
        <w:t xml:space="preserve">.  Even if they did not want to talk about these issues there was no adequate explanation for the lack of any </w:t>
      </w:r>
      <w:r w:rsidR="00DE424C" w:rsidRPr="0089208F">
        <w:rPr>
          <w:rFonts w:ascii="Book Antiqua" w:hAnsi="Book Antiqua" w:cs="Arial"/>
        </w:rPr>
        <w:t>communication</w:t>
      </w:r>
      <w:r w:rsidRPr="0089208F">
        <w:rPr>
          <w:rFonts w:ascii="Book Antiqua" w:hAnsi="Book Antiqua" w:cs="Arial"/>
        </w:rPr>
        <w:t xml:space="preserve"> </w:t>
      </w:r>
      <w:r w:rsidR="00DE424C" w:rsidRPr="0089208F">
        <w:rPr>
          <w:rFonts w:ascii="Book Antiqua" w:hAnsi="Book Antiqua" w:cs="Arial"/>
        </w:rPr>
        <w:t>particularly</w:t>
      </w:r>
      <w:r w:rsidR="008C081C">
        <w:rPr>
          <w:rFonts w:ascii="Book Antiqua" w:hAnsi="Book Antiqua" w:cs="Arial"/>
        </w:rPr>
        <w:t xml:space="preserve"> given the</w:t>
      </w:r>
      <w:r w:rsidRPr="0089208F">
        <w:rPr>
          <w:rFonts w:ascii="Book Antiqua" w:hAnsi="Book Antiqua" w:cs="Arial"/>
        </w:rPr>
        <w:t xml:space="preserve"> small children of the relationship and when considered in the round the lack of any evidence of either of the</w:t>
      </w:r>
      <w:r w:rsidR="000C0019">
        <w:rPr>
          <w:rFonts w:ascii="Book Antiqua" w:hAnsi="Book Antiqua" w:cs="Arial"/>
        </w:rPr>
        <w:t>ir</w:t>
      </w:r>
      <w:r w:rsidRPr="0089208F">
        <w:rPr>
          <w:rFonts w:ascii="Book Antiqua" w:hAnsi="Book Antiqua" w:cs="Arial"/>
        </w:rPr>
        <w:t xml:space="preserve"> daughter’s expulsion from university or indeed</w:t>
      </w:r>
      <w:r w:rsidR="008C081C">
        <w:rPr>
          <w:rFonts w:ascii="Book Antiqua" w:hAnsi="Book Antiqua" w:cs="Arial"/>
        </w:rPr>
        <w:t xml:space="preserve"> her husband losing his job, it was not credible.  T</w:t>
      </w:r>
      <w:r w:rsidRPr="0089208F">
        <w:rPr>
          <w:rFonts w:ascii="Book Antiqua" w:hAnsi="Book Antiqua" w:cs="Arial"/>
        </w:rPr>
        <w:t xml:space="preserve">hat was a finding properly open to the Tribunal.  </w:t>
      </w:r>
    </w:p>
    <w:p w:rsidR="009E581A" w:rsidRDefault="00F5593E" w:rsidP="000239E1">
      <w:pPr>
        <w:numPr>
          <w:ilvl w:val="0"/>
          <w:numId w:val="3"/>
        </w:numPr>
        <w:tabs>
          <w:tab w:val="clear" w:pos="567"/>
        </w:tabs>
        <w:spacing w:before="240"/>
        <w:jc w:val="both"/>
        <w:rPr>
          <w:rFonts w:ascii="Book Antiqua" w:hAnsi="Book Antiqua" w:cs="Arial"/>
        </w:rPr>
      </w:pPr>
      <w:r>
        <w:rPr>
          <w:rFonts w:ascii="Book Antiqua" w:hAnsi="Book Antiqua" w:cs="Arial"/>
        </w:rPr>
        <w:t>Looked at in its entirety</w:t>
      </w:r>
      <w:r w:rsidR="000C0019">
        <w:rPr>
          <w:rFonts w:ascii="Book Antiqua" w:hAnsi="Book Antiqua" w:cs="Arial"/>
        </w:rPr>
        <w:t>,</w:t>
      </w:r>
      <w:r>
        <w:rPr>
          <w:rFonts w:ascii="Book Antiqua" w:hAnsi="Book Antiqua" w:cs="Arial"/>
        </w:rPr>
        <w:t xml:space="preserve"> the judge did apply anxious scrutiny to the case and her decision is not vitiated by </w:t>
      </w:r>
      <w:r w:rsidR="00C67BB7">
        <w:rPr>
          <w:rFonts w:ascii="Book Antiqua" w:hAnsi="Book Antiqua" w:cs="Arial"/>
        </w:rPr>
        <w:t>any</w:t>
      </w:r>
      <w:r w:rsidR="000C0019">
        <w:rPr>
          <w:rFonts w:ascii="Book Antiqua" w:hAnsi="Book Antiqua" w:cs="Arial"/>
        </w:rPr>
        <w:t xml:space="preserve"> limited</w:t>
      </w:r>
      <w:r>
        <w:rPr>
          <w:rFonts w:ascii="Book Antiqua" w:hAnsi="Book Antiqua" w:cs="Arial"/>
        </w:rPr>
        <w:t xml:space="preserve"> errors of fact</w:t>
      </w:r>
      <w:r w:rsidR="00C67BB7">
        <w:rPr>
          <w:rFonts w:ascii="Book Antiqua" w:hAnsi="Book Antiqua" w:cs="Arial"/>
        </w:rPr>
        <w:t xml:space="preserve"> or</w:t>
      </w:r>
      <w:r>
        <w:rPr>
          <w:rFonts w:ascii="Book Antiqua" w:hAnsi="Book Antiqua" w:cs="Arial"/>
        </w:rPr>
        <w:t xml:space="preserve"> in the judge</w:t>
      </w:r>
      <w:r w:rsidR="00C67BB7">
        <w:rPr>
          <w:rFonts w:ascii="Book Antiqua" w:hAnsi="Book Antiqua" w:cs="Arial"/>
        </w:rPr>
        <w:t xml:space="preserve"> subsequently</w:t>
      </w:r>
      <w:r w:rsidR="000C0019">
        <w:rPr>
          <w:rFonts w:ascii="Book Antiqua" w:hAnsi="Book Antiqua" w:cs="Arial"/>
        </w:rPr>
        <w:t xml:space="preserve"> applying his</w:t>
      </w:r>
      <w:r>
        <w:rPr>
          <w:rFonts w:ascii="Book Antiqua" w:hAnsi="Book Antiqua" w:cs="Arial"/>
        </w:rPr>
        <w:t xml:space="preserve"> own perception to</w:t>
      </w:r>
      <w:r w:rsidR="000C0019">
        <w:rPr>
          <w:rFonts w:ascii="Book Antiqua" w:hAnsi="Book Antiqua" w:cs="Arial"/>
        </w:rPr>
        <w:t xml:space="preserve"> a very limited extent</w:t>
      </w:r>
      <w:r>
        <w:rPr>
          <w:rFonts w:ascii="Book Antiqua" w:hAnsi="Book Antiqua" w:cs="Arial"/>
        </w:rPr>
        <w:t xml:space="preserve">.  </w:t>
      </w:r>
      <w:r w:rsidR="00F726C6">
        <w:rPr>
          <w:rFonts w:ascii="Book Antiqua" w:hAnsi="Book Antiqua" w:cs="Arial"/>
        </w:rPr>
        <w:t xml:space="preserve">It does not reach the high bar of irrationality.  </w:t>
      </w:r>
      <w:r>
        <w:rPr>
          <w:rFonts w:ascii="Book Antiqua" w:hAnsi="Book Antiqua" w:cs="Arial"/>
        </w:rPr>
        <w:t xml:space="preserve">As set out in the Tribunal’s findings the evidence overwhelmingly led the Tribunal to the conclusion it reached, that the appellant had failed to discharge the burden, to the lower standard, that she was a refugee and that her case was lacking in all credibility.  </w:t>
      </w:r>
      <w:r w:rsidR="00F726C6">
        <w:rPr>
          <w:rFonts w:ascii="Book Antiqua" w:hAnsi="Book Antiqua" w:cs="Arial"/>
        </w:rPr>
        <w:t xml:space="preserve">It was very clear why the First-tier Tribunal decided the case against the appellant and the main points in dispute were addressed.  The duty to give adequate reason is not a counsel of perfection (see </w:t>
      </w:r>
      <w:r w:rsidR="00F726C6" w:rsidRPr="00F726C6">
        <w:rPr>
          <w:rFonts w:ascii="Book Antiqua" w:hAnsi="Book Antiqua" w:cs="Arial"/>
          <w:b/>
          <w:u w:val="single"/>
        </w:rPr>
        <w:t>MD (Turkey)</w:t>
      </w:r>
      <w:r w:rsidR="00F726C6" w:rsidRPr="00F726C6">
        <w:rPr>
          <w:rFonts w:ascii="Book Antiqua" w:hAnsi="Book Antiqua" w:cs="Arial"/>
          <w:b/>
        </w:rPr>
        <w:t xml:space="preserve"> [2017] EWCA Civ 1958</w:t>
      </w:r>
      <w:r w:rsidR="00F726C6">
        <w:rPr>
          <w:rFonts w:ascii="Book Antiqua" w:hAnsi="Book Antiqua" w:cs="Arial"/>
        </w:rPr>
        <w:t>).</w:t>
      </w:r>
    </w:p>
    <w:p w:rsidR="008F2209" w:rsidRDefault="008F2209"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In relation to risk on return as a </w:t>
      </w:r>
      <w:r w:rsidR="00DE424C">
        <w:rPr>
          <w:rFonts w:ascii="Book Antiqua" w:hAnsi="Book Antiqua" w:cs="Arial"/>
        </w:rPr>
        <w:t>failed</w:t>
      </w:r>
      <w:r>
        <w:rPr>
          <w:rFonts w:ascii="Book Antiqua" w:hAnsi="Book Antiqua" w:cs="Arial"/>
        </w:rPr>
        <w:t xml:space="preserve"> asylum seeker, </w:t>
      </w:r>
      <w:r w:rsidR="00E94CA6">
        <w:rPr>
          <w:rFonts w:ascii="Book Antiqua" w:hAnsi="Book Antiqua" w:cs="Arial"/>
        </w:rPr>
        <w:t xml:space="preserve">I accept Ms Everett’s submission that </w:t>
      </w:r>
      <w:r>
        <w:rPr>
          <w:rFonts w:ascii="Book Antiqua" w:hAnsi="Book Antiqua" w:cs="Arial"/>
        </w:rPr>
        <w:t xml:space="preserve">given that the judge had found that the appellant’s case was not true, neither </w:t>
      </w:r>
      <w:r w:rsidRPr="008F2209">
        <w:rPr>
          <w:rFonts w:ascii="Book Antiqua" w:hAnsi="Book Antiqua" w:cs="Arial"/>
          <w:b/>
          <w:u w:val="single"/>
        </w:rPr>
        <w:t>HJ</w:t>
      </w:r>
      <w:r w:rsidRPr="008F2209">
        <w:rPr>
          <w:rFonts w:ascii="Book Antiqua" w:hAnsi="Book Antiqua" w:cs="Arial"/>
          <w:b/>
        </w:rPr>
        <w:t xml:space="preserve"> (</w:t>
      </w:r>
      <w:r w:rsidR="00DE424C" w:rsidRPr="008F2209">
        <w:rPr>
          <w:rFonts w:ascii="Book Antiqua" w:hAnsi="Book Antiqua" w:cs="Arial"/>
          <w:b/>
        </w:rPr>
        <w:t>Iran</w:t>
      </w:r>
      <w:r w:rsidRPr="008F2209">
        <w:rPr>
          <w:rFonts w:ascii="Book Antiqua" w:hAnsi="Book Antiqua" w:cs="Arial"/>
          <w:b/>
        </w:rPr>
        <w:t>)</w:t>
      </w:r>
      <w:r>
        <w:rPr>
          <w:rFonts w:ascii="Book Antiqua" w:hAnsi="Book Antiqua" w:cs="Arial"/>
        </w:rPr>
        <w:t xml:space="preserve"> nor </w:t>
      </w:r>
      <w:r w:rsidRPr="008F2209">
        <w:rPr>
          <w:rFonts w:ascii="Book Antiqua" w:hAnsi="Book Antiqua" w:cs="Arial"/>
          <w:b/>
          <w:u w:val="single"/>
        </w:rPr>
        <w:t>RT</w:t>
      </w:r>
      <w:r w:rsidRPr="008F2209">
        <w:rPr>
          <w:rFonts w:ascii="Book Antiqua" w:hAnsi="Book Antiqua" w:cs="Arial"/>
          <w:b/>
        </w:rPr>
        <w:t xml:space="preserve"> (Zimbabwe)</w:t>
      </w:r>
      <w:r>
        <w:rPr>
          <w:rFonts w:ascii="Book Antiqua" w:hAnsi="Book Antiqua" w:cs="Arial"/>
        </w:rPr>
        <w:t xml:space="preserve"> have any application as there were no positive findings made and therefore as a failed asylum seeker the appellant would not be at risk on return.  </w:t>
      </w:r>
    </w:p>
    <w:p w:rsidR="008F2209" w:rsidRPr="008F2209" w:rsidRDefault="008F2209" w:rsidP="008F2209">
      <w:pPr>
        <w:spacing w:before="240"/>
        <w:jc w:val="both"/>
        <w:rPr>
          <w:rFonts w:ascii="Book Antiqua" w:hAnsi="Book Antiqua" w:cs="Arial"/>
          <w:b/>
          <w:u w:val="single"/>
        </w:rPr>
      </w:pPr>
      <w:r w:rsidRPr="008F2209">
        <w:rPr>
          <w:rFonts w:ascii="Book Antiqua" w:hAnsi="Book Antiqua" w:cs="Arial"/>
          <w:b/>
          <w:u w:val="single"/>
        </w:rPr>
        <w:t xml:space="preserve">Notice of Decision </w:t>
      </w:r>
    </w:p>
    <w:p w:rsidR="008F2209" w:rsidRDefault="008F2209" w:rsidP="000239E1">
      <w:pPr>
        <w:numPr>
          <w:ilvl w:val="0"/>
          <w:numId w:val="3"/>
        </w:numPr>
        <w:tabs>
          <w:tab w:val="clear" w:pos="567"/>
        </w:tabs>
        <w:spacing w:before="240"/>
        <w:jc w:val="both"/>
        <w:rPr>
          <w:rFonts w:ascii="Book Antiqua" w:hAnsi="Book Antiqua" w:cs="Arial"/>
        </w:rPr>
      </w:pPr>
      <w:r>
        <w:rPr>
          <w:rFonts w:ascii="Book Antiqua" w:hAnsi="Book Antiqua" w:cs="Arial"/>
        </w:rPr>
        <w:t>The decision of the First-tier Tribunal does not contain an error of law</w:t>
      </w:r>
      <w:r w:rsidR="000C0019">
        <w:rPr>
          <w:rFonts w:ascii="Book Antiqua" w:hAnsi="Book Antiqua" w:cs="Arial"/>
        </w:rPr>
        <w:t>, such that it should be set aside,</w:t>
      </w:r>
      <w:r>
        <w:rPr>
          <w:rFonts w:ascii="Book Antiqua" w:hAnsi="Book Antiqua" w:cs="Arial"/>
        </w:rPr>
        <w:t xml:space="preserve"> and shall stand.  The appellant’s appeal is dismissed.</w:t>
      </w:r>
    </w:p>
    <w:p w:rsidR="000239E1" w:rsidRDefault="000239E1" w:rsidP="000239E1">
      <w:pPr>
        <w:jc w:val="both"/>
        <w:rPr>
          <w:rFonts w:ascii="Book Antiqua" w:hAnsi="Book Antiqua" w:cs="Arial"/>
        </w:rPr>
      </w:pPr>
    </w:p>
    <w:p w:rsidR="000239E1" w:rsidRPr="006B406C" w:rsidRDefault="000239E1" w:rsidP="000239E1">
      <w:pPr>
        <w:jc w:val="both"/>
        <w:rPr>
          <w:rFonts w:ascii="Book Antiqua" w:hAnsi="Book Antiqua" w:cs="Arial"/>
        </w:rPr>
      </w:pPr>
      <w:r w:rsidRPr="006B406C">
        <w:rPr>
          <w:rFonts w:ascii="Book Antiqua" w:hAnsi="Book Antiqua" w:cs="Arial"/>
          <w:b/>
        </w:rPr>
        <w:t>Direction Regarding Anonymity – Rule 14 of the Tribunal Procedure (Upper Tribunal) Rules 2008</w:t>
      </w:r>
    </w:p>
    <w:p w:rsidR="000239E1" w:rsidRDefault="000239E1" w:rsidP="000239E1">
      <w:pPr>
        <w:jc w:val="both"/>
        <w:rPr>
          <w:rFonts w:ascii="Book Antiqua" w:hAnsi="Book Antiqua" w:cs="Arial"/>
        </w:rPr>
      </w:pPr>
    </w:p>
    <w:p w:rsidR="000239E1" w:rsidRPr="00F5664C" w:rsidRDefault="000239E1" w:rsidP="000239E1">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w:t>
      </w:r>
      <w:r w:rsidR="00656B6C">
        <w:rPr>
          <w:rFonts w:ascii="Book Antiqua" w:hAnsi="Book Antiqua"/>
        </w:rPr>
        <w:t xml:space="preserve">er </w:t>
      </w:r>
      <w:r>
        <w:rPr>
          <w:rFonts w:ascii="Book Antiqua" w:hAnsi="Book Antiqua"/>
        </w:rPr>
        <w:t xml:space="preserve">or any member of </w:t>
      </w:r>
      <w:r w:rsidR="00656B6C">
        <w:rPr>
          <w:rFonts w:ascii="Book Antiqua" w:hAnsi="Book Antiqua"/>
        </w:rPr>
        <w:t>her</w:t>
      </w:r>
      <w:r>
        <w:rPr>
          <w:rFonts w:ascii="Book Antiqua" w:hAnsi="Book Antiqua"/>
        </w:rPr>
        <w:t xml:space="preserve"> family.  This direction applies both to the Appellant and to the Respondent.  Failure to comply with this direction could lead to contempt of court proceedings.</w:t>
      </w:r>
    </w:p>
    <w:p w:rsidR="001F2716" w:rsidRPr="009B7433" w:rsidRDefault="001F2716"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F113C2">
        <w:rPr>
          <w:rFonts w:ascii="Book Antiqua" w:hAnsi="Book Antiqua" w:cs="Arial"/>
        </w:rPr>
        <w:t>:  23 April 2018</w:t>
      </w:r>
    </w:p>
    <w:p w:rsidR="001F2716" w:rsidRPr="009B7433" w:rsidRDefault="001F2716" w:rsidP="000A0743">
      <w:pPr>
        <w:jc w:val="both"/>
        <w:rPr>
          <w:rFonts w:ascii="Book Antiqua" w:hAnsi="Book Antiqua" w:cs="Arial"/>
        </w:rPr>
      </w:pPr>
    </w:p>
    <w:p w:rsidR="00C23DFC"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rsidR="008F2209" w:rsidRDefault="008F2209" w:rsidP="00D05375">
      <w:pPr>
        <w:jc w:val="both"/>
        <w:rPr>
          <w:rFonts w:ascii="Book Antiqua" w:hAnsi="Book Antiqua" w:cs="Arial"/>
          <w:b/>
          <w:u w:val="single"/>
        </w:rPr>
      </w:pPr>
    </w:p>
    <w:p w:rsidR="008F2209" w:rsidRDefault="008F2209" w:rsidP="00D05375">
      <w:pPr>
        <w:jc w:val="both"/>
        <w:rPr>
          <w:rFonts w:ascii="Book Antiqua" w:hAnsi="Book Antiqua" w:cs="Arial"/>
          <w:b/>
          <w:u w:val="single"/>
        </w:rPr>
      </w:pPr>
    </w:p>
    <w:p w:rsidR="004D7F7A" w:rsidRDefault="004D7F7A" w:rsidP="00D05375">
      <w:pPr>
        <w:jc w:val="both"/>
        <w:rPr>
          <w:rFonts w:ascii="Book Antiqua" w:hAnsi="Book Antiqua" w:cs="Arial"/>
          <w:b/>
          <w:u w:val="single"/>
        </w:rPr>
      </w:pPr>
    </w:p>
    <w:p w:rsidR="004D7F7A" w:rsidRDefault="004D7F7A" w:rsidP="00D05375">
      <w:pPr>
        <w:jc w:val="both"/>
        <w:rPr>
          <w:rFonts w:ascii="Book Antiqua" w:hAnsi="Book Antiqua" w:cs="Arial"/>
          <w:b/>
          <w:u w:val="single"/>
        </w:rPr>
      </w:pPr>
    </w:p>
    <w:p w:rsidR="004D7F7A" w:rsidRDefault="004D7F7A" w:rsidP="00D05375">
      <w:pPr>
        <w:jc w:val="both"/>
        <w:rPr>
          <w:rFonts w:ascii="Book Antiqua" w:hAnsi="Book Antiqua" w:cs="Arial"/>
          <w:b/>
          <w:u w:val="single"/>
        </w:rPr>
      </w:pPr>
    </w:p>
    <w:p w:rsidR="00D05375" w:rsidRPr="00887EB4" w:rsidRDefault="00D05375" w:rsidP="00D05375">
      <w:pPr>
        <w:jc w:val="both"/>
        <w:rPr>
          <w:rFonts w:ascii="Book Antiqua" w:hAnsi="Book Antiqua" w:cs="Arial"/>
          <w:b/>
          <w:u w:val="single"/>
        </w:rPr>
      </w:pPr>
      <w:r w:rsidRPr="00887EB4">
        <w:rPr>
          <w:rFonts w:ascii="Book Antiqua" w:hAnsi="Book Antiqua" w:cs="Arial"/>
          <w:b/>
          <w:u w:val="single"/>
        </w:rPr>
        <w:t>TO THE RESPONDENT</w:t>
      </w:r>
    </w:p>
    <w:p w:rsidR="00D05375" w:rsidRPr="00887EB4" w:rsidRDefault="00D05375" w:rsidP="00D05375">
      <w:pPr>
        <w:ind w:left="567" w:hanging="567"/>
        <w:jc w:val="both"/>
        <w:rPr>
          <w:rFonts w:ascii="Book Antiqua" w:hAnsi="Book Antiqua" w:cs="Arial"/>
        </w:rPr>
      </w:pPr>
      <w:r w:rsidRPr="00887EB4">
        <w:rPr>
          <w:rFonts w:ascii="Book Antiqua" w:hAnsi="Book Antiqua" w:cs="Arial"/>
          <w:b/>
          <w:u w:val="single"/>
        </w:rPr>
        <w:t>FEE AWARD</w:t>
      </w:r>
    </w:p>
    <w:p w:rsidR="00D05375" w:rsidRPr="00887EB4" w:rsidRDefault="00D05375" w:rsidP="00D05375">
      <w:pPr>
        <w:ind w:left="567" w:hanging="567"/>
        <w:jc w:val="both"/>
        <w:rPr>
          <w:rFonts w:ascii="Book Antiqua" w:hAnsi="Book Antiqua" w:cs="Arial"/>
        </w:rPr>
      </w:pPr>
    </w:p>
    <w:p w:rsidR="00D05375" w:rsidRDefault="008F2209" w:rsidP="00D05375">
      <w:pPr>
        <w:jc w:val="both"/>
        <w:rPr>
          <w:rFonts w:ascii="Book Antiqua" w:hAnsi="Book Antiqua" w:cs="Arial"/>
        </w:rPr>
      </w:pPr>
      <w:r>
        <w:rPr>
          <w:rFonts w:ascii="Book Antiqua" w:hAnsi="Book Antiqua" w:cs="Arial"/>
        </w:rPr>
        <w:t>The appeal is dismissed and therefore there is no fee award</w:t>
      </w:r>
      <w:r w:rsidR="00D05375">
        <w:rPr>
          <w:rFonts w:ascii="Book Antiqua" w:hAnsi="Book Antiqua" w:cs="Arial"/>
        </w:rPr>
        <w:t>.</w:t>
      </w:r>
    </w:p>
    <w:p w:rsid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p>
    <w:p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F113C2">
        <w:rPr>
          <w:rFonts w:ascii="Book Antiqua" w:hAnsi="Book Antiqua" w:cs="Arial"/>
        </w:rPr>
        <w:t>:  23 April 2018</w:t>
      </w:r>
    </w:p>
    <w:p w:rsidR="00D949B7" w:rsidRPr="009B7433" w:rsidRDefault="00D949B7" w:rsidP="000A0743">
      <w:pPr>
        <w:jc w:val="both"/>
        <w:rPr>
          <w:rFonts w:ascii="Book Antiqua" w:hAnsi="Book Antiqua" w:cs="Arial"/>
        </w:rPr>
      </w:pPr>
    </w:p>
    <w:p w:rsidR="00C23DFC" w:rsidRPr="001C5703"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sectPr w:rsidR="00C23DFC" w:rsidRPr="001C5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405" w:rsidRDefault="00E30405">
      <w:r>
        <w:separator/>
      </w:r>
    </w:p>
  </w:endnote>
  <w:endnote w:type="continuationSeparator" w:id="0">
    <w:p w:rsidR="00E30405" w:rsidRDefault="00E3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rPr>
      <w:id w:val="1604840750"/>
      <w:docPartObj>
        <w:docPartGallery w:val="Page Numbers (Bottom of Page)"/>
        <w:docPartUnique/>
      </w:docPartObj>
    </w:sdtPr>
    <w:sdtEndPr>
      <w:rPr>
        <w:noProof/>
      </w:rPr>
    </w:sdtEndPr>
    <w:sdtContent>
      <w:p w:rsidR="005427C4" w:rsidRPr="004D7F7A" w:rsidRDefault="005427C4">
        <w:pPr>
          <w:pStyle w:val="Footer"/>
          <w:jc w:val="center"/>
          <w:rPr>
            <w:rFonts w:ascii="Book Antiqua" w:hAnsi="Book Antiqua"/>
            <w:sz w:val="20"/>
          </w:rPr>
        </w:pPr>
        <w:r w:rsidRPr="004D7F7A">
          <w:rPr>
            <w:rFonts w:ascii="Book Antiqua" w:hAnsi="Book Antiqua"/>
            <w:sz w:val="20"/>
          </w:rPr>
          <w:fldChar w:fldCharType="begin"/>
        </w:r>
        <w:r w:rsidRPr="004D7F7A">
          <w:rPr>
            <w:rFonts w:ascii="Book Antiqua" w:hAnsi="Book Antiqua"/>
            <w:sz w:val="20"/>
          </w:rPr>
          <w:instrText xml:space="preserve"> PAGE   \* MERGEFORMAT </w:instrText>
        </w:r>
        <w:r w:rsidRPr="004D7F7A">
          <w:rPr>
            <w:rFonts w:ascii="Book Antiqua" w:hAnsi="Book Antiqua"/>
            <w:sz w:val="20"/>
          </w:rPr>
          <w:fldChar w:fldCharType="separate"/>
        </w:r>
        <w:r w:rsidR="00AA5E42" w:rsidRPr="004D7F7A">
          <w:rPr>
            <w:rFonts w:ascii="Book Antiqua" w:hAnsi="Book Antiqua"/>
            <w:noProof/>
            <w:sz w:val="20"/>
          </w:rPr>
          <w:t>8</w:t>
        </w:r>
        <w:r w:rsidRPr="004D7F7A">
          <w:rPr>
            <w:rFonts w:ascii="Book Antiqua" w:hAnsi="Book Antiqua"/>
            <w:noProof/>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7A" w:rsidRPr="004D7F7A" w:rsidRDefault="004D7F7A" w:rsidP="004D7F7A">
    <w:pPr>
      <w:pStyle w:val="Footer"/>
      <w:jc w:val="center"/>
      <w:rPr>
        <w:rFonts w:ascii="Book Antiqua" w:hAnsi="Book Antiqua"/>
        <w:b/>
      </w:rPr>
    </w:pPr>
    <w:r w:rsidRPr="004D7F7A">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405" w:rsidRDefault="00E30405">
      <w:r>
        <w:separator/>
      </w:r>
    </w:p>
  </w:footnote>
  <w:footnote w:type="continuationSeparator" w:id="0">
    <w:p w:rsidR="00E30405" w:rsidRDefault="00E3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7A" w:rsidRPr="004D7F7A" w:rsidRDefault="004D7F7A" w:rsidP="004D7F7A">
    <w:pPr>
      <w:pStyle w:val="Header"/>
      <w:jc w:val="right"/>
      <w:rPr>
        <w:sz w:val="20"/>
      </w:rPr>
    </w:pPr>
    <w:r w:rsidRPr="004D7F7A">
      <w:rPr>
        <w:rFonts w:ascii="Book Antiqua" w:hAnsi="Book Antiqua" w:cs="Arial"/>
        <w:sz w:val="20"/>
      </w:rPr>
      <w:t xml:space="preserve">Appeal Number: </w:t>
    </w:r>
    <w:r w:rsidRPr="004D7F7A">
      <w:rPr>
        <w:rFonts w:ascii="Book Antiqua" w:hAnsi="Book Antiqua" w:cs="Arial"/>
        <w:caps/>
        <w:sz w:val="20"/>
      </w:rPr>
      <w:t>PA/10472/2017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F8625C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 w:numId="4">
    <w:abstractNumId w:val="0"/>
    <w:lvlOverride w:ilvl="0">
      <w:lvl w:ilvl="0">
        <w:start w:val="1"/>
        <w:numFmt w:val="decimal"/>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A5A"/>
    <w:rsid w:val="00000621"/>
    <w:rsid w:val="000036C2"/>
    <w:rsid w:val="00007533"/>
    <w:rsid w:val="00016C1A"/>
    <w:rsid w:val="000239E1"/>
    <w:rsid w:val="00033588"/>
    <w:rsid w:val="00033D3D"/>
    <w:rsid w:val="0004776F"/>
    <w:rsid w:val="00052895"/>
    <w:rsid w:val="00053C10"/>
    <w:rsid w:val="00062F02"/>
    <w:rsid w:val="00071A7E"/>
    <w:rsid w:val="000746C0"/>
    <w:rsid w:val="00074D1D"/>
    <w:rsid w:val="00092580"/>
    <w:rsid w:val="00093D4D"/>
    <w:rsid w:val="00093F09"/>
    <w:rsid w:val="000A0743"/>
    <w:rsid w:val="000B5224"/>
    <w:rsid w:val="000C0019"/>
    <w:rsid w:val="000D5D94"/>
    <w:rsid w:val="000F1A0E"/>
    <w:rsid w:val="001165A7"/>
    <w:rsid w:val="0016508E"/>
    <w:rsid w:val="00167D3A"/>
    <w:rsid w:val="00173F50"/>
    <w:rsid w:val="00185986"/>
    <w:rsid w:val="001A3082"/>
    <w:rsid w:val="001A53AD"/>
    <w:rsid w:val="001B186A"/>
    <w:rsid w:val="001B2F75"/>
    <w:rsid w:val="001C6F5F"/>
    <w:rsid w:val="001D6167"/>
    <w:rsid w:val="001F2716"/>
    <w:rsid w:val="001F3AC0"/>
    <w:rsid w:val="001F4C22"/>
    <w:rsid w:val="001F6640"/>
    <w:rsid w:val="00207617"/>
    <w:rsid w:val="0023134B"/>
    <w:rsid w:val="00231F34"/>
    <w:rsid w:val="00283659"/>
    <w:rsid w:val="002A1DA8"/>
    <w:rsid w:val="002A638F"/>
    <w:rsid w:val="002C6BD4"/>
    <w:rsid w:val="002D68BF"/>
    <w:rsid w:val="002E4541"/>
    <w:rsid w:val="002F6B98"/>
    <w:rsid w:val="00321BE9"/>
    <w:rsid w:val="00336CBF"/>
    <w:rsid w:val="00343FE3"/>
    <w:rsid w:val="00353DB1"/>
    <w:rsid w:val="003546C8"/>
    <w:rsid w:val="003825D4"/>
    <w:rsid w:val="003A7CF2"/>
    <w:rsid w:val="003C5CE5"/>
    <w:rsid w:val="003D6FAD"/>
    <w:rsid w:val="003E267B"/>
    <w:rsid w:val="003E7CD1"/>
    <w:rsid w:val="00402583"/>
    <w:rsid w:val="00402B9E"/>
    <w:rsid w:val="0041476A"/>
    <w:rsid w:val="00420968"/>
    <w:rsid w:val="004249CB"/>
    <w:rsid w:val="00436E95"/>
    <w:rsid w:val="0044127D"/>
    <w:rsid w:val="004448DB"/>
    <w:rsid w:val="00446C9A"/>
    <w:rsid w:val="00452F2B"/>
    <w:rsid w:val="00477193"/>
    <w:rsid w:val="00491724"/>
    <w:rsid w:val="00492E0F"/>
    <w:rsid w:val="004A1848"/>
    <w:rsid w:val="004A2D15"/>
    <w:rsid w:val="004A534C"/>
    <w:rsid w:val="004A6F4A"/>
    <w:rsid w:val="004B70D7"/>
    <w:rsid w:val="004C68D1"/>
    <w:rsid w:val="004D485C"/>
    <w:rsid w:val="004D6B45"/>
    <w:rsid w:val="004D7F7A"/>
    <w:rsid w:val="004E4717"/>
    <w:rsid w:val="004E7B74"/>
    <w:rsid w:val="00507FEC"/>
    <w:rsid w:val="00510F0E"/>
    <w:rsid w:val="00521247"/>
    <w:rsid w:val="0052605C"/>
    <w:rsid w:val="005427C4"/>
    <w:rsid w:val="005479E1"/>
    <w:rsid w:val="00553028"/>
    <w:rsid w:val="00553E0A"/>
    <w:rsid w:val="00556718"/>
    <w:rsid w:val="005570FD"/>
    <w:rsid w:val="005575EA"/>
    <w:rsid w:val="0057790C"/>
    <w:rsid w:val="00580B9C"/>
    <w:rsid w:val="00593795"/>
    <w:rsid w:val="005A75FF"/>
    <w:rsid w:val="005C03DF"/>
    <w:rsid w:val="005D10AB"/>
    <w:rsid w:val="00601D8F"/>
    <w:rsid w:val="00605582"/>
    <w:rsid w:val="00606A60"/>
    <w:rsid w:val="00611F34"/>
    <w:rsid w:val="00612A00"/>
    <w:rsid w:val="00621FE8"/>
    <w:rsid w:val="00633647"/>
    <w:rsid w:val="006434B6"/>
    <w:rsid w:val="0064376E"/>
    <w:rsid w:val="00653E97"/>
    <w:rsid w:val="00656B6C"/>
    <w:rsid w:val="006667DB"/>
    <w:rsid w:val="0067023D"/>
    <w:rsid w:val="00672285"/>
    <w:rsid w:val="00684A74"/>
    <w:rsid w:val="0068620A"/>
    <w:rsid w:val="00690B8A"/>
    <w:rsid w:val="006C5945"/>
    <w:rsid w:val="006D48A4"/>
    <w:rsid w:val="006D68CF"/>
    <w:rsid w:val="006F2CF1"/>
    <w:rsid w:val="007038ED"/>
    <w:rsid w:val="00703BC3"/>
    <w:rsid w:val="00704B61"/>
    <w:rsid w:val="00714A01"/>
    <w:rsid w:val="00715A64"/>
    <w:rsid w:val="0072693A"/>
    <w:rsid w:val="00740C1F"/>
    <w:rsid w:val="007552A9"/>
    <w:rsid w:val="0075658A"/>
    <w:rsid w:val="00761858"/>
    <w:rsid w:val="00767D59"/>
    <w:rsid w:val="00776E97"/>
    <w:rsid w:val="00780F86"/>
    <w:rsid w:val="007912AD"/>
    <w:rsid w:val="007B0824"/>
    <w:rsid w:val="007B5D3C"/>
    <w:rsid w:val="00815011"/>
    <w:rsid w:val="00821B72"/>
    <w:rsid w:val="00823EF2"/>
    <w:rsid w:val="008303B8"/>
    <w:rsid w:val="00833DCE"/>
    <w:rsid w:val="00833E86"/>
    <w:rsid w:val="0083707D"/>
    <w:rsid w:val="0086255F"/>
    <w:rsid w:val="00871D34"/>
    <w:rsid w:val="0089208F"/>
    <w:rsid w:val="008A25EC"/>
    <w:rsid w:val="008A5BA3"/>
    <w:rsid w:val="008A6059"/>
    <w:rsid w:val="008B270C"/>
    <w:rsid w:val="008B3D6D"/>
    <w:rsid w:val="008B4D7B"/>
    <w:rsid w:val="008B5078"/>
    <w:rsid w:val="008C081C"/>
    <w:rsid w:val="008C3368"/>
    <w:rsid w:val="008C3D3D"/>
    <w:rsid w:val="008D4131"/>
    <w:rsid w:val="008E734D"/>
    <w:rsid w:val="008F1932"/>
    <w:rsid w:val="008F2209"/>
    <w:rsid w:val="0090151B"/>
    <w:rsid w:val="009042A9"/>
    <w:rsid w:val="00921062"/>
    <w:rsid w:val="00923A48"/>
    <w:rsid w:val="00923C10"/>
    <w:rsid w:val="00947A5A"/>
    <w:rsid w:val="00967800"/>
    <w:rsid w:val="009722BC"/>
    <w:rsid w:val="009727A3"/>
    <w:rsid w:val="0098114F"/>
    <w:rsid w:val="00984D9B"/>
    <w:rsid w:val="00987774"/>
    <w:rsid w:val="009A11E8"/>
    <w:rsid w:val="009B7433"/>
    <w:rsid w:val="009C57C8"/>
    <w:rsid w:val="009D2E7A"/>
    <w:rsid w:val="009E419C"/>
    <w:rsid w:val="009E581A"/>
    <w:rsid w:val="009F5220"/>
    <w:rsid w:val="00A07919"/>
    <w:rsid w:val="00A15234"/>
    <w:rsid w:val="00A172F5"/>
    <w:rsid w:val="00A201AB"/>
    <w:rsid w:val="00A31C8B"/>
    <w:rsid w:val="00A509FA"/>
    <w:rsid w:val="00A845DC"/>
    <w:rsid w:val="00AA5E42"/>
    <w:rsid w:val="00AB5265"/>
    <w:rsid w:val="00AE6FAB"/>
    <w:rsid w:val="00B120B3"/>
    <w:rsid w:val="00B26AA2"/>
    <w:rsid w:val="00B3524D"/>
    <w:rsid w:val="00B40D97"/>
    <w:rsid w:val="00B40F69"/>
    <w:rsid w:val="00B46616"/>
    <w:rsid w:val="00B47B0C"/>
    <w:rsid w:val="00B528BB"/>
    <w:rsid w:val="00B7040A"/>
    <w:rsid w:val="00B81F43"/>
    <w:rsid w:val="00B83391"/>
    <w:rsid w:val="00B95326"/>
    <w:rsid w:val="00BB2A51"/>
    <w:rsid w:val="00BB78FA"/>
    <w:rsid w:val="00BD4196"/>
    <w:rsid w:val="00BF22CA"/>
    <w:rsid w:val="00BF23BB"/>
    <w:rsid w:val="00C23DFC"/>
    <w:rsid w:val="00C26032"/>
    <w:rsid w:val="00C33A3E"/>
    <w:rsid w:val="00C345E1"/>
    <w:rsid w:val="00C40D6C"/>
    <w:rsid w:val="00C43BFD"/>
    <w:rsid w:val="00C50137"/>
    <w:rsid w:val="00C51189"/>
    <w:rsid w:val="00C54B19"/>
    <w:rsid w:val="00C6048A"/>
    <w:rsid w:val="00C67BB7"/>
    <w:rsid w:val="00C82F3F"/>
    <w:rsid w:val="00C931E0"/>
    <w:rsid w:val="00CB6E35"/>
    <w:rsid w:val="00CE09B1"/>
    <w:rsid w:val="00CE1A46"/>
    <w:rsid w:val="00D05375"/>
    <w:rsid w:val="00D05EA6"/>
    <w:rsid w:val="00D20757"/>
    <w:rsid w:val="00D22636"/>
    <w:rsid w:val="00D26227"/>
    <w:rsid w:val="00D40FD9"/>
    <w:rsid w:val="00D53769"/>
    <w:rsid w:val="00D54C6C"/>
    <w:rsid w:val="00D606FA"/>
    <w:rsid w:val="00D6602D"/>
    <w:rsid w:val="00D85C13"/>
    <w:rsid w:val="00D9111A"/>
    <w:rsid w:val="00D91BE3"/>
    <w:rsid w:val="00D949B7"/>
    <w:rsid w:val="00D94AFC"/>
    <w:rsid w:val="00DB70AE"/>
    <w:rsid w:val="00DD5071"/>
    <w:rsid w:val="00DD5C39"/>
    <w:rsid w:val="00DE424C"/>
    <w:rsid w:val="00DE5CD4"/>
    <w:rsid w:val="00DE7DB7"/>
    <w:rsid w:val="00E00A0A"/>
    <w:rsid w:val="00E066DE"/>
    <w:rsid w:val="00E07F57"/>
    <w:rsid w:val="00E23DEE"/>
    <w:rsid w:val="00E27CFF"/>
    <w:rsid w:val="00E30405"/>
    <w:rsid w:val="00E30683"/>
    <w:rsid w:val="00E403E4"/>
    <w:rsid w:val="00E410D1"/>
    <w:rsid w:val="00E42107"/>
    <w:rsid w:val="00E453D8"/>
    <w:rsid w:val="00E4627B"/>
    <w:rsid w:val="00E470B8"/>
    <w:rsid w:val="00E50BCE"/>
    <w:rsid w:val="00E574BF"/>
    <w:rsid w:val="00E61292"/>
    <w:rsid w:val="00E77C4D"/>
    <w:rsid w:val="00E80FEF"/>
    <w:rsid w:val="00E81D01"/>
    <w:rsid w:val="00E94CA6"/>
    <w:rsid w:val="00EA79AF"/>
    <w:rsid w:val="00EB485A"/>
    <w:rsid w:val="00EE45D8"/>
    <w:rsid w:val="00F113C2"/>
    <w:rsid w:val="00F22B26"/>
    <w:rsid w:val="00F22EDA"/>
    <w:rsid w:val="00F23A19"/>
    <w:rsid w:val="00F470D6"/>
    <w:rsid w:val="00F5589A"/>
    <w:rsid w:val="00F5593E"/>
    <w:rsid w:val="00F726C6"/>
    <w:rsid w:val="00FB17AC"/>
    <w:rsid w:val="00FC40FA"/>
    <w:rsid w:val="00FE730E"/>
    <w:rsid w:val="00FF0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E460A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basedOn w:val="DefaultParagraphFont"/>
    <w:link w:val="Footer"/>
    <w:uiPriority w:val="99"/>
    <w:rsid w:val="005427C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3085</Words>
  <Characters>17589</Characters>
  <Application>Microsoft Office Word</Application>
  <DocSecurity>0</DocSecurity>
  <Lines>146</Lines>
  <Paragraphs>41</Paragraphs>
  <ScaleCrop>false</ScaleCrop>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2018-06-15T13:28:00Z</dcterms:created>
  <dcterms:modified xsi:type="dcterms:W3CDTF">2018-06-15T13:28:00Z</dcterms:modified>
</cp:coreProperties>
</file>