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4CB5" w14:textId="77777777" w:rsidR="00F63500" w:rsidRPr="00F97703" w:rsidRDefault="00F63500" w:rsidP="00F63500">
      <w:pPr>
        <w:rPr>
          <w:rFonts w:ascii="Book Antiqua" w:hAnsi="Book Antiqua" w:cs="Arial"/>
          <w:color w:val="000000"/>
          <w:sz w:val="16"/>
          <w:szCs w:val="16"/>
        </w:rPr>
      </w:pPr>
    </w:p>
    <w:p w14:paraId="06E379F3" w14:textId="77777777" w:rsidR="00F63500" w:rsidRDefault="00F63500" w:rsidP="00F63500">
      <w:pPr>
        <w:jc w:val="center"/>
        <w:rPr>
          <w:rFonts w:ascii="Book Antiqua" w:hAnsi="Book Antiqua" w:cs="Arial"/>
          <w:color w:val="000000"/>
        </w:rPr>
      </w:pPr>
      <w:r>
        <w:rPr>
          <w:noProof/>
        </w:rPr>
        <w:drawing>
          <wp:inline distT="0" distB="0" distL="0" distR="0" wp14:anchorId="6E33DF05" wp14:editId="56FFAFD6">
            <wp:extent cx="1501140" cy="1135380"/>
            <wp:effectExtent l="0" t="0" r="3810"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5FCA099C" w14:textId="77777777" w:rsidR="00F63500" w:rsidRPr="00F97703" w:rsidRDefault="00F63500" w:rsidP="00F6350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AAE11C9" w14:textId="21051C06" w:rsidR="00D87ABF" w:rsidRDefault="00F63500" w:rsidP="00D87ABF">
      <w:pPr>
        <w:jc w:val="both"/>
        <w:rPr>
          <w:rFonts w:ascii="Book Antiqua" w:hAnsi="Book Antiqua"/>
          <w:b/>
          <w:u w:val="single"/>
        </w:rPr>
      </w:pPr>
      <w:r w:rsidRPr="00F97703">
        <w:rPr>
          <w:rFonts w:ascii="Book Antiqua" w:hAnsi="Book Antiqua" w:cs="Arial"/>
          <w:b/>
          <w:color w:val="000000"/>
        </w:rPr>
        <w:t>(Immigration and Asylum Chamber)</w:t>
      </w:r>
      <w:r w:rsidRPr="00F97703">
        <w:rPr>
          <w:rFonts w:ascii="Book Antiqua" w:hAnsi="Book Antiqua" w:cs="Arial"/>
          <w:b/>
          <w:color w:val="000000"/>
        </w:rPr>
        <w:tab/>
      </w:r>
      <w:r w:rsidR="00AC39F1">
        <w:rPr>
          <w:rFonts w:ascii="Book Antiqua" w:hAnsi="Book Antiqua" w:cs="Arial"/>
          <w:b/>
          <w:color w:val="000000"/>
        </w:rPr>
        <w:t xml:space="preserve">                            </w:t>
      </w:r>
      <w:r w:rsidRPr="00431BC2">
        <w:rPr>
          <w:rFonts w:ascii="Book Antiqua" w:hAnsi="Book Antiqua" w:cs="Arial"/>
          <w:b/>
          <w:color w:val="000000"/>
        </w:rPr>
        <w:t xml:space="preserve">Appeal Number: </w:t>
      </w:r>
      <w:r w:rsidR="00E42EA5" w:rsidRPr="00431BC2">
        <w:rPr>
          <w:rFonts w:ascii="Book Antiqua" w:hAnsi="Book Antiqua" w:cs="Arial"/>
          <w:b/>
          <w:color w:val="000000"/>
        </w:rPr>
        <w:t>PA/10615/2019</w:t>
      </w:r>
    </w:p>
    <w:p w14:paraId="64DF9790" w14:textId="5322AB74" w:rsidR="00F63500" w:rsidRPr="00F97703" w:rsidRDefault="00F63500" w:rsidP="00F63500">
      <w:pPr>
        <w:tabs>
          <w:tab w:val="right" w:pos="9720"/>
        </w:tabs>
        <w:ind w:right="-82"/>
        <w:rPr>
          <w:rFonts w:ascii="Book Antiqua" w:hAnsi="Book Antiqua" w:cs="Arial"/>
          <w:color w:val="000000"/>
        </w:rPr>
      </w:pPr>
    </w:p>
    <w:p w14:paraId="027B28A3" w14:textId="77777777" w:rsidR="00F63500" w:rsidRPr="00F97703" w:rsidRDefault="00F63500" w:rsidP="00F6350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49D2A265" w14:textId="77777777" w:rsidR="00F63500" w:rsidRPr="00F97703" w:rsidRDefault="00F63500" w:rsidP="00F63500">
      <w:pPr>
        <w:jc w:val="center"/>
        <w:rPr>
          <w:rFonts w:ascii="Book Antiqua" w:hAnsi="Book Antiqua" w:cs="Arial"/>
          <w:b/>
          <w:u w:val="single"/>
        </w:rPr>
      </w:pPr>
    </w:p>
    <w:tbl>
      <w:tblPr>
        <w:tblW w:w="0" w:type="auto"/>
        <w:tblLook w:val="01E0" w:firstRow="1" w:lastRow="1" w:firstColumn="1" w:lastColumn="1" w:noHBand="0" w:noVBand="0"/>
      </w:tblPr>
      <w:tblGrid>
        <w:gridCol w:w="5670"/>
        <w:gridCol w:w="3968"/>
      </w:tblGrid>
      <w:tr w:rsidR="00F63500" w:rsidRPr="00AB1DC6" w14:paraId="1F5FF653" w14:textId="77777777" w:rsidTr="0011401C">
        <w:tc>
          <w:tcPr>
            <w:tcW w:w="5670" w:type="dxa"/>
            <w:shd w:val="clear" w:color="auto" w:fill="auto"/>
          </w:tcPr>
          <w:p w14:paraId="30ACEAD7" w14:textId="0360F9D1" w:rsidR="00F63500" w:rsidRPr="00AB1DC6" w:rsidRDefault="007775A3" w:rsidP="00F43A73">
            <w:pPr>
              <w:jc w:val="both"/>
              <w:rPr>
                <w:rFonts w:ascii="Book Antiqua" w:hAnsi="Book Antiqua" w:cs="Arial"/>
                <w:b/>
              </w:rPr>
            </w:pPr>
            <w:r>
              <w:rPr>
                <w:rFonts w:ascii="Book Antiqua" w:hAnsi="Book Antiqua" w:cs="Arial"/>
                <w:b/>
              </w:rPr>
              <w:t>Remote hearing held</w:t>
            </w:r>
          </w:p>
        </w:tc>
        <w:tc>
          <w:tcPr>
            <w:tcW w:w="3968" w:type="dxa"/>
            <w:shd w:val="clear" w:color="auto" w:fill="auto"/>
          </w:tcPr>
          <w:p w14:paraId="74BA0508" w14:textId="4EE93231" w:rsidR="00F63500" w:rsidRPr="00AB1DC6" w:rsidRDefault="00F63500" w:rsidP="00F43A73">
            <w:pPr>
              <w:jc w:val="both"/>
              <w:rPr>
                <w:rFonts w:ascii="Book Antiqua" w:hAnsi="Book Antiqua" w:cs="Arial"/>
                <w:b/>
                <w:color w:val="000000"/>
              </w:rPr>
            </w:pPr>
            <w:r w:rsidRPr="00AB1DC6">
              <w:rPr>
                <w:rFonts w:ascii="Book Antiqua" w:hAnsi="Book Antiqua" w:cs="Arial"/>
                <w:b/>
                <w:color w:val="000000"/>
              </w:rPr>
              <w:t xml:space="preserve">Decision </w:t>
            </w:r>
            <w:r w:rsidR="0011401C">
              <w:rPr>
                <w:rFonts w:ascii="Book Antiqua" w:hAnsi="Book Antiqua" w:cs="Arial"/>
                <w:b/>
                <w:color w:val="000000"/>
              </w:rPr>
              <w:t xml:space="preserve">&amp; Reasons </w:t>
            </w:r>
            <w:r w:rsidRPr="00AB1DC6">
              <w:rPr>
                <w:rFonts w:ascii="Book Antiqua" w:hAnsi="Book Antiqua" w:cs="Arial"/>
                <w:b/>
                <w:color w:val="000000"/>
              </w:rPr>
              <w:t>Promulgated</w:t>
            </w:r>
          </w:p>
        </w:tc>
      </w:tr>
      <w:tr w:rsidR="007775A3" w:rsidRPr="00AB1DC6" w14:paraId="1D2033CA" w14:textId="77777777" w:rsidTr="0011401C">
        <w:tc>
          <w:tcPr>
            <w:tcW w:w="5670" w:type="dxa"/>
            <w:shd w:val="clear" w:color="auto" w:fill="auto"/>
          </w:tcPr>
          <w:p w14:paraId="4DCA2E1B" w14:textId="785EA34E" w:rsidR="007775A3" w:rsidRPr="00AB1DC6" w:rsidRDefault="007775A3" w:rsidP="00F43A73">
            <w:pPr>
              <w:jc w:val="both"/>
              <w:rPr>
                <w:rFonts w:ascii="Book Antiqua" w:hAnsi="Book Antiqua" w:cs="Arial"/>
                <w:b/>
              </w:rPr>
            </w:pPr>
            <w:r>
              <w:rPr>
                <w:rFonts w:ascii="Book Antiqua" w:hAnsi="Book Antiqua" w:cs="Arial"/>
                <w:b/>
              </w:rPr>
              <w:t>at Field House</w:t>
            </w:r>
            <w:r w:rsidR="00CB6141">
              <w:rPr>
                <w:rFonts w:ascii="Book Antiqua" w:hAnsi="Book Antiqua" w:cs="Arial"/>
                <w:b/>
              </w:rPr>
              <w:t xml:space="preserve"> on</w:t>
            </w:r>
          </w:p>
        </w:tc>
        <w:tc>
          <w:tcPr>
            <w:tcW w:w="3968" w:type="dxa"/>
            <w:shd w:val="clear" w:color="auto" w:fill="auto"/>
          </w:tcPr>
          <w:p w14:paraId="6057A34A" w14:textId="77777777" w:rsidR="007775A3" w:rsidRPr="00AB1DC6" w:rsidRDefault="007775A3" w:rsidP="00F43A73">
            <w:pPr>
              <w:jc w:val="both"/>
              <w:rPr>
                <w:rFonts w:ascii="Book Antiqua" w:hAnsi="Book Antiqua" w:cs="Arial"/>
                <w:b/>
                <w:color w:val="000000"/>
              </w:rPr>
            </w:pPr>
          </w:p>
        </w:tc>
      </w:tr>
      <w:tr w:rsidR="00F63500" w:rsidRPr="00AB1DC6" w14:paraId="38C3F4BB" w14:textId="77777777" w:rsidTr="0011401C">
        <w:tc>
          <w:tcPr>
            <w:tcW w:w="5670" w:type="dxa"/>
            <w:shd w:val="clear" w:color="auto" w:fill="auto"/>
          </w:tcPr>
          <w:p w14:paraId="3F798FB7" w14:textId="2A6673CE" w:rsidR="00F63500" w:rsidRPr="00AB1DC6" w:rsidRDefault="007775A3" w:rsidP="00F43A73">
            <w:pPr>
              <w:jc w:val="both"/>
              <w:rPr>
                <w:rFonts w:ascii="Book Antiqua" w:hAnsi="Book Antiqua" w:cs="Arial"/>
                <w:b/>
              </w:rPr>
            </w:pPr>
            <w:r>
              <w:rPr>
                <w:rFonts w:ascii="Book Antiqua" w:hAnsi="Book Antiqua" w:cs="Arial"/>
                <w:b/>
              </w:rPr>
              <w:t>29 July 2020 (V)</w:t>
            </w:r>
          </w:p>
        </w:tc>
        <w:tc>
          <w:tcPr>
            <w:tcW w:w="3968" w:type="dxa"/>
            <w:shd w:val="clear" w:color="auto" w:fill="auto"/>
          </w:tcPr>
          <w:p w14:paraId="358B36D9" w14:textId="58FD638A" w:rsidR="00F63500" w:rsidRPr="00AB1DC6" w:rsidRDefault="00934E2E" w:rsidP="00F43A73">
            <w:pPr>
              <w:jc w:val="both"/>
              <w:rPr>
                <w:rFonts w:ascii="Book Antiqua" w:hAnsi="Book Antiqua" w:cs="Arial"/>
                <w:b/>
              </w:rPr>
            </w:pPr>
            <w:r>
              <w:rPr>
                <w:rFonts w:ascii="Book Antiqua" w:hAnsi="Book Antiqua" w:cs="Arial"/>
                <w:b/>
              </w:rPr>
              <w:t>On 27 August 2020</w:t>
            </w:r>
          </w:p>
        </w:tc>
      </w:tr>
      <w:tr w:rsidR="00F63500" w:rsidRPr="00AB1DC6" w14:paraId="03925578" w14:textId="77777777" w:rsidTr="0011401C">
        <w:tc>
          <w:tcPr>
            <w:tcW w:w="5670" w:type="dxa"/>
            <w:shd w:val="clear" w:color="auto" w:fill="auto"/>
          </w:tcPr>
          <w:p w14:paraId="509071DD" w14:textId="77777777" w:rsidR="00F63500" w:rsidRPr="00AB1DC6" w:rsidRDefault="00F63500" w:rsidP="00F43A73">
            <w:pPr>
              <w:jc w:val="both"/>
              <w:rPr>
                <w:rFonts w:ascii="Book Antiqua" w:hAnsi="Book Antiqua" w:cs="Arial"/>
                <w:b/>
              </w:rPr>
            </w:pPr>
          </w:p>
        </w:tc>
        <w:tc>
          <w:tcPr>
            <w:tcW w:w="3968" w:type="dxa"/>
            <w:shd w:val="clear" w:color="auto" w:fill="auto"/>
          </w:tcPr>
          <w:p w14:paraId="506D1382" w14:textId="2926B4EC" w:rsidR="00F63500" w:rsidRPr="00AB1DC6" w:rsidRDefault="00F63500" w:rsidP="00F43A73">
            <w:pPr>
              <w:jc w:val="both"/>
              <w:rPr>
                <w:rFonts w:ascii="Book Antiqua" w:hAnsi="Book Antiqua" w:cs="Arial"/>
                <w:b/>
              </w:rPr>
            </w:pPr>
          </w:p>
        </w:tc>
      </w:tr>
    </w:tbl>
    <w:p w14:paraId="46EB7C28" w14:textId="77777777" w:rsidR="00F63500" w:rsidRPr="00F97703" w:rsidRDefault="00F63500" w:rsidP="00F63500">
      <w:pPr>
        <w:jc w:val="center"/>
        <w:rPr>
          <w:rFonts w:ascii="Book Antiqua" w:hAnsi="Book Antiqua" w:cs="Arial"/>
          <w:b/>
        </w:rPr>
      </w:pPr>
      <w:r w:rsidRPr="00F97703">
        <w:rPr>
          <w:rFonts w:ascii="Book Antiqua" w:hAnsi="Book Antiqua" w:cs="Arial"/>
          <w:b/>
        </w:rPr>
        <w:t>Before</w:t>
      </w:r>
    </w:p>
    <w:p w14:paraId="5306E4AB" w14:textId="77777777" w:rsidR="00F63500" w:rsidRDefault="00F63500" w:rsidP="00F63500">
      <w:pPr>
        <w:jc w:val="center"/>
        <w:rPr>
          <w:rFonts w:ascii="Book Antiqua" w:hAnsi="Book Antiqua" w:cs="Arial"/>
          <w:b/>
        </w:rPr>
      </w:pPr>
    </w:p>
    <w:p w14:paraId="4A7F61AA" w14:textId="77777777" w:rsidR="00F63500" w:rsidRPr="00F97703" w:rsidRDefault="00F63500" w:rsidP="00F63500">
      <w:pPr>
        <w:jc w:val="center"/>
        <w:rPr>
          <w:rFonts w:ascii="Book Antiqua" w:hAnsi="Book Antiqua" w:cs="Arial"/>
          <w:b/>
          <w:color w:val="000000"/>
        </w:rPr>
      </w:pPr>
      <w:r>
        <w:rPr>
          <w:rFonts w:ascii="Book Antiqua" w:hAnsi="Book Antiqua" w:cs="Arial"/>
          <w:b/>
          <w:color w:val="000000"/>
        </w:rPr>
        <w:t>UPPER TRIBUNAL JUDGE CANAVAN</w:t>
      </w:r>
    </w:p>
    <w:p w14:paraId="13D2A608" w14:textId="77777777" w:rsidR="00F63500" w:rsidRDefault="00F63500" w:rsidP="00F63500">
      <w:pPr>
        <w:jc w:val="center"/>
        <w:rPr>
          <w:rFonts w:ascii="Book Antiqua" w:hAnsi="Book Antiqua" w:cs="Arial"/>
          <w:b/>
        </w:rPr>
      </w:pPr>
    </w:p>
    <w:p w14:paraId="13382A45" w14:textId="77777777" w:rsidR="00F63500" w:rsidRPr="00F97703" w:rsidRDefault="00F63500" w:rsidP="00F63500">
      <w:pPr>
        <w:jc w:val="center"/>
        <w:rPr>
          <w:rFonts w:ascii="Book Antiqua" w:hAnsi="Book Antiqua" w:cs="Arial"/>
          <w:b/>
        </w:rPr>
      </w:pPr>
    </w:p>
    <w:p w14:paraId="6CBA56BB" w14:textId="77777777" w:rsidR="00F63500" w:rsidRDefault="00F63500" w:rsidP="00F63500">
      <w:pPr>
        <w:jc w:val="center"/>
        <w:rPr>
          <w:rFonts w:ascii="Book Antiqua" w:hAnsi="Book Antiqua" w:cs="Arial"/>
          <w:b/>
        </w:rPr>
      </w:pPr>
      <w:r w:rsidRPr="00F97703">
        <w:rPr>
          <w:rFonts w:ascii="Book Antiqua" w:hAnsi="Book Antiqua" w:cs="Arial"/>
          <w:b/>
        </w:rPr>
        <w:t>Between</w:t>
      </w:r>
    </w:p>
    <w:p w14:paraId="439E3094" w14:textId="77777777" w:rsidR="00F63500" w:rsidRDefault="00F63500" w:rsidP="00F63500">
      <w:pPr>
        <w:jc w:val="center"/>
        <w:rPr>
          <w:rFonts w:ascii="Book Antiqua" w:hAnsi="Book Antiqua" w:cs="Arial"/>
          <w:b/>
        </w:rPr>
      </w:pPr>
    </w:p>
    <w:p w14:paraId="26BA864B" w14:textId="05034986" w:rsidR="00F63500" w:rsidRDefault="00F63500" w:rsidP="00F63500">
      <w:pPr>
        <w:jc w:val="center"/>
        <w:rPr>
          <w:rFonts w:ascii="Book Antiqua" w:hAnsi="Book Antiqua" w:cs="Arial"/>
          <w:b/>
        </w:rPr>
      </w:pPr>
    </w:p>
    <w:p w14:paraId="6A284EBA" w14:textId="227891A4" w:rsidR="007775A3" w:rsidRDefault="007775A3" w:rsidP="00F63500">
      <w:pPr>
        <w:jc w:val="center"/>
        <w:rPr>
          <w:rFonts w:ascii="Book Antiqua" w:hAnsi="Book Antiqua" w:cs="Arial"/>
          <w:b/>
        </w:rPr>
      </w:pPr>
      <w:r>
        <w:rPr>
          <w:rFonts w:ascii="Book Antiqua" w:hAnsi="Book Antiqua" w:cs="Arial"/>
          <w:b/>
        </w:rPr>
        <w:t>D M</w:t>
      </w:r>
    </w:p>
    <w:p w14:paraId="1534E967" w14:textId="5AB72426" w:rsidR="00431BC2" w:rsidRPr="00431BC2" w:rsidRDefault="00431BC2" w:rsidP="00431BC2">
      <w:pPr>
        <w:jc w:val="center"/>
        <w:rPr>
          <w:rFonts w:ascii="Book Antiqua" w:hAnsi="Book Antiqua" w:cs="Arial"/>
        </w:rPr>
      </w:pPr>
      <w:r>
        <w:rPr>
          <w:rFonts w:ascii="Book Antiqua" w:hAnsi="Book Antiqua" w:cs="Arial"/>
          <w:b/>
        </w:rPr>
        <w:t xml:space="preserve">      </w:t>
      </w:r>
      <w:r w:rsidRPr="00431BC2">
        <w:rPr>
          <w:rFonts w:ascii="Book Antiqua" w:hAnsi="Book Antiqua" w:cs="Arial"/>
        </w:rPr>
        <w:t>(ANONYMITY DIRECTION MADE)</w:t>
      </w:r>
    </w:p>
    <w:p w14:paraId="1A17F725" w14:textId="77777777" w:rsidR="00F63500" w:rsidRDefault="00F63500" w:rsidP="00F63500">
      <w:pPr>
        <w:jc w:val="right"/>
        <w:rPr>
          <w:rFonts w:ascii="Book Antiqua" w:hAnsi="Book Antiqua" w:cs="Arial"/>
          <w:u w:val="single"/>
        </w:rPr>
      </w:pPr>
      <w:r w:rsidRPr="00F97703">
        <w:rPr>
          <w:rFonts w:ascii="Book Antiqua" w:hAnsi="Book Antiqua" w:cs="Arial"/>
          <w:u w:val="single"/>
        </w:rPr>
        <w:t>Appellant</w:t>
      </w:r>
    </w:p>
    <w:p w14:paraId="2471115F" w14:textId="77777777" w:rsidR="00F63500" w:rsidRPr="00F97703" w:rsidRDefault="00F63500" w:rsidP="00F63500">
      <w:pPr>
        <w:jc w:val="right"/>
        <w:rPr>
          <w:rFonts w:ascii="Book Antiqua" w:hAnsi="Book Antiqua" w:cs="Arial"/>
          <w:u w:val="single"/>
        </w:rPr>
      </w:pPr>
    </w:p>
    <w:p w14:paraId="20B43591" w14:textId="77777777" w:rsidR="00F63500" w:rsidRPr="00F97703" w:rsidRDefault="00F63500" w:rsidP="00F63500">
      <w:pPr>
        <w:jc w:val="center"/>
        <w:rPr>
          <w:rFonts w:ascii="Book Antiqua" w:hAnsi="Book Antiqua" w:cs="Arial"/>
          <w:b/>
        </w:rPr>
      </w:pPr>
      <w:r w:rsidRPr="00F97703">
        <w:rPr>
          <w:rFonts w:ascii="Book Antiqua" w:hAnsi="Book Antiqua" w:cs="Arial"/>
          <w:b/>
        </w:rPr>
        <w:t>and</w:t>
      </w:r>
    </w:p>
    <w:p w14:paraId="3C77BD2A" w14:textId="77777777" w:rsidR="00F63500" w:rsidRDefault="00F63500" w:rsidP="00F63500">
      <w:pPr>
        <w:jc w:val="center"/>
        <w:rPr>
          <w:rFonts w:ascii="Book Antiqua" w:hAnsi="Book Antiqua" w:cs="Arial"/>
          <w:b/>
        </w:rPr>
      </w:pPr>
    </w:p>
    <w:p w14:paraId="58A0C4A8" w14:textId="3EF2AA95" w:rsidR="00F63500" w:rsidRDefault="00F63500" w:rsidP="00F63500">
      <w:pPr>
        <w:jc w:val="center"/>
        <w:rPr>
          <w:rFonts w:ascii="Book Antiqua" w:hAnsi="Book Antiqua" w:cs="Arial"/>
          <w:b/>
        </w:rPr>
      </w:pPr>
    </w:p>
    <w:p w14:paraId="7E86FBBA" w14:textId="5792FAAC" w:rsidR="00431BC2" w:rsidRPr="00F97703" w:rsidRDefault="00431BC2" w:rsidP="00F63500">
      <w:pPr>
        <w:jc w:val="center"/>
        <w:rPr>
          <w:rFonts w:ascii="Book Antiqua" w:hAnsi="Book Antiqua" w:cs="Arial"/>
          <w:b/>
        </w:rPr>
      </w:pPr>
      <w:r>
        <w:rPr>
          <w:rFonts w:ascii="Book Antiqua" w:hAnsi="Book Antiqua" w:cs="Arial"/>
          <w:b/>
        </w:rPr>
        <w:t>THE SECRETARY OF STATE FOR THE HOME DEPARTMENT</w:t>
      </w:r>
    </w:p>
    <w:p w14:paraId="1F3DB548" w14:textId="77777777" w:rsidR="00F63500" w:rsidRPr="00F97703" w:rsidRDefault="00F63500" w:rsidP="00F63500">
      <w:pPr>
        <w:jc w:val="right"/>
        <w:rPr>
          <w:rFonts w:ascii="Book Antiqua" w:hAnsi="Book Antiqua" w:cs="Arial"/>
          <w:u w:val="single"/>
        </w:rPr>
      </w:pPr>
      <w:r w:rsidRPr="00F97703">
        <w:rPr>
          <w:rFonts w:ascii="Book Antiqua" w:hAnsi="Book Antiqua" w:cs="Arial"/>
          <w:u w:val="single"/>
        </w:rPr>
        <w:t>Respondent</w:t>
      </w:r>
    </w:p>
    <w:p w14:paraId="1D60508B" w14:textId="77777777" w:rsidR="00F63500" w:rsidRPr="00F97703" w:rsidRDefault="00F63500" w:rsidP="00F63500">
      <w:pPr>
        <w:rPr>
          <w:rFonts w:ascii="Book Antiqua" w:hAnsi="Book Antiqua" w:cs="Arial"/>
          <w:u w:val="single"/>
        </w:rPr>
      </w:pPr>
    </w:p>
    <w:p w14:paraId="4D3E2FF0" w14:textId="77777777" w:rsidR="00F63500" w:rsidRDefault="00F63500" w:rsidP="00F63500">
      <w:pPr>
        <w:tabs>
          <w:tab w:val="left" w:pos="2520"/>
        </w:tabs>
        <w:rPr>
          <w:rFonts w:ascii="Book Antiqua" w:hAnsi="Book Antiqua" w:cs="Arial"/>
          <w:b/>
          <w:sz w:val="20"/>
          <w:szCs w:val="20"/>
          <w:u w:val="single"/>
        </w:rPr>
      </w:pPr>
    </w:p>
    <w:p w14:paraId="65C1E539" w14:textId="77777777" w:rsidR="00F63500" w:rsidRPr="00010B88" w:rsidRDefault="00F63500" w:rsidP="00F63500">
      <w:pPr>
        <w:tabs>
          <w:tab w:val="left" w:pos="2520"/>
        </w:tabs>
        <w:rPr>
          <w:rFonts w:ascii="Book Antiqua" w:hAnsi="Book Antiqua" w:cs="Arial"/>
          <w:b/>
          <w:u w:val="single"/>
        </w:rPr>
      </w:pPr>
      <w:r w:rsidRPr="00010B88">
        <w:rPr>
          <w:rFonts w:ascii="Book Antiqua" w:hAnsi="Book Antiqua" w:cs="Arial"/>
          <w:b/>
          <w:u w:val="single"/>
        </w:rPr>
        <w:t>Anonymity</w:t>
      </w:r>
    </w:p>
    <w:p w14:paraId="5A83B025" w14:textId="77777777" w:rsidR="00F63500" w:rsidRPr="00010B88" w:rsidRDefault="00F63500" w:rsidP="00F63500">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14:paraId="09095FA0" w14:textId="0FBFB307" w:rsidR="00F63500" w:rsidRPr="00010B88" w:rsidRDefault="00F63500" w:rsidP="00F63500">
      <w:pPr>
        <w:widowControl w:val="0"/>
        <w:tabs>
          <w:tab w:val="left" w:pos="0"/>
        </w:tabs>
        <w:jc w:val="both"/>
        <w:rPr>
          <w:rFonts w:ascii="Book Antiqua" w:hAnsi="Book Antiqua" w:cs="Arial"/>
        </w:rPr>
      </w:pPr>
      <w:r w:rsidRPr="00010B88">
        <w:rPr>
          <w:rFonts w:ascii="Book Antiqua" w:hAnsi="Book Antiqua" w:cs="Arial"/>
        </w:rPr>
        <w:t xml:space="preserve">Anonymity was granted at an earlier stage of the proceedings because the case involves protection issues. I find that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w:t>
      </w:r>
    </w:p>
    <w:p w14:paraId="47A62AFB" w14:textId="77777777" w:rsidR="00F63500" w:rsidRDefault="00F63500" w:rsidP="00F63500">
      <w:pPr>
        <w:rPr>
          <w:rFonts w:ascii="Book Antiqua" w:hAnsi="Book Antiqua" w:cs="Arial"/>
          <w:u w:val="single"/>
        </w:rPr>
      </w:pPr>
    </w:p>
    <w:p w14:paraId="4CCBBF51" w14:textId="77777777" w:rsidR="00F63500" w:rsidRDefault="00F63500" w:rsidP="00F63500">
      <w:pPr>
        <w:rPr>
          <w:rFonts w:ascii="Book Antiqua" w:hAnsi="Book Antiqua" w:cs="Arial"/>
          <w:b/>
          <w:u w:val="single"/>
        </w:rPr>
      </w:pPr>
      <w:r w:rsidRPr="00405694">
        <w:rPr>
          <w:rFonts w:ascii="Book Antiqua" w:hAnsi="Book Antiqua" w:cs="Arial"/>
          <w:b/>
          <w:u w:val="single"/>
        </w:rPr>
        <w:t>Representation:</w:t>
      </w:r>
    </w:p>
    <w:p w14:paraId="3F7761FD" w14:textId="77777777" w:rsidR="00F63500" w:rsidRDefault="00F63500" w:rsidP="00F63500">
      <w:pPr>
        <w:rPr>
          <w:rFonts w:ascii="Book Antiqua" w:hAnsi="Book Antiqua" w:cs="Arial"/>
        </w:rPr>
      </w:pPr>
    </w:p>
    <w:p w14:paraId="61F6FF66" w14:textId="31DA9A79" w:rsidR="00F63500" w:rsidRDefault="00F63500" w:rsidP="00F63500">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7775A3">
        <w:rPr>
          <w:rFonts w:ascii="Book Antiqua" w:hAnsi="Book Antiqua" w:cs="Arial"/>
        </w:rPr>
        <w:t>Mr B. Bradshaw, instructed by IAS Lawyers</w:t>
      </w:r>
    </w:p>
    <w:p w14:paraId="5BB0D9C0" w14:textId="229D5FE6" w:rsidR="00F63500" w:rsidRDefault="00F63500" w:rsidP="00F63500">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7775A3">
        <w:rPr>
          <w:rFonts w:ascii="Book Antiqua" w:hAnsi="Book Antiqua" w:cs="Arial"/>
        </w:rPr>
        <w:t xml:space="preserve">Mr T. Melvin, Senior Home Office Presenting Officer </w:t>
      </w:r>
    </w:p>
    <w:p w14:paraId="1B789BB4" w14:textId="77777777" w:rsidR="00F63500" w:rsidRPr="00405694" w:rsidRDefault="00F63500" w:rsidP="00F63500">
      <w:pPr>
        <w:rPr>
          <w:rFonts w:ascii="Book Antiqua" w:hAnsi="Book Antiqua" w:cs="Arial"/>
        </w:rPr>
      </w:pPr>
    </w:p>
    <w:p w14:paraId="4D6A08B4" w14:textId="77777777" w:rsidR="00431BC2" w:rsidRDefault="00431BC2" w:rsidP="00F63500">
      <w:pPr>
        <w:tabs>
          <w:tab w:val="left" w:pos="2520"/>
        </w:tabs>
        <w:jc w:val="center"/>
        <w:rPr>
          <w:rFonts w:ascii="Book Antiqua" w:hAnsi="Book Antiqua" w:cs="Arial"/>
          <w:b/>
          <w:u w:val="single"/>
        </w:rPr>
      </w:pPr>
    </w:p>
    <w:p w14:paraId="6D8E2F7F" w14:textId="77777777" w:rsidR="00431BC2" w:rsidRDefault="00431BC2" w:rsidP="00F63500">
      <w:pPr>
        <w:tabs>
          <w:tab w:val="left" w:pos="2520"/>
        </w:tabs>
        <w:jc w:val="center"/>
        <w:rPr>
          <w:rFonts w:ascii="Book Antiqua" w:hAnsi="Book Antiqua" w:cs="Arial"/>
          <w:b/>
          <w:u w:val="single"/>
        </w:rPr>
      </w:pPr>
    </w:p>
    <w:p w14:paraId="7CFA06CD" w14:textId="77DCD2C1" w:rsidR="00F63500" w:rsidRDefault="00F63500" w:rsidP="00F6350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1EE3F271" w14:textId="77777777" w:rsidR="00F63500" w:rsidRDefault="00F63500" w:rsidP="00F63500">
      <w:pPr>
        <w:tabs>
          <w:tab w:val="left" w:pos="567"/>
        </w:tabs>
        <w:jc w:val="both"/>
        <w:rPr>
          <w:rFonts w:ascii="Book Antiqua" w:hAnsi="Book Antiqua" w:cs="Arial"/>
        </w:rPr>
      </w:pPr>
    </w:p>
    <w:p w14:paraId="67E0262E" w14:textId="77777777" w:rsidR="007775A3" w:rsidRDefault="007775A3" w:rsidP="007775A3">
      <w:pPr>
        <w:ind w:left="720" w:hanging="720"/>
        <w:jc w:val="both"/>
        <w:rPr>
          <w:rFonts w:ascii="Book Antiqua" w:hAnsi="Book Antiqua"/>
        </w:rPr>
      </w:pPr>
      <w:r>
        <w:rPr>
          <w:rFonts w:ascii="Book Antiqua" w:hAnsi="Book Antiqua" w:cs="Arial"/>
        </w:rPr>
        <w:t>1.</w:t>
      </w:r>
      <w:r>
        <w:rPr>
          <w:rFonts w:ascii="Book Antiqua" w:hAnsi="Book Antiqua" w:cs="Arial"/>
        </w:rPr>
        <w:tab/>
      </w:r>
      <w:r w:rsidRPr="00CA2514">
        <w:rPr>
          <w:rFonts w:ascii="Book Antiqua" w:hAnsi="Book Antiqua"/>
        </w:rPr>
        <w:t xml:space="preserve">The appellant appealed the respondent’s decision dated </w:t>
      </w:r>
      <w:r>
        <w:rPr>
          <w:rFonts w:ascii="Book Antiqua" w:hAnsi="Book Antiqua"/>
        </w:rPr>
        <w:t xml:space="preserve">18 October 2019 to refuse a protection and human rights claim. </w:t>
      </w:r>
    </w:p>
    <w:p w14:paraId="1D25A175" w14:textId="77777777" w:rsidR="007775A3" w:rsidRDefault="007775A3" w:rsidP="007775A3">
      <w:pPr>
        <w:jc w:val="both"/>
        <w:rPr>
          <w:rFonts w:ascii="Book Antiqua" w:hAnsi="Book Antiqua"/>
        </w:rPr>
      </w:pPr>
    </w:p>
    <w:p w14:paraId="47AFCAD0" w14:textId="0E38F217" w:rsidR="007775A3" w:rsidRDefault="007775A3" w:rsidP="007775A3">
      <w:pPr>
        <w:ind w:left="720" w:hanging="720"/>
        <w:jc w:val="both"/>
        <w:rPr>
          <w:rFonts w:ascii="Book Antiqua" w:hAnsi="Book Antiqua"/>
        </w:rPr>
      </w:pPr>
      <w:r>
        <w:rPr>
          <w:rFonts w:ascii="Book Antiqua" w:hAnsi="Book Antiqua"/>
        </w:rPr>
        <w:t>2.</w:t>
      </w:r>
      <w:r>
        <w:rPr>
          <w:rFonts w:ascii="Book Antiqua" w:hAnsi="Book Antiqua"/>
        </w:rPr>
        <w:tab/>
        <w:t xml:space="preserve">First-tier Tribunal Judge R. O’Hagan (“the judge”) dismissed the appeal in a decision promulgated on 22 January 2020. </w:t>
      </w:r>
      <w:r w:rsidR="009E089F">
        <w:rPr>
          <w:rFonts w:ascii="Book Antiqua" w:hAnsi="Book Antiqua"/>
        </w:rPr>
        <w:t xml:space="preserve">The judge set out the relevant legal framework and stated that he had </w:t>
      </w:r>
      <w:r w:rsidR="00BE1404">
        <w:rPr>
          <w:rFonts w:ascii="Book Antiqua" w:hAnsi="Book Antiqua"/>
        </w:rPr>
        <w:t>considered</w:t>
      </w:r>
      <w:r w:rsidR="009E089F">
        <w:rPr>
          <w:rFonts w:ascii="Book Antiqua" w:hAnsi="Book Antiqua"/>
        </w:rPr>
        <w:t xml:space="preserve"> the respondent’s CPIN reports and the country guidance decision in </w:t>
      </w:r>
      <w:r w:rsidR="009E089F" w:rsidRPr="009E089F">
        <w:rPr>
          <w:rFonts w:ascii="Book Antiqua" w:hAnsi="Book Antiqua"/>
          <w:i/>
          <w:iCs/>
        </w:rPr>
        <w:t>HB (Kurds) Iran CG</w:t>
      </w:r>
      <w:r w:rsidR="009E089F">
        <w:rPr>
          <w:rFonts w:ascii="Book Antiqua" w:hAnsi="Book Antiqua"/>
        </w:rPr>
        <w:t xml:space="preserve"> [2018] UKUT 00430 [32-37]. He accepted that the appellant’s broad account </w:t>
      </w:r>
      <w:r w:rsidR="00DF7744">
        <w:rPr>
          <w:rFonts w:ascii="Book Antiqua" w:hAnsi="Book Antiqua"/>
        </w:rPr>
        <w:t>as</w:t>
      </w:r>
      <w:r w:rsidR="009E089F">
        <w:rPr>
          <w:rFonts w:ascii="Book Antiqua" w:hAnsi="Book Antiqua"/>
        </w:rPr>
        <w:t xml:space="preserve"> </w:t>
      </w:r>
      <w:r w:rsidR="00DF7744" w:rsidRPr="00DF7744">
        <w:rPr>
          <w:rFonts w:ascii="Book Antiqua" w:hAnsi="Book Antiqua"/>
          <w:i/>
          <w:iCs/>
        </w:rPr>
        <w:t>“</w:t>
      </w:r>
      <w:r w:rsidR="009E089F" w:rsidRPr="00DF7744">
        <w:rPr>
          <w:rFonts w:ascii="Book Antiqua" w:hAnsi="Book Antiqua"/>
          <w:i/>
          <w:iCs/>
        </w:rPr>
        <w:t>of a kind that could possibly happen in Iran”</w:t>
      </w:r>
      <w:r w:rsidR="009E089F">
        <w:rPr>
          <w:rFonts w:ascii="Book Antiqua" w:hAnsi="Book Antiqua"/>
        </w:rPr>
        <w:t xml:space="preserve"> but then immediately qualified this finding</w:t>
      </w:r>
      <w:r w:rsidR="00BE1404">
        <w:rPr>
          <w:rFonts w:ascii="Book Antiqua" w:hAnsi="Book Antiqua"/>
        </w:rPr>
        <w:t xml:space="preserve"> </w:t>
      </w:r>
      <w:r w:rsidR="009E089F">
        <w:rPr>
          <w:rFonts w:ascii="Book Antiqua" w:hAnsi="Book Antiqua"/>
        </w:rPr>
        <w:t xml:space="preserve">by stating: </w:t>
      </w:r>
      <w:r w:rsidR="009E089F" w:rsidRPr="009D14E3">
        <w:rPr>
          <w:rFonts w:ascii="Book Antiqua" w:hAnsi="Book Antiqua"/>
          <w:i/>
          <w:iCs/>
        </w:rPr>
        <w:t>“it is my experience that fabricated claims are usually shrouded in truth. By that, I mean that people seeking to present a fabricated claim usually base their falsehoods on the kinds of things that do happen within the country from which they come.”</w:t>
      </w:r>
      <w:r w:rsidR="009E089F">
        <w:rPr>
          <w:rFonts w:ascii="Book Antiqua" w:hAnsi="Book Antiqua"/>
        </w:rPr>
        <w:t xml:space="preserve"> [38]. The judge reminded himself that the appellant was a minor at the dates when the events occurred and that the appellant is also illiterate [39]. He noted that there was no documentary evidence from family members in Iran but placed no weight on this one way or the other [40]. </w:t>
      </w:r>
    </w:p>
    <w:p w14:paraId="15C34740" w14:textId="7F912755" w:rsidR="009E089F" w:rsidRDefault="009E089F" w:rsidP="007775A3">
      <w:pPr>
        <w:ind w:left="720" w:hanging="720"/>
        <w:jc w:val="both"/>
        <w:rPr>
          <w:rFonts w:ascii="Book Antiqua" w:hAnsi="Book Antiqua"/>
        </w:rPr>
      </w:pPr>
    </w:p>
    <w:p w14:paraId="7E9ED3D9" w14:textId="1BE64F72" w:rsidR="009E089F" w:rsidRDefault="009E089F" w:rsidP="007775A3">
      <w:pPr>
        <w:ind w:left="720" w:hanging="720"/>
        <w:jc w:val="both"/>
        <w:rPr>
          <w:rFonts w:ascii="Book Antiqua" w:hAnsi="Book Antiqua"/>
        </w:rPr>
      </w:pPr>
      <w:r>
        <w:rPr>
          <w:rFonts w:ascii="Book Antiqua" w:hAnsi="Book Antiqua"/>
        </w:rPr>
        <w:t>3.</w:t>
      </w:r>
      <w:r>
        <w:rPr>
          <w:rFonts w:ascii="Book Antiqua" w:hAnsi="Book Antiqua"/>
        </w:rPr>
        <w:tab/>
        <w:t xml:space="preserve">The judge accepted that it was not </w:t>
      </w:r>
      <w:r w:rsidR="00D95012" w:rsidRPr="007D10B5">
        <w:rPr>
          <w:rFonts w:ascii="Book Antiqua" w:hAnsi="Book Antiqua"/>
          <w:i/>
          <w:iCs/>
        </w:rPr>
        <w:t>“</w:t>
      </w:r>
      <w:r w:rsidRPr="007D10B5">
        <w:rPr>
          <w:rFonts w:ascii="Book Antiqua" w:hAnsi="Book Antiqua"/>
          <w:i/>
          <w:iCs/>
        </w:rPr>
        <w:t>inherently incredible</w:t>
      </w:r>
      <w:r w:rsidR="00D95012" w:rsidRPr="007D10B5">
        <w:rPr>
          <w:rFonts w:ascii="Book Antiqua" w:hAnsi="Book Antiqua"/>
          <w:i/>
          <w:iCs/>
        </w:rPr>
        <w:t>”</w:t>
      </w:r>
      <w:r>
        <w:rPr>
          <w:rFonts w:ascii="Book Antiqua" w:hAnsi="Book Antiqua"/>
        </w:rPr>
        <w:t xml:space="preserve"> that a </w:t>
      </w:r>
      <w:r w:rsidR="00D95012">
        <w:rPr>
          <w:rFonts w:ascii="Book Antiqua" w:hAnsi="Book Antiqua"/>
        </w:rPr>
        <w:t>16-year-old</w:t>
      </w:r>
      <w:r>
        <w:rPr>
          <w:rFonts w:ascii="Book Antiqua" w:hAnsi="Book Antiqua"/>
        </w:rPr>
        <w:t xml:space="preserve"> Kurdish boy might be sympathetic to the aims of the </w:t>
      </w:r>
      <w:r w:rsidR="00D95012">
        <w:rPr>
          <w:rFonts w:ascii="Book Antiqua" w:hAnsi="Book Antiqua"/>
        </w:rPr>
        <w:t>K</w:t>
      </w:r>
      <w:r>
        <w:rPr>
          <w:rFonts w:ascii="Book Antiqua" w:hAnsi="Book Antiqua"/>
        </w:rPr>
        <w:t>DPI</w:t>
      </w:r>
      <w:r w:rsidR="00D95012">
        <w:rPr>
          <w:rFonts w:ascii="Book Antiqua" w:hAnsi="Book Antiqua"/>
        </w:rPr>
        <w:t>, particularly if he had family members with KDPI links. He found it less credible that the KDPI would permit him to assist the organisation. He appeared to come to this conclusion because the background evidence indicated that the KDPI does not permit people who were under 18 years old to join [41</w:t>
      </w:r>
      <w:r w:rsidR="00DF7744">
        <w:rPr>
          <w:rFonts w:ascii="Book Antiqua" w:hAnsi="Book Antiqua"/>
        </w:rPr>
        <w:t>]</w:t>
      </w:r>
      <w:r w:rsidR="00BE1404">
        <w:rPr>
          <w:rFonts w:ascii="Book Antiqua" w:hAnsi="Book Antiqua"/>
        </w:rPr>
        <w:t xml:space="preserve">. The judge went on to make observations as to whether it was plausible that the KDPI would allow the appellant to undertake the kind of </w:t>
      </w:r>
      <w:r w:rsidR="00DF7744">
        <w:rPr>
          <w:rFonts w:ascii="Book Antiqua" w:hAnsi="Book Antiqua"/>
        </w:rPr>
        <w:t>low-level</w:t>
      </w:r>
      <w:r w:rsidR="00BE1404">
        <w:rPr>
          <w:rFonts w:ascii="Book Antiqua" w:hAnsi="Book Antiqua"/>
        </w:rPr>
        <w:t xml:space="preserve"> activities he described (delivering leaflets)</w:t>
      </w:r>
      <w:r w:rsidR="00DF7744">
        <w:rPr>
          <w:rFonts w:ascii="Book Antiqua" w:hAnsi="Book Antiqua"/>
        </w:rPr>
        <w:t xml:space="preserve">. He </w:t>
      </w:r>
      <w:r w:rsidR="00BE1404">
        <w:rPr>
          <w:rFonts w:ascii="Book Antiqua" w:hAnsi="Book Antiqua"/>
        </w:rPr>
        <w:t xml:space="preserve">repeated his conclusion that it was unlikely because the KDPI restricted membership to those that were 18 years old or over [42]. </w:t>
      </w:r>
    </w:p>
    <w:p w14:paraId="1C80EE27" w14:textId="193D17D3" w:rsidR="00BE1404" w:rsidRDefault="00BE1404" w:rsidP="007775A3">
      <w:pPr>
        <w:ind w:left="720" w:hanging="720"/>
        <w:jc w:val="both"/>
        <w:rPr>
          <w:rFonts w:ascii="Book Antiqua" w:hAnsi="Book Antiqua"/>
        </w:rPr>
      </w:pPr>
    </w:p>
    <w:p w14:paraId="57C7C255" w14:textId="04F60181" w:rsidR="00BE1404" w:rsidRDefault="00BE1404" w:rsidP="007775A3">
      <w:pPr>
        <w:ind w:left="720" w:hanging="720"/>
        <w:jc w:val="both"/>
        <w:rPr>
          <w:rFonts w:ascii="Book Antiqua" w:hAnsi="Book Antiqua"/>
        </w:rPr>
      </w:pPr>
      <w:r>
        <w:rPr>
          <w:rFonts w:ascii="Book Antiqua" w:hAnsi="Book Antiqua"/>
        </w:rPr>
        <w:t>4.</w:t>
      </w:r>
      <w:r>
        <w:rPr>
          <w:rFonts w:ascii="Book Antiqua" w:hAnsi="Book Antiqua"/>
        </w:rPr>
        <w:tab/>
        <w:t xml:space="preserve">The judge found </w:t>
      </w:r>
      <w:r w:rsidR="009B3AF0">
        <w:rPr>
          <w:rFonts w:ascii="Book Antiqua" w:hAnsi="Book Antiqua"/>
        </w:rPr>
        <w:t xml:space="preserve">an inconsistency in the appellant’s evidence as to whether he questioned the KDPI about the content of the leaflets [43]. At [44] the judge accepted that an idealistic young person might want to assist the KDPI despite the risks involved, but did not find it credible that the appellant would not want to know the content of the leaflets if he was going to take </w:t>
      </w:r>
      <w:r w:rsidR="009D14E3">
        <w:rPr>
          <w:rFonts w:ascii="Book Antiqua" w:hAnsi="Book Antiqua"/>
        </w:rPr>
        <w:t>that</w:t>
      </w:r>
      <w:r w:rsidR="009B3AF0">
        <w:rPr>
          <w:rFonts w:ascii="Book Antiqua" w:hAnsi="Book Antiqua"/>
        </w:rPr>
        <w:t xml:space="preserve"> risk. The judge concluded</w:t>
      </w:r>
      <w:r w:rsidR="009B3AF0" w:rsidRPr="009D14E3">
        <w:rPr>
          <w:rFonts w:ascii="Book Antiqua" w:hAnsi="Book Antiqua"/>
          <w:i/>
          <w:iCs/>
        </w:rPr>
        <w:t xml:space="preserve">: “Even if his lack of literacy meant that he could not personally read the leaflets, </w:t>
      </w:r>
      <w:r w:rsidR="009B3AF0" w:rsidRPr="009D14E3">
        <w:rPr>
          <w:rFonts w:ascii="Book Antiqua" w:hAnsi="Book Antiqua"/>
          <w:i/>
          <w:iCs/>
          <w:u w:val="single"/>
        </w:rPr>
        <w:t>I would have expected him</w:t>
      </w:r>
      <w:r w:rsidR="009B3AF0" w:rsidRPr="009D14E3">
        <w:rPr>
          <w:rFonts w:ascii="Book Antiqua" w:hAnsi="Book Antiqua"/>
          <w:i/>
          <w:iCs/>
        </w:rPr>
        <w:t xml:space="preserve"> to want a better answer than the one he says he received from his friend when he asked him.”</w:t>
      </w:r>
      <w:r w:rsidR="009B3AF0">
        <w:rPr>
          <w:rFonts w:ascii="Book Antiqua" w:hAnsi="Book Antiqua"/>
        </w:rPr>
        <w:t xml:space="preserve"> [emphasis added]. </w:t>
      </w:r>
      <w:r>
        <w:rPr>
          <w:rFonts w:ascii="Book Antiqua" w:hAnsi="Book Antiqua"/>
        </w:rPr>
        <w:t xml:space="preserve"> </w:t>
      </w:r>
      <w:r w:rsidR="00526453">
        <w:rPr>
          <w:rFonts w:ascii="Book Antiqua" w:hAnsi="Book Antiqua"/>
        </w:rPr>
        <w:t xml:space="preserve">The judge placed little weight on the fact that the appellant was imprecise about the date of his arrest given that he is illiterate and </w:t>
      </w:r>
      <w:r w:rsidR="005879C1">
        <w:rPr>
          <w:rFonts w:ascii="Book Antiqua" w:hAnsi="Book Antiqua"/>
        </w:rPr>
        <w:t>is u</w:t>
      </w:r>
      <w:r w:rsidR="00526453">
        <w:rPr>
          <w:rFonts w:ascii="Book Antiqua" w:hAnsi="Book Antiqua"/>
        </w:rPr>
        <w:t xml:space="preserve">nlikely to attach as much weight to dates as a literate person [45]. </w:t>
      </w:r>
      <w:r w:rsidR="009D14E3">
        <w:rPr>
          <w:rFonts w:ascii="Book Antiqua" w:hAnsi="Book Antiqua"/>
        </w:rPr>
        <w:t xml:space="preserve">The judge did not agree with the respondent’s assertion that it was not credible that the Iranian authorities would have released him in light of the evidence to show that the authorities are </w:t>
      </w:r>
      <w:r w:rsidR="009D14E3" w:rsidRPr="005879C1">
        <w:rPr>
          <w:rFonts w:ascii="Book Antiqua" w:hAnsi="Book Antiqua"/>
          <w:i/>
          <w:iCs/>
        </w:rPr>
        <w:t>“suspicious of Kurdish political activities aligned to their tendency to react in extreme ways where such activity is identified”</w:t>
      </w:r>
      <w:r w:rsidR="009D14E3">
        <w:rPr>
          <w:rFonts w:ascii="Book Antiqua" w:hAnsi="Book Antiqua"/>
        </w:rPr>
        <w:t xml:space="preserve">. His reasons for disagreeing </w:t>
      </w:r>
      <w:r w:rsidR="005879C1">
        <w:rPr>
          <w:rFonts w:ascii="Book Antiqua" w:hAnsi="Book Antiqua"/>
        </w:rPr>
        <w:t>are</w:t>
      </w:r>
      <w:r w:rsidR="009D14E3">
        <w:rPr>
          <w:rFonts w:ascii="Book Antiqua" w:hAnsi="Book Antiqua"/>
        </w:rPr>
        <w:t xml:space="preserve"> somewhat unclear, but he noted that the objective evidence showed that the authorities had </w:t>
      </w:r>
      <w:r w:rsidR="005879C1">
        <w:rPr>
          <w:rFonts w:ascii="Book Antiqua" w:hAnsi="Book Antiqua"/>
        </w:rPr>
        <w:t xml:space="preserve">a </w:t>
      </w:r>
      <w:r w:rsidR="005879C1" w:rsidRPr="005879C1">
        <w:rPr>
          <w:rFonts w:ascii="Book Antiqua" w:hAnsi="Book Antiqua"/>
          <w:i/>
          <w:iCs/>
        </w:rPr>
        <w:t xml:space="preserve">“tendency to behave in ways that are arbitrary and unpredictable. In the context of a regime that behaves in such a </w:t>
      </w:r>
      <w:r w:rsidR="005879C1" w:rsidRPr="005879C1">
        <w:rPr>
          <w:rFonts w:ascii="Book Antiqua" w:hAnsi="Book Antiqua"/>
          <w:i/>
          <w:iCs/>
        </w:rPr>
        <w:lastRenderedPageBreak/>
        <w:t>way, it is difficult to say that either random acts of brutality or of clemency lie outside the parameters of what is credible.”</w:t>
      </w:r>
      <w:r w:rsidR="005879C1">
        <w:rPr>
          <w:rFonts w:ascii="Book Antiqua" w:hAnsi="Book Antiqua"/>
        </w:rPr>
        <w:t xml:space="preserve"> [46]. </w:t>
      </w:r>
    </w:p>
    <w:p w14:paraId="4239E347" w14:textId="41D0F1C9" w:rsidR="005879C1" w:rsidRDefault="005879C1" w:rsidP="007775A3">
      <w:pPr>
        <w:ind w:left="720" w:hanging="720"/>
        <w:jc w:val="both"/>
        <w:rPr>
          <w:rFonts w:ascii="Book Antiqua" w:hAnsi="Book Antiqua"/>
        </w:rPr>
      </w:pPr>
    </w:p>
    <w:p w14:paraId="07D88171" w14:textId="6D8286FA" w:rsidR="005879C1" w:rsidRDefault="005879C1" w:rsidP="007775A3">
      <w:pPr>
        <w:ind w:left="720" w:hanging="720"/>
        <w:jc w:val="both"/>
        <w:rPr>
          <w:rFonts w:ascii="Book Antiqua" w:hAnsi="Book Antiqua"/>
        </w:rPr>
      </w:pPr>
      <w:r>
        <w:rPr>
          <w:rFonts w:ascii="Book Antiqua" w:hAnsi="Book Antiqua"/>
        </w:rPr>
        <w:t>5.</w:t>
      </w:r>
      <w:r>
        <w:rPr>
          <w:rFonts w:ascii="Book Antiqua" w:hAnsi="Book Antiqua"/>
        </w:rPr>
        <w:tab/>
      </w:r>
      <w:r w:rsidR="002B1163">
        <w:rPr>
          <w:rFonts w:ascii="Book Antiqua" w:hAnsi="Book Antiqua"/>
        </w:rPr>
        <w:t xml:space="preserve">The judge went on to find that the </w:t>
      </w:r>
      <w:r w:rsidR="002B1163" w:rsidRPr="007D10B5">
        <w:rPr>
          <w:rFonts w:ascii="Book Antiqua" w:hAnsi="Book Antiqua"/>
          <w:i/>
          <w:iCs/>
        </w:rPr>
        <w:t>“main difficulty”</w:t>
      </w:r>
      <w:r w:rsidR="002B1163">
        <w:rPr>
          <w:rFonts w:ascii="Book Antiqua" w:hAnsi="Book Antiqua"/>
        </w:rPr>
        <w:t xml:space="preserve"> with the appellant’s core account of arrest and detention was that he had been inconsistent as to whether he was mistreated in detention or not. The Home Office Presenting Officer pointed out that he did not mention being ill-treated during his interview. He said that he was not asked about </w:t>
      </w:r>
      <w:r w:rsidR="00DF7744">
        <w:rPr>
          <w:rFonts w:ascii="Book Antiqua" w:hAnsi="Book Antiqua"/>
        </w:rPr>
        <w:t>t</w:t>
      </w:r>
      <w:r w:rsidR="002B1163">
        <w:rPr>
          <w:rFonts w:ascii="Book Antiqua" w:hAnsi="Book Antiqua"/>
        </w:rPr>
        <w:t xml:space="preserve">he details of his detention, but the judge found that this was a weak explanation given that he did not highlight any ill-treatment in his witness statement either. He did not find it credible that such an important detail would not have been mentioned if his account was true [47]. </w:t>
      </w:r>
    </w:p>
    <w:p w14:paraId="3E046814" w14:textId="3274797C" w:rsidR="007775A3" w:rsidRDefault="007775A3" w:rsidP="007775A3">
      <w:pPr>
        <w:jc w:val="both"/>
        <w:rPr>
          <w:rFonts w:ascii="Book Antiqua" w:hAnsi="Book Antiqua"/>
        </w:rPr>
      </w:pPr>
    </w:p>
    <w:p w14:paraId="4A198AED" w14:textId="206D112C" w:rsidR="007775A3" w:rsidRDefault="002B1163" w:rsidP="008C43D8">
      <w:pPr>
        <w:ind w:left="720" w:hanging="720"/>
        <w:jc w:val="both"/>
        <w:rPr>
          <w:rFonts w:ascii="Book Antiqua" w:hAnsi="Book Antiqua"/>
        </w:rPr>
      </w:pPr>
      <w:r>
        <w:rPr>
          <w:rFonts w:ascii="Book Antiqua" w:hAnsi="Book Antiqua"/>
        </w:rPr>
        <w:t>6.</w:t>
      </w:r>
      <w:r>
        <w:rPr>
          <w:rFonts w:ascii="Book Antiqua" w:hAnsi="Book Antiqua"/>
        </w:rPr>
        <w:tab/>
      </w:r>
      <w:r w:rsidR="008C43D8">
        <w:rPr>
          <w:rFonts w:ascii="Book Antiqua" w:hAnsi="Book Antiqua"/>
        </w:rPr>
        <w:t xml:space="preserve">The judge rejected the appellant’s </w:t>
      </w:r>
      <w:r w:rsidR="00C83C6A">
        <w:rPr>
          <w:rFonts w:ascii="Book Antiqua" w:hAnsi="Book Antiqua"/>
        </w:rPr>
        <w:t>claim that he resumed</w:t>
      </w:r>
      <w:r w:rsidR="008C43D8">
        <w:rPr>
          <w:rFonts w:ascii="Book Antiqua" w:hAnsi="Book Antiqua"/>
        </w:rPr>
        <w:t xml:space="preserve"> activities some months after his release from detention on the ground that it was not plausible that he, or the KDPI,</w:t>
      </w:r>
      <w:r w:rsidR="00C83C6A">
        <w:rPr>
          <w:rFonts w:ascii="Book Antiqua" w:hAnsi="Book Antiqua"/>
        </w:rPr>
        <w:t xml:space="preserve"> would let him take </w:t>
      </w:r>
      <w:r w:rsidR="00DF7744">
        <w:rPr>
          <w:rFonts w:ascii="Book Antiqua" w:hAnsi="Book Antiqua"/>
        </w:rPr>
        <w:t>further risks</w:t>
      </w:r>
      <w:r w:rsidR="008C43D8">
        <w:rPr>
          <w:rFonts w:ascii="Book Antiqua" w:hAnsi="Book Antiqua"/>
        </w:rPr>
        <w:t xml:space="preserve">. The judge found that </w:t>
      </w:r>
      <w:r w:rsidR="008C43D8" w:rsidRPr="008C43D8">
        <w:rPr>
          <w:rFonts w:ascii="Book Antiqua" w:hAnsi="Book Antiqua"/>
          <w:i/>
          <w:iCs/>
        </w:rPr>
        <w:t>“to return to leafleting after those experience goes beyond what might be described as the usual impetuosity of youth, and it requires a greater level of explanation”</w:t>
      </w:r>
      <w:r w:rsidR="008C43D8">
        <w:rPr>
          <w:rFonts w:ascii="Book Antiqua" w:hAnsi="Book Antiqua"/>
        </w:rPr>
        <w:t xml:space="preserve"> [48]. He also found it </w:t>
      </w:r>
      <w:r w:rsidR="008C43D8" w:rsidRPr="008C43D8">
        <w:rPr>
          <w:rFonts w:ascii="Book Antiqua" w:hAnsi="Book Antiqua"/>
          <w:i/>
          <w:iCs/>
        </w:rPr>
        <w:t>“lacking in credibility that the KDPI and [his uncle</w:t>
      </w:r>
      <w:r w:rsidR="00C83C6A">
        <w:rPr>
          <w:rFonts w:ascii="Book Antiqua" w:hAnsi="Book Antiqua"/>
          <w:i/>
          <w:iCs/>
        </w:rPr>
        <w:t xml:space="preserve"> J</w:t>
      </w:r>
      <w:r w:rsidR="008C43D8" w:rsidRPr="008C43D8">
        <w:rPr>
          <w:rFonts w:ascii="Book Antiqua" w:hAnsi="Book Antiqua"/>
          <w:i/>
          <w:iCs/>
        </w:rPr>
        <w:t>] would have allowed him to resume, and that [his uncle J] would not have discussed the matter with his [uncle A] given the potential risk not only to the appellant but to other family members.”</w:t>
      </w:r>
      <w:r w:rsidR="008C43D8">
        <w:rPr>
          <w:rFonts w:ascii="Book Antiqua" w:hAnsi="Book Antiqua"/>
        </w:rPr>
        <w:t xml:space="preserve"> [49]. </w:t>
      </w:r>
    </w:p>
    <w:p w14:paraId="7C65D8ED" w14:textId="6A3FE405" w:rsidR="008C43D8" w:rsidRDefault="008C43D8" w:rsidP="008C43D8">
      <w:pPr>
        <w:ind w:left="720" w:hanging="720"/>
        <w:jc w:val="both"/>
        <w:rPr>
          <w:rFonts w:ascii="Book Antiqua" w:hAnsi="Book Antiqua"/>
        </w:rPr>
      </w:pPr>
    </w:p>
    <w:p w14:paraId="301B919F" w14:textId="67C44E8A" w:rsidR="008C43D8" w:rsidRDefault="008C43D8" w:rsidP="008C43D8">
      <w:pPr>
        <w:ind w:left="720" w:hanging="720"/>
        <w:jc w:val="both"/>
        <w:rPr>
          <w:rFonts w:ascii="Book Antiqua" w:hAnsi="Book Antiqua"/>
        </w:rPr>
      </w:pPr>
      <w:r>
        <w:rPr>
          <w:rFonts w:ascii="Book Antiqua" w:hAnsi="Book Antiqua"/>
        </w:rPr>
        <w:t>7.</w:t>
      </w:r>
      <w:r>
        <w:rPr>
          <w:rFonts w:ascii="Book Antiqua" w:hAnsi="Book Antiqua"/>
        </w:rPr>
        <w:tab/>
      </w:r>
      <w:r w:rsidR="00C83C6A">
        <w:rPr>
          <w:rFonts w:ascii="Book Antiqua" w:hAnsi="Book Antiqua"/>
        </w:rPr>
        <w:t xml:space="preserve">The judge found it implausible that the appellant would be active on Facebook if he was illiterate and/or that </w:t>
      </w:r>
      <w:r w:rsidR="00C83C6A" w:rsidRPr="00C83C6A">
        <w:rPr>
          <w:rFonts w:ascii="Book Antiqua" w:hAnsi="Book Antiqua"/>
          <w:i/>
          <w:iCs/>
        </w:rPr>
        <w:t>“a genuine activist would expose himself in such a way.”</w:t>
      </w:r>
      <w:r w:rsidR="00C83C6A">
        <w:rPr>
          <w:rFonts w:ascii="Book Antiqua" w:hAnsi="Book Antiqua"/>
        </w:rPr>
        <w:t xml:space="preserve"> [50-52]. He considered the evidence relating to the appellant’s attendance at demonstrations outside the Iranian embassy but concluded that there was only evidence to show that he might have attended one demonstration [53-54]. The judge went on to consider whether, even if his activities in the UK were undertaken in a cynical way, </w:t>
      </w:r>
      <w:r w:rsidR="00032A18">
        <w:rPr>
          <w:rFonts w:ascii="Book Antiqua" w:hAnsi="Book Antiqua"/>
        </w:rPr>
        <w:t xml:space="preserve">he would be at risk on return to Iran. </w:t>
      </w:r>
      <w:r w:rsidR="00F062FF">
        <w:rPr>
          <w:rFonts w:ascii="Book Antiqua" w:hAnsi="Book Antiqua"/>
        </w:rPr>
        <w:t xml:space="preserve">He asked himself whether there was a </w:t>
      </w:r>
      <w:r w:rsidR="00F062FF" w:rsidRPr="007D10B5">
        <w:rPr>
          <w:rFonts w:ascii="Book Antiqua" w:hAnsi="Book Antiqua"/>
          <w:i/>
          <w:iCs/>
        </w:rPr>
        <w:t>“realistic possibility”</w:t>
      </w:r>
      <w:r w:rsidR="00F062FF">
        <w:rPr>
          <w:rFonts w:ascii="Book Antiqua" w:hAnsi="Book Antiqua"/>
        </w:rPr>
        <w:t xml:space="preserve"> of the appellant’s activities coming to the attention of the Iranian authorities</w:t>
      </w:r>
      <w:r w:rsidR="005010DF">
        <w:rPr>
          <w:rFonts w:ascii="Book Antiqua" w:hAnsi="Book Antiqua"/>
        </w:rPr>
        <w:t xml:space="preserve">. The judge accepted that there is a </w:t>
      </w:r>
      <w:r w:rsidR="005010DF" w:rsidRPr="007D10B5">
        <w:rPr>
          <w:rFonts w:ascii="Book Antiqua" w:hAnsi="Book Antiqua"/>
          <w:i/>
          <w:iCs/>
        </w:rPr>
        <w:t>“real possibility”</w:t>
      </w:r>
      <w:r w:rsidR="005010DF">
        <w:rPr>
          <w:rFonts w:ascii="Book Antiqua" w:hAnsi="Book Antiqua"/>
        </w:rPr>
        <w:t xml:space="preserve"> that the Iranian authorities might monitor such activity and proceeded to assess risk on return on the basis that those activities would become known to the authorities [61(i)]. In considering whether the appellant should be expected to lie to the Iranian authorities about his activities if returned</w:t>
      </w:r>
      <w:r w:rsidR="00CB6141">
        <w:rPr>
          <w:rFonts w:ascii="Book Antiqua" w:hAnsi="Book Antiqua"/>
        </w:rPr>
        <w:t>,</w:t>
      </w:r>
      <w:r w:rsidR="005010DF">
        <w:rPr>
          <w:rFonts w:ascii="Book Antiqua" w:hAnsi="Book Antiqua"/>
        </w:rPr>
        <w:t xml:space="preserve"> he found that it was </w:t>
      </w:r>
      <w:r w:rsidR="005010DF" w:rsidRPr="00CB6141">
        <w:rPr>
          <w:rFonts w:ascii="Book Antiqua" w:hAnsi="Book Antiqua"/>
          <w:i/>
          <w:iCs/>
        </w:rPr>
        <w:t>“sensible to suppose that he would lie and dissemble as freely in Iran as he has in this country.”</w:t>
      </w:r>
      <w:r w:rsidR="005010DF">
        <w:rPr>
          <w:rFonts w:ascii="Book Antiqua" w:hAnsi="Book Antiqua"/>
        </w:rPr>
        <w:t xml:space="preserve"> He concluded that it would be reasonable to expect him to do so because his political convictions were not genuine [61(iii)]. He went on to say </w:t>
      </w:r>
      <w:r w:rsidR="005010DF" w:rsidRPr="00CB6141">
        <w:rPr>
          <w:rFonts w:ascii="Book Antiqua" w:hAnsi="Book Antiqua"/>
          <w:i/>
          <w:iCs/>
        </w:rPr>
        <w:t>“</w:t>
      </w:r>
      <w:r w:rsidR="005010DF" w:rsidRPr="00CB6141">
        <w:rPr>
          <w:rFonts w:ascii="Book Antiqua" w:hAnsi="Book Antiqua"/>
          <w:i/>
          <w:iCs/>
          <w:u w:val="single"/>
        </w:rPr>
        <w:t>I think</w:t>
      </w:r>
      <w:r w:rsidR="005010DF" w:rsidRPr="00CB6141">
        <w:rPr>
          <w:rFonts w:ascii="Book Antiqua" w:hAnsi="Book Antiqua"/>
          <w:i/>
          <w:iCs/>
        </w:rPr>
        <w:t xml:space="preserve"> it likely that the opportunistic nature of those activities would be apparent in Iran</w:t>
      </w:r>
      <w:r w:rsidR="00CB6141">
        <w:rPr>
          <w:rFonts w:ascii="Book Antiqua" w:hAnsi="Book Antiqua"/>
          <w:i/>
          <w:iCs/>
        </w:rPr>
        <w:t>. … His activity in this country has been recent and limited, and amounts to no more than that which was done to bolster a claim.</w:t>
      </w:r>
      <w:r w:rsidR="005010DF" w:rsidRPr="00CB6141">
        <w:rPr>
          <w:rFonts w:ascii="Book Antiqua" w:hAnsi="Book Antiqua"/>
          <w:i/>
          <w:iCs/>
        </w:rPr>
        <w:t>”</w:t>
      </w:r>
      <w:r w:rsidR="005010DF">
        <w:rPr>
          <w:rFonts w:ascii="Book Antiqua" w:hAnsi="Book Antiqua"/>
        </w:rPr>
        <w:t xml:space="preserve"> [61(iv)]. </w:t>
      </w:r>
    </w:p>
    <w:p w14:paraId="6B6A8150" w14:textId="7105F8A5" w:rsidR="008C43D8" w:rsidRDefault="008C43D8" w:rsidP="007775A3">
      <w:pPr>
        <w:jc w:val="both"/>
        <w:rPr>
          <w:rFonts w:ascii="Book Antiqua" w:hAnsi="Book Antiqua"/>
        </w:rPr>
      </w:pPr>
    </w:p>
    <w:p w14:paraId="66D7A1DD" w14:textId="17A21F95" w:rsidR="00CB6141" w:rsidRDefault="00CB6141" w:rsidP="00CB6141">
      <w:pPr>
        <w:ind w:left="720" w:hanging="720"/>
        <w:jc w:val="both"/>
        <w:rPr>
          <w:rFonts w:ascii="Book Antiqua" w:hAnsi="Book Antiqua"/>
        </w:rPr>
      </w:pPr>
      <w:r>
        <w:rPr>
          <w:rFonts w:ascii="Book Antiqua" w:hAnsi="Book Antiqua"/>
        </w:rPr>
        <w:t>8.</w:t>
      </w:r>
      <w:r>
        <w:rPr>
          <w:rFonts w:ascii="Book Antiqua" w:hAnsi="Book Antiqua"/>
        </w:rPr>
        <w:tab/>
      </w:r>
      <w:r w:rsidR="007D10B5">
        <w:rPr>
          <w:rFonts w:ascii="Book Antiqua" w:hAnsi="Book Antiqua"/>
        </w:rPr>
        <w:t>Only have having made those findings did t</w:t>
      </w:r>
      <w:r>
        <w:rPr>
          <w:rFonts w:ascii="Book Antiqua" w:hAnsi="Book Antiqua"/>
        </w:rPr>
        <w:t xml:space="preserve">he First-tier Tribunal </w:t>
      </w:r>
      <w:r w:rsidR="007D10B5">
        <w:rPr>
          <w:rFonts w:ascii="Book Antiqua" w:hAnsi="Book Antiqua"/>
        </w:rPr>
        <w:t xml:space="preserve">go </w:t>
      </w:r>
      <w:r>
        <w:rPr>
          <w:rFonts w:ascii="Book Antiqua" w:hAnsi="Book Antiqua"/>
        </w:rPr>
        <w:t xml:space="preserve">on to quote the headnote from the country guidance in </w:t>
      </w:r>
      <w:r w:rsidRPr="00CB6141">
        <w:rPr>
          <w:rFonts w:ascii="Book Antiqua" w:hAnsi="Book Antiqua"/>
          <w:i/>
          <w:iCs/>
        </w:rPr>
        <w:t>HB (Kurds).</w:t>
      </w:r>
      <w:r>
        <w:rPr>
          <w:rFonts w:ascii="Book Antiqua" w:hAnsi="Book Antiqua"/>
        </w:rPr>
        <w:t xml:space="preserve"> </w:t>
      </w:r>
      <w:r w:rsidR="007D10B5">
        <w:rPr>
          <w:rFonts w:ascii="Book Antiqua" w:hAnsi="Book Antiqua"/>
        </w:rPr>
        <w:t>The judge then</w:t>
      </w:r>
      <w:r>
        <w:rPr>
          <w:rFonts w:ascii="Book Antiqua" w:hAnsi="Book Antiqua"/>
        </w:rPr>
        <w:t xml:space="preserve"> concluded: </w:t>
      </w:r>
      <w:r w:rsidRPr="00CB6141">
        <w:rPr>
          <w:rFonts w:ascii="Book Antiqua" w:hAnsi="Book Antiqua"/>
          <w:i/>
          <w:iCs/>
        </w:rPr>
        <w:t>“Applying that guidance to the facts of this case, as I have found that to be, I do not consider that the appellant would eb at risk on return by virtue of his Kurdish ethnicity, or because of the very low level and opportunistic activity in which he has engaged.”</w:t>
      </w:r>
      <w:r>
        <w:rPr>
          <w:rFonts w:ascii="Book Antiqua" w:hAnsi="Book Antiqua"/>
        </w:rPr>
        <w:t xml:space="preserve"> [63]. </w:t>
      </w:r>
    </w:p>
    <w:p w14:paraId="57156163" w14:textId="3C22F3C9" w:rsidR="00CB6141" w:rsidRDefault="00CB6141" w:rsidP="007775A3">
      <w:pPr>
        <w:jc w:val="both"/>
        <w:rPr>
          <w:rFonts w:ascii="Book Antiqua" w:hAnsi="Book Antiqua"/>
        </w:rPr>
      </w:pPr>
    </w:p>
    <w:p w14:paraId="50F380C3" w14:textId="3AFF2B52" w:rsidR="007775A3" w:rsidRDefault="00CB6141" w:rsidP="00CB6141">
      <w:pPr>
        <w:ind w:left="720" w:hanging="720"/>
        <w:jc w:val="both"/>
        <w:rPr>
          <w:rFonts w:ascii="Book Antiqua" w:hAnsi="Book Antiqua"/>
        </w:rPr>
      </w:pPr>
      <w:r>
        <w:rPr>
          <w:rFonts w:ascii="Book Antiqua" w:hAnsi="Book Antiqua"/>
        </w:rPr>
        <w:lastRenderedPageBreak/>
        <w:t>9.</w:t>
      </w:r>
      <w:r>
        <w:rPr>
          <w:rFonts w:ascii="Book Antiqua" w:hAnsi="Book Antiqua"/>
        </w:rPr>
        <w:tab/>
      </w:r>
      <w:r w:rsidR="007775A3">
        <w:rPr>
          <w:rFonts w:ascii="Book Antiqua" w:hAnsi="Book Antiqua"/>
        </w:rPr>
        <w:t>The appellant appealed the First-tier Tribunal decision. The original grounds were not particularised clearly, but Mr Bradshaw drew the following points from his colleague’s pleadings.</w:t>
      </w:r>
    </w:p>
    <w:p w14:paraId="289F8A70" w14:textId="77777777" w:rsidR="007775A3" w:rsidRDefault="007775A3" w:rsidP="007775A3">
      <w:pPr>
        <w:jc w:val="both"/>
        <w:rPr>
          <w:rFonts w:ascii="Book Antiqua" w:hAnsi="Book Antiqua"/>
        </w:rPr>
      </w:pPr>
    </w:p>
    <w:p w14:paraId="0B8EBD1D" w14:textId="77777777" w:rsidR="007775A3" w:rsidRDefault="007775A3" w:rsidP="007775A3">
      <w:pPr>
        <w:ind w:left="1440" w:hanging="720"/>
        <w:jc w:val="both"/>
        <w:rPr>
          <w:rFonts w:ascii="Book Antiqua" w:hAnsi="Book Antiqua"/>
        </w:rPr>
      </w:pPr>
      <w:r>
        <w:rPr>
          <w:rFonts w:ascii="Book Antiqua" w:hAnsi="Book Antiqua"/>
        </w:rPr>
        <w:t>(i)</w:t>
      </w:r>
      <w:r>
        <w:rPr>
          <w:rFonts w:ascii="Book Antiqua" w:hAnsi="Book Antiqua"/>
        </w:rPr>
        <w:tab/>
        <w:t xml:space="preserve">The judge placed undue reliance on his own view of the plausibility of the appellant’s account and failed to </w:t>
      </w:r>
      <w:proofErr w:type="gramStart"/>
      <w:r>
        <w:rPr>
          <w:rFonts w:ascii="Book Antiqua" w:hAnsi="Book Antiqua"/>
        </w:rPr>
        <w:t>take into account</w:t>
      </w:r>
      <w:proofErr w:type="gramEnd"/>
      <w:r>
        <w:rPr>
          <w:rFonts w:ascii="Book Antiqua" w:hAnsi="Book Antiqua"/>
        </w:rPr>
        <w:t xml:space="preserve"> relevant considerations. </w:t>
      </w:r>
    </w:p>
    <w:p w14:paraId="7DF9AD84" w14:textId="77777777" w:rsidR="007775A3" w:rsidRDefault="007775A3" w:rsidP="007775A3">
      <w:pPr>
        <w:jc w:val="both"/>
        <w:rPr>
          <w:rFonts w:ascii="Book Antiqua" w:hAnsi="Book Antiqua"/>
        </w:rPr>
      </w:pPr>
    </w:p>
    <w:p w14:paraId="6E8292B1" w14:textId="77777777" w:rsidR="007775A3" w:rsidRDefault="007775A3" w:rsidP="007775A3">
      <w:pPr>
        <w:ind w:left="1440" w:hanging="720"/>
        <w:jc w:val="both"/>
        <w:rPr>
          <w:rFonts w:ascii="Book Antiqua" w:hAnsi="Book Antiqua"/>
        </w:rPr>
      </w:pPr>
      <w:r>
        <w:rPr>
          <w:rFonts w:ascii="Book Antiqua" w:hAnsi="Book Antiqua"/>
        </w:rPr>
        <w:t>(ii)</w:t>
      </w:r>
      <w:r>
        <w:rPr>
          <w:rFonts w:ascii="Book Antiqua" w:hAnsi="Book Antiqua"/>
        </w:rPr>
        <w:tab/>
        <w:t xml:space="preserve">The judge erred in assessing the credibility of the appellant’s Facebook activities based on the unsupported assertion that an email address is necessary to set up an account. </w:t>
      </w:r>
    </w:p>
    <w:p w14:paraId="22428651" w14:textId="77777777" w:rsidR="007775A3" w:rsidRDefault="007775A3" w:rsidP="007775A3">
      <w:pPr>
        <w:ind w:left="720" w:hanging="720"/>
        <w:jc w:val="both"/>
        <w:rPr>
          <w:rFonts w:ascii="Book Antiqua" w:hAnsi="Book Antiqua"/>
        </w:rPr>
      </w:pPr>
    </w:p>
    <w:p w14:paraId="6D278832" w14:textId="77777777" w:rsidR="007775A3" w:rsidRDefault="007775A3" w:rsidP="007775A3">
      <w:pPr>
        <w:ind w:left="720"/>
        <w:jc w:val="both"/>
        <w:rPr>
          <w:rFonts w:ascii="Book Antiqua" w:hAnsi="Book Antiqua"/>
        </w:rPr>
      </w:pPr>
      <w:r>
        <w:rPr>
          <w:rFonts w:ascii="Book Antiqua" w:hAnsi="Book Antiqua"/>
        </w:rPr>
        <w:t>(iii)</w:t>
      </w:r>
      <w:r>
        <w:rPr>
          <w:rFonts w:ascii="Book Antiqua" w:hAnsi="Book Antiqua"/>
        </w:rPr>
        <w:tab/>
        <w:t xml:space="preserve">The judge erred in assessment of risk on return. </w:t>
      </w:r>
    </w:p>
    <w:p w14:paraId="20A0DDE7" w14:textId="77777777" w:rsidR="007775A3" w:rsidRDefault="007775A3" w:rsidP="007775A3">
      <w:pPr>
        <w:ind w:left="720" w:hanging="720"/>
        <w:jc w:val="both"/>
        <w:rPr>
          <w:rFonts w:ascii="Book Antiqua" w:hAnsi="Book Antiqua"/>
        </w:rPr>
      </w:pPr>
    </w:p>
    <w:p w14:paraId="6AEDA42B" w14:textId="27D719B5" w:rsidR="009E089F" w:rsidRDefault="00CB6141" w:rsidP="00CB6141">
      <w:pPr>
        <w:tabs>
          <w:tab w:val="left" w:pos="567"/>
        </w:tabs>
        <w:ind w:left="564" w:hanging="564"/>
        <w:jc w:val="both"/>
        <w:rPr>
          <w:rFonts w:ascii="Book Antiqua" w:hAnsi="Book Antiqua"/>
        </w:rPr>
      </w:pPr>
      <w:r>
        <w:rPr>
          <w:rFonts w:ascii="Book Antiqua" w:hAnsi="Book Antiqua"/>
        </w:rPr>
        <w:t>10.</w:t>
      </w:r>
      <w:r>
        <w:rPr>
          <w:rFonts w:ascii="Book Antiqua" w:hAnsi="Book Antiqua"/>
        </w:rPr>
        <w:tab/>
      </w:r>
      <w:r w:rsidR="009E089F">
        <w:rPr>
          <w:rFonts w:ascii="Book Antiqua" w:hAnsi="Book Antiqua"/>
        </w:rPr>
        <w:t>A face to face hearing was not held because it was not practicable due to public health measures put in place to control the spread of Covid-19. The appeal was heard by way of a remote hearing by Skype for Business with the parties’ consent. All issues could be determined in a remote hearing. The documents before the Upper Tribunal include those that were before the First-tier Tribunal:</w:t>
      </w:r>
    </w:p>
    <w:p w14:paraId="39BFF4BE" w14:textId="77777777" w:rsidR="009E089F" w:rsidRDefault="009E089F" w:rsidP="009E089F">
      <w:pPr>
        <w:tabs>
          <w:tab w:val="left" w:pos="567"/>
        </w:tabs>
        <w:ind w:left="564" w:hanging="564"/>
        <w:jc w:val="both"/>
        <w:rPr>
          <w:rFonts w:ascii="Book Antiqua" w:hAnsi="Book Antiqua"/>
        </w:rPr>
      </w:pPr>
      <w:r>
        <w:rPr>
          <w:rFonts w:ascii="Book Antiqua" w:hAnsi="Book Antiqua"/>
        </w:rPr>
        <w:tab/>
      </w:r>
    </w:p>
    <w:p w14:paraId="141CDEE3" w14:textId="5CEE1EEF" w:rsidR="009E089F" w:rsidRPr="008C0D8C" w:rsidRDefault="009E089F" w:rsidP="009E089F">
      <w:pPr>
        <w:pStyle w:val="ListParagraph"/>
        <w:numPr>
          <w:ilvl w:val="0"/>
          <w:numId w:val="2"/>
        </w:numPr>
        <w:tabs>
          <w:tab w:val="left" w:pos="567"/>
        </w:tabs>
        <w:jc w:val="both"/>
        <w:rPr>
          <w:rFonts w:ascii="Book Antiqua" w:hAnsi="Book Antiqua"/>
        </w:rPr>
      </w:pPr>
      <w:r>
        <w:rPr>
          <w:rFonts w:ascii="Book Antiqua" w:hAnsi="Book Antiqua"/>
        </w:rPr>
        <w:t>The respondent’s bundle before the First-tier Tribunal;</w:t>
      </w:r>
    </w:p>
    <w:p w14:paraId="329F7758" w14:textId="36259F21" w:rsidR="009E089F" w:rsidRPr="008C0D8C" w:rsidRDefault="009E089F" w:rsidP="009E089F">
      <w:pPr>
        <w:pStyle w:val="ListParagraph"/>
        <w:numPr>
          <w:ilvl w:val="0"/>
          <w:numId w:val="2"/>
        </w:numPr>
        <w:rPr>
          <w:rFonts w:ascii="Book Antiqua" w:hAnsi="Book Antiqua" w:cs="Arial"/>
        </w:rPr>
      </w:pPr>
      <w:r>
        <w:rPr>
          <w:rFonts w:ascii="Book Antiqua" w:hAnsi="Book Antiqua" w:cs="Arial"/>
        </w:rPr>
        <w:t>The appellant’s bundle before the First-tier Tribunal;</w:t>
      </w:r>
    </w:p>
    <w:p w14:paraId="2AB22C62" w14:textId="77777777" w:rsidR="009E089F" w:rsidRDefault="009E089F" w:rsidP="009E089F">
      <w:pPr>
        <w:pStyle w:val="ListParagraph"/>
        <w:numPr>
          <w:ilvl w:val="0"/>
          <w:numId w:val="2"/>
        </w:numPr>
        <w:tabs>
          <w:tab w:val="left" w:pos="567"/>
        </w:tabs>
        <w:jc w:val="both"/>
        <w:rPr>
          <w:rFonts w:ascii="Book Antiqua" w:hAnsi="Book Antiqua" w:cs="Arial"/>
        </w:rPr>
      </w:pPr>
      <w:r>
        <w:rPr>
          <w:rFonts w:ascii="Book Antiqua" w:hAnsi="Book Antiqua" w:cs="Arial"/>
        </w:rPr>
        <w:t>The First-tier Tribunal decision;</w:t>
      </w:r>
    </w:p>
    <w:p w14:paraId="105D7509" w14:textId="4A05B920" w:rsidR="009E089F" w:rsidRDefault="009E089F" w:rsidP="009E089F">
      <w:pPr>
        <w:pStyle w:val="ListParagraph"/>
        <w:numPr>
          <w:ilvl w:val="0"/>
          <w:numId w:val="2"/>
        </w:numPr>
        <w:tabs>
          <w:tab w:val="left" w:pos="567"/>
        </w:tabs>
        <w:jc w:val="both"/>
        <w:rPr>
          <w:rFonts w:ascii="Book Antiqua" w:hAnsi="Book Antiqua" w:cs="Arial"/>
        </w:rPr>
      </w:pPr>
      <w:r>
        <w:rPr>
          <w:rFonts w:ascii="Book Antiqua" w:hAnsi="Book Antiqua" w:cs="Arial"/>
        </w:rPr>
        <w:t>The appellant’s grounds of appeal to the Upper Tribunal;</w:t>
      </w:r>
    </w:p>
    <w:p w14:paraId="6C5F8E0B" w14:textId="6B3B82B3" w:rsidR="009E089F" w:rsidRDefault="009E089F" w:rsidP="009E089F">
      <w:pPr>
        <w:pStyle w:val="ListParagraph"/>
        <w:numPr>
          <w:ilvl w:val="0"/>
          <w:numId w:val="2"/>
        </w:numPr>
        <w:tabs>
          <w:tab w:val="left" w:pos="567"/>
        </w:tabs>
        <w:jc w:val="both"/>
        <w:rPr>
          <w:rFonts w:ascii="Book Antiqua" w:hAnsi="Book Antiqua" w:cs="Arial"/>
        </w:rPr>
      </w:pPr>
      <w:r>
        <w:rPr>
          <w:rFonts w:ascii="Book Antiqua" w:hAnsi="Book Antiqua" w:cs="Arial"/>
        </w:rPr>
        <w:t>The respondent’s rule 24 response.</w:t>
      </w:r>
    </w:p>
    <w:p w14:paraId="474FD4C6" w14:textId="77777777" w:rsidR="007775A3" w:rsidRDefault="007775A3" w:rsidP="007775A3">
      <w:pPr>
        <w:ind w:left="720" w:hanging="720"/>
        <w:jc w:val="both"/>
        <w:rPr>
          <w:rFonts w:ascii="Book Antiqua" w:hAnsi="Book Antiqua"/>
        </w:rPr>
      </w:pPr>
    </w:p>
    <w:p w14:paraId="5CA2984E" w14:textId="77777777" w:rsidR="007775A3" w:rsidRPr="00E541B4" w:rsidRDefault="007775A3" w:rsidP="007775A3">
      <w:pPr>
        <w:ind w:left="720" w:hanging="720"/>
        <w:jc w:val="both"/>
        <w:rPr>
          <w:rFonts w:ascii="Book Antiqua" w:hAnsi="Book Antiqua"/>
          <w:b/>
          <w:u w:val="single"/>
        </w:rPr>
      </w:pPr>
      <w:r w:rsidRPr="00E541B4">
        <w:rPr>
          <w:rFonts w:ascii="Book Antiqua" w:hAnsi="Book Antiqua"/>
          <w:b/>
          <w:u w:val="single"/>
        </w:rPr>
        <w:t>Decision and reasons</w:t>
      </w:r>
    </w:p>
    <w:p w14:paraId="64B9C326" w14:textId="61ABD52E" w:rsidR="007775A3" w:rsidRDefault="007775A3" w:rsidP="007775A3">
      <w:pPr>
        <w:ind w:left="720" w:hanging="720"/>
        <w:jc w:val="both"/>
        <w:rPr>
          <w:rFonts w:ascii="Book Antiqua" w:hAnsi="Book Antiqua"/>
        </w:rPr>
      </w:pPr>
    </w:p>
    <w:p w14:paraId="181E2AA4" w14:textId="21F03E3F" w:rsidR="00CB6141" w:rsidRDefault="00551434" w:rsidP="007775A3">
      <w:pPr>
        <w:ind w:left="720" w:hanging="720"/>
        <w:jc w:val="both"/>
        <w:rPr>
          <w:rFonts w:ascii="Book Antiqua" w:hAnsi="Book Antiqua"/>
        </w:rPr>
      </w:pPr>
      <w:r>
        <w:rPr>
          <w:rFonts w:ascii="Book Antiqua" w:hAnsi="Book Antiqua"/>
        </w:rPr>
        <w:t>11.</w:t>
      </w:r>
      <w:r>
        <w:rPr>
          <w:rFonts w:ascii="Book Antiqua" w:hAnsi="Book Antiqua"/>
        </w:rPr>
        <w:tab/>
        <w:t xml:space="preserve">Having considered the written arguments, and having heard submissions from both parties, I am satisfied that the First-tier Tribunal decision involved the making of an error of law and must be set aside. </w:t>
      </w:r>
    </w:p>
    <w:p w14:paraId="1890B096" w14:textId="01D318BA" w:rsidR="00551434" w:rsidRDefault="00551434" w:rsidP="007775A3">
      <w:pPr>
        <w:ind w:left="720" w:hanging="720"/>
        <w:jc w:val="both"/>
        <w:rPr>
          <w:rFonts w:ascii="Book Antiqua" w:hAnsi="Book Antiqua"/>
        </w:rPr>
      </w:pPr>
    </w:p>
    <w:p w14:paraId="1A684DD2" w14:textId="3D4BBE10" w:rsidR="00551434" w:rsidRDefault="00551434" w:rsidP="007775A3">
      <w:pPr>
        <w:ind w:left="720" w:hanging="720"/>
        <w:jc w:val="both"/>
        <w:rPr>
          <w:rFonts w:ascii="Book Antiqua" w:hAnsi="Book Antiqua"/>
        </w:rPr>
      </w:pPr>
      <w:r>
        <w:rPr>
          <w:rFonts w:ascii="Book Antiqua" w:hAnsi="Book Antiqua"/>
        </w:rPr>
        <w:t>12.</w:t>
      </w:r>
      <w:r>
        <w:rPr>
          <w:rFonts w:ascii="Book Antiqua" w:hAnsi="Book Antiqua"/>
        </w:rPr>
        <w:tab/>
        <w:t xml:space="preserve">Although </w:t>
      </w:r>
      <w:r w:rsidR="00771D8A">
        <w:rPr>
          <w:rFonts w:ascii="Book Antiqua" w:hAnsi="Book Antiqua"/>
        </w:rPr>
        <w:t>some</w:t>
      </w:r>
      <w:r>
        <w:rPr>
          <w:rFonts w:ascii="Book Antiqua" w:hAnsi="Book Antiqua"/>
        </w:rPr>
        <w:t xml:space="preserve"> of the judge’s findings and observations were likely to be open to him to make, I find that there is some force in the appellant’s submission that the judge gave undue weight to his own view of the plausibility of certain aspects of the appellant’s account and failed to take into account relevant considerations with reference to the evidence</w:t>
      </w:r>
      <w:r w:rsidR="00771D8A">
        <w:rPr>
          <w:rFonts w:ascii="Book Antiqua" w:hAnsi="Book Antiqua"/>
        </w:rPr>
        <w:t xml:space="preserve"> and relevant country guidance</w:t>
      </w:r>
      <w:r>
        <w:rPr>
          <w:rFonts w:ascii="Book Antiqua" w:hAnsi="Book Antiqua"/>
        </w:rPr>
        <w:t xml:space="preserve">. </w:t>
      </w:r>
    </w:p>
    <w:p w14:paraId="47AC2286" w14:textId="31B53CE8" w:rsidR="00551434" w:rsidRDefault="00551434" w:rsidP="007775A3">
      <w:pPr>
        <w:ind w:left="720" w:hanging="720"/>
        <w:jc w:val="both"/>
        <w:rPr>
          <w:rFonts w:ascii="Book Antiqua" w:hAnsi="Book Antiqua"/>
        </w:rPr>
      </w:pPr>
    </w:p>
    <w:p w14:paraId="161DDE23" w14:textId="00C1A32F" w:rsidR="00667C88" w:rsidRDefault="00551434" w:rsidP="007775A3">
      <w:pPr>
        <w:ind w:left="720" w:hanging="720"/>
        <w:jc w:val="both"/>
        <w:rPr>
          <w:rFonts w:ascii="Book Antiqua" w:hAnsi="Book Antiqua"/>
        </w:rPr>
      </w:pPr>
      <w:r>
        <w:rPr>
          <w:rFonts w:ascii="Book Antiqua" w:hAnsi="Book Antiqua"/>
        </w:rPr>
        <w:t>13.</w:t>
      </w:r>
      <w:r>
        <w:rPr>
          <w:rFonts w:ascii="Book Antiqua" w:hAnsi="Book Antiqua"/>
        </w:rPr>
        <w:tab/>
        <w:t xml:space="preserve">Even though he found that the appellant’s account was generally consistent with the evidence relating to the activities of the KDPI and the treatment of such activists by the Iranian authorities, and that it was plausible that a young Kurdish man might seek to support the cause for idealistic reasons even if he was illiterate, the judge appeared to place no weight on this as a matter that might support the appellant’s claim because, in his experience, </w:t>
      </w:r>
      <w:r w:rsidRPr="00FB2DB1">
        <w:rPr>
          <w:rFonts w:ascii="Book Antiqua" w:hAnsi="Book Antiqua"/>
          <w:i/>
          <w:iCs/>
        </w:rPr>
        <w:t>“fabricated claims are usually shrouded in truth”</w:t>
      </w:r>
      <w:r>
        <w:rPr>
          <w:rFonts w:ascii="Book Antiqua" w:hAnsi="Book Antiqua"/>
        </w:rPr>
        <w:t xml:space="preserve">. </w:t>
      </w:r>
      <w:r w:rsidR="00667C88">
        <w:rPr>
          <w:rFonts w:ascii="Book Antiqua" w:hAnsi="Book Antiqua"/>
        </w:rPr>
        <w:t xml:space="preserve">Such an approach leaves no room for appropriate weight to be given to the consistency of the account with the background in the country of origin and was inconsistent with the approach that should be taken under Article 4 of the Qualification Directive (2004/83/EC). </w:t>
      </w:r>
    </w:p>
    <w:p w14:paraId="287C4EDA" w14:textId="77777777" w:rsidR="00667C88" w:rsidRDefault="00667C88" w:rsidP="007775A3">
      <w:pPr>
        <w:ind w:left="720" w:hanging="720"/>
        <w:jc w:val="both"/>
        <w:rPr>
          <w:rFonts w:ascii="Book Antiqua" w:hAnsi="Book Antiqua"/>
        </w:rPr>
      </w:pPr>
    </w:p>
    <w:p w14:paraId="07B44CFD" w14:textId="5225CD84" w:rsidR="00667C88" w:rsidRDefault="00667C88" w:rsidP="007775A3">
      <w:pPr>
        <w:ind w:left="720" w:hanging="720"/>
        <w:jc w:val="both"/>
        <w:rPr>
          <w:rFonts w:ascii="Book Antiqua" w:hAnsi="Book Antiqua"/>
        </w:rPr>
      </w:pPr>
      <w:r>
        <w:rPr>
          <w:rFonts w:ascii="Book Antiqua" w:hAnsi="Book Antiqua"/>
        </w:rPr>
        <w:t>14.</w:t>
      </w:r>
      <w:r>
        <w:rPr>
          <w:rFonts w:ascii="Book Antiqua" w:hAnsi="Book Antiqua"/>
        </w:rPr>
        <w:tab/>
      </w:r>
      <w:r w:rsidR="00551434">
        <w:rPr>
          <w:rFonts w:ascii="Book Antiqua" w:hAnsi="Book Antiqua"/>
        </w:rPr>
        <w:t xml:space="preserve">Even if the judge was entitled to take into account the possibility that a claim might be broadly consistent with the background evidence but </w:t>
      </w:r>
      <w:r w:rsidR="00771D8A">
        <w:rPr>
          <w:rFonts w:ascii="Book Antiqua" w:hAnsi="Book Antiqua"/>
        </w:rPr>
        <w:t>could st</w:t>
      </w:r>
      <w:r w:rsidR="00551434">
        <w:rPr>
          <w:rFonts w:ascii="Book Antiqua" w:hAnsi="Book Antiqua"/>
        </w:rPr>
        <w:t xml:space="preserve">ill be fabricated, the other reasons given for rejecting the appellant’s account were either heavily reliant on the judge’s own view of how he would expect certain parties to act or </w:t>
      </w:r>
      <w:r>
        <w:rPr>
          <w:rFonts w:ascii="Book Antiqua" w:hAnsi="Book Antiqua"/>
        </w:rPr>
        <w:t xml:space="preserve">failed to take into account relevant evidence. </w:t>
      </w:r>
    </w:p>
    <w:p w14:paraId="5D34A42A" w14:textId="77777777" w:rsidR="00667C88" w:rsidRDefault="00667C88" w:rsidP="007775A3">
      <w:pPr>
        <w:ind w:left="720" w:hanging="720"/>
        <w:jc w:val="both"/>
        <w:rPr>
          <w:rFonts w:ascii="Book Antiqua" w:hAnsi="Book Antiqua"/>
        </w:rPr>
      </w:pPr>
    </w:p>
    <w:p w14:paraId="34BA4E6C" w14:textId="115CAB5C" w:rsidR="00CB6141" w:rsidRDefault="00667C88" w:rsidP="007775A3">
      <w:pPr>
        <w:ind w:left="720" w:hanging="720"/>
        <w:jc w:val="both"/>
        <w:rPr>
          <w:rFonts w:ascii="Book Antiqua" w:hAnsi="Book Antiqua"/>
        </w:rPr>
      </w:pPr>
      <w:r>
        <w:rPr>
          <w:rFonts w:ascii="Book Antiqua" w:hAnsi="Book Antiqua"/>
        </w:rPr>
        <w:t>15.</w:t>
      </w:r>
      <w:r>
        <w:rPr>
          <w:rFonts w:ascii="Book Antiqua" w:hAnsi="Book Antiqua"/>
        </w:rPr>
        <w:tab/>
        <w:t xml:space="preserve">For example, at [41-42] the judge rejected the appellant’s account of low-level activities for the KDPI based on an inference </w:t>
      </w:r>
      <w:r w:rsidR="007D10B5">
        <w:rPr>
          <w:rFonts w:ascii="Book Antiqua" w:hAnsi="Book Antiqua"/>
        </w:rPr>
        <w:t xml:space="preserve">drawn </w:t>
      </w:r>
      <w:r>
        <w:rPr>
          <w:rFonts w:ascii="Book Antiqua" w:hAnsi="Book Antiqua"/>
        </w:rPr>
        <w:t xml:space="preserve">from the </w:t>
      </w:r>
      <w:r w:rsidR="00771D8A">
        <w:rPr>
          <w:rFonts w:ascii="Book Antiqua" w:hAnsi="Book Antiqua"/>
        </w:rPr>
        <w:t>fact that</w:t>
      </w:r>
      <w:r>
        <w:rPr>
          <w:rFonts w:ascii="Book Antiqua" w:hAnsi="Book Antiqua"/>
        </w:rPr>
        <w:t xml:space="preserve"> a person cannot become a member until they are 18 years old. </w:t>
      </w:r>
      <w:r w:rsidR="00E464DA">
        <w:rPr>
          <w:rFonts w:ascii="Book Antiqua" w:hAnsi="Book Antiqua"/>
        </w:rPr>
        <w:t>First, the</w:t>
      </w:r>
      <w:r>
        <w:rPr>
          <w:rFonts w:ascii="Book Antiqua" w:hAnsi="Book Antiqua"/>
        </w:rPr>
        <w:t xml:space="preserve"> judge failed to engage adequately with the appellant’s assertion that he was </w:t>
      </w:r>
      <w:r w:rsidR="00E464DA">
        <w:rPr>
          <w:rFonts w:ascii="Book Antiqua" w:hAnsi="Book Antiqua"/>
        </w:rPr>
        <w:t xml:space="preserve">a supporter and not a member. Second, if he was going to base his finding on the inference that it was unlikely that the KDPI would ask teenagers to carry out the kind of low level activities described by the appellant, the judge needed to consider the other evidence before him, which he summarised at 7(ii), that the KDPI has a youth wing. This information appears to have been drawn from a Danish Refugee Council and Danish Immigration Service Fact-finding mission in 2013, which was quoted in the CPIN report dated July 2016 at [7.2.1] and at paragraph 21 of the Home Office decision letter. </w:t>
      </w:r>
      <w:r w:rsidR="007D10B5">
        <w:rPr>
          <w:rFonts w:ascii="Book Antiqua" w:hAnsi="Book Antiqua"/>
        </w:rPr>
        <w:t xml:space="preserve">The report also </w:t>
      </w:r>
      <w:r w:rsidR="00BE00B1">
        <w:rPr>
          <w:rFonts w:ascii="Book Antiqua" w:hAnsi="Book Antiqua"/>
        </w:rPr>
        <w:t>stated that there was a third category of people who were “friends” of the party who are encouraged to participate in activities and demonstrations. This evidence</w:t>
      </w:r>
      <w:r w:rsidR="007D10B5">
        <w:rPr>
          <w:rFonts w:ascii="Book Antiqua" w:hAnsi="Book Antiqua"/>
        </w:rPr>
        <w:t xml:space="preserve"> undermines the </w:t>
      </w:r>
      <w:r w:rsidR="00BE00B1">
        <w:rPr>
          <w:rFonts w:ascii="Book Antiqua" w:hAnsi="Book Antiqua"/>
        </w:rPr>
        <w:t>central proposition the judge relied upon to make his finding</w:t>
      </w:r>
      <w:r w:rsidR="007D10B5">
        <w:rPr>
          <w:rFonts w:ascii="Book Antiqua" w:hAnsi="Book Antiqua"/>
        </w:rPr>
        <w:t xml:space="preserve"> because it indicates that the KDPI is willing to encourage those who under 18 years of age</w:t>
      </w:r>
      <w:r w:rsidR="00BE00B1">
        <w:rPr>
          <w:rFonts w:ascii="Book Antiqua" w:hAnsi="Book Antiqua"/>
        </w:rPr>
        <w:t xml:space="preserve"> and non-members </w:t>
      </w:r>
      <w:r w:rsidR="007D10B5">
        <w:rPr>
          <w:rFonts w:ascii="Book Antiqua" w:hAnsi="Book Antiqua"/>
        </w:rPr>
        <w:t>to engage in political activities.</w:t>
      </w:r>
    </w:p>
    <w:p w14:paraId="75B91832" w14:textId="58E22069" w:rsidR="00E464DA" w:rsidRDefault="00E464DA" w:rsidP="007775A3">
      <w:pPr>
        <w:ind w:left="720" w:hanging="720"/>
        <w:jc w:val="both"/>
        <w:rPr>
          <w:rFonts w:ascii="Book Antiqua" w:hAnsi="Book Antiqua"/>
        </w:rPr>
      </w:pPr>
    </w:p>
    <w:p w14:paraId="3EE0ED58" w14:textId="7C7ECCA7" w:rsidR="00D851A1" w:rsidRPr="000E7372" w:rsidRDefault="00E464DA" w:rsidP="00D851A1">
      <w:pPr>
        <w:ind w:left="720" w:hanging="720"/>
        <w:jc w:val="both"/>
        <w:rPr>
          <w:rFonts w:ascii="Book Antiqua" w:hAnsi="Book Antiqua"/>
        </w:rPr>
      </w:pPr>
      <w:r>
        <w:rPr>
          <w:rFonts w:ascii="Book Antiqua" w:hAnsi="Book Antiqua"/>
        </w:rPr>
        <w:t>16.</w:t>
      </w:r>
      <w:r>
        <w:rPr>
          <w:rFonts w:ascii="Book Antiqua" w:hAnsi="Book Antiqua"/>
        </w:rPr>
        <w:tab/>
      </w:r>
      <w:r w:rsidR="00D851A1">
        <w:rPr>
          <w:rFonts w:ascii="Book Antiqua" w:hAnsi="Book Antiqua"/>
        </w:rPr>
        <w:t xml:space="preserve">Other findings appear to have been given undue weight based on the judge’s view of how he considered the appellant or other </w:t>
      </w:r>
      <w:r w:rsidR="007B321A">
        <w:rPr>
          <w:rFonts w:ascii="Book Antiqua" w:hAnsi="Book Antiqua"/>
        </w:rPr>
        <w:t>parties</w:t>
      </w:r>
      <w:r w:rsidR="00D851A1">
        <w:rPr>
          <w:rFonts w:ascii="Book Antiqua" w:hAnsi="Book Antiqua"/>
        </w:rPr>
        <w:t xml:space="preserve"> </w:t>
      </w:r>
      <w:r w:rsidR="007B321A">
        <w:rPr>
          <w:rFonts w:ascii="Book Antiqua" w:hAnsi="Book Antiqua"/>
        </w:rPr>
        <w:t xml:space="preserve">would </w:t>
      </w:r>
      <w:r w:rsidR="00D851A1">
        <w:rPr>
          <w:rFonts w:ascii="Book Antiqua" w:hAnsi="Book Antiqua"/>
        </w:rPr>
        <w:t>act in the circumstances rather than by reference to the background evidence and country guidance. I</w:t>
      </w:r>
      <w:r w:rsidR="00D851A1" w:rsidRPr="000E7372">
        <w:rPr>
          <w:rFonts w:ascii="Book Antiqua" w:hAnsi="Book Antiqua"/>
        </w:rPr>
        <w:t xml:space="preserve">n </w:t>
      </w:r>
      <w:r w:rsidR="00D851A1" w:rsidRPr="00D851A1">
        <w:rPr>
          <w:rFonts w:ascii="Book Antiqua" w:hAnsi="Book Antiqua"/>
          <w:i/>
          <w:iCs/>
        </w:rPr>
        <w:t>Y v SSHD</w:t>
      </w:r>
      <w:r w:rsidR="00D851A1" w:rsidRPr="000E7372">
        <w:rPr>
          <w:rFonts w:ascii="Book Antiqua" w:hAnsi="Book Antiqua"/>
        </w:rPr>
        <w:t xml:space="preserve"> [2006] EWCA Civ 1223 Lord Justice Keene emphasised that a judge </w:t>
      </w:r>
      <w:r w:rsidR="00D851A1" w:rsidRPr="00BE00B1">
        <w:rPr>
          <w:rFonts w:ascii="Book Antiqua" w:hAnsi="Book Antiqua"/>
          <w:i/>
          <w:iCs/>
        </w:rPr>
        <w:t>“must look through the spectacles provided by the information he has about conditions in the country in question</w:t>
      </w:r>
      <w:r w:rsidR="00BE00B1" w:rsidRPr="00BE00B1">
        <w:rPr>
          <w:rFonts w:ascii="Book Antiqua" w:hAnsi="Book Antiqua"/>
          <w:i/>
          <w:iCs/>
        </w:rPr>
        <w:t>”</w:t>
      </w:r>
      <w:r w:rsidR="00D851A1">
        <w:rPr>
          <w:rFonts w:ascii="Book Antiqua" w:hAnsi="Book Antiqua"/>
        </w:rPr>
        <w:t xml:space="preserve">: see also </w:t>
      </w:r>
      <w:r w:rsidR="00D851A1" w:rsidRPr="00D851A1">
        <w:rPr>
          <w:rFonts w:ascii="Book Antiqua" w:hAnsi="Book Antiqua"/>
          <w:i/>
          <w:iCs/>
        </w:rPr>
        <w:t>HK v SSHD</w:t>
      </w:r>
      <w:r w:rsidR="00D851A1" w:rsidRPr="000E7372">
        <w:rPr>
          <w:rFonts w:ascii="Book Antiqua" w:hAnsi="Book Antiqua"/>
        </w:rPr>
        <w:t xml:space="preserve"> [2006] EWCA Civ 1037</w:t>
      </w:r>
      <w:r w:rsidR="00D851A1">
        <w:rPr>
          <w:rFonts w:ascii="Book Antiqua" w:hAnsi="Book Antiqua"/>
        </w:rPr>
        <w:t xml:space="preserve">. </w:t>
      </w:r>
    </w:p>
    <w:p w14:paraId="24556E2E" w14:textId="60376887" w:rsidR="00CB6141" w:rsidRDefault="00CB6141" w:rsidP="007775A3">
      <w:pPr>
        <w:ind w:left="720" w:hanging="720"/>
        <w:jc w:val="both"/>
        <w:rPr>
          <w:rFonts w:ascii="Book Antiqua" w:hAnsi="Book Antiqua"/>
        </w:rPr>
      </w:pPr>
    </w:p>
    <w:p w14:paraId="48B1E161" w14:textId="56FD8272" w:rsidR="00D851A1" w:rsidRDefault="00D851A1" w:rsidP="007775A3">
      <w:pPr>
        <w:ind w:left="720" w:hanging="720"/>
        <w:jc w:val="both"/>
        <w:rPr>
          <w:rFonts w:ascii="Book Antiqua" w:hAnsi="Book Antiqua"/>
        </w:rPr>
      </w:pPr>
      <w:r>
        <w:rPr>
          <w:rFonts w:ascii="Book Antiqua" w:hAnsi="Book Antiqua"/>
        </w:rPr>
        <w:t>17.</w:t>
      </w:r>
      <w:r>
        <w:rPr>
          <w:rFonts w:ascii="Book Antiqua" w:hAnsi="Book Antiqua"/>
        </w:rPr>
        <w:tab/>
      </w:r>
      <w:r w:rsidR="00BE2EA0">
        <w:rPr>
          <w:rFonts w:ascii="Book Antiqua" w:hAnsi="Book Antiqua"/>
        </w:rPr>
        <w:t xml:space="preserve">At several points in the decision the judge rejected the plausibility of the appellant’s account based on his </w:t>
      </w:r>
      <w:r w:rsidR="00771D8A">
        <w:rPr>
          <w:rFonts w:ascii="Book Antiqua" w:hAnsi="Book Antiqua"/>
        </w:rPr>
        <w:t>view</w:t>
      </w:r>
      <w:r w:rsidR="00BE2EA0">
        <w:rPr>
          <w:rFonts w:ascii="Book Antiqua" w:hAnsi="Book Antiqua"/>
        </w:rPr>
        <w:t xml:space="preserve"> that a person would not be willing to take such risks: see [41] [44] [48] and [49]. Very few asylum seekers would be able to demonstrate a genuine claim if this was a legitimate reason for rejecting the credibility of a person’s account. Nor does such an approach </w:t>
      </w:r>
      <w:proofErr w:type="gramStart"/>
      <w:r w:rsidR="00BE2EA0">
        <w:rPr>
          <w:rFonts w:ascii="Book Antiqua" w:hAnsi="Book Antiqua"/>
        </w:rPr>
        <w:t>take into account</w:t>
      </w:r>
      <w:proofErr w:type="gramEnd"/>
      <w:r w:rsidR="00BE2EA0">
        <w:rPr>
          <w:rFonts w:ascii="Book Antiqua" w:hAnsi="Book Antiqua"/>
        </w:rPr>
        <w:t xml:space="preserve"> the background evidence, which shows that many people indeed take risks in order to assert their political and cultural identity as Kurds in Iran. Having accepted that the appellant might take the risk to agree to help the KDPI, it does not follow that it is incredible that he would do so again despite claiming to have been detained. The judge’s finding </w:t>
      </w:r>
      <w:r w:rsidR="003533C6">
        <w:rPr>
          <w:rFonts w:ascii="Book Antiqua" w:hAnsi="Book Antiqua"/>
        </w:rPr>
        <w:t>at [49] unduly speculates about how he considered the KDPI and the appellant’s family members would act in the circumstances without reference to the evidence. There was nothing in the evidence to suggest that the KDPI</w:t>
      </w:r>
      <w:r w:rsidR="00771D8A">
        <w:rPr>
          <w:rFonts w:ascii="Book Antiqua" w:hAnsi="Book Antiqua"/>
        </w:rPr>
        <w:t xml:space="preserve"> </w:t>
      </w:r>
      <w:r w:rsidR="003533C6">
        <w:rPr>
          <w:rFonts w:ascii="Book Antiqua" w:hAnsi="Book Antiqua"/>
        </w:rPr>
        <w:t>or his uncles</w:t>
      </w:r>
      <w:r w:rsidR="00771D8A">
        <w:rPr>
          <w:rFonts w:ascii="Book Antiqua" w:hAnsi="Book Antiqua"/>
        </w:rPr>
        <w:t xml:space="preserve"> </w:t>
      </w:r>
      <w:r w:rsidR="003533C6">
        <w:rPr>
          <w:rFonts w:ascii="Book Antiqua" w:hAnsi="Book Antiqua"/>
        </w:rPr>
        <w:t xml:space="preserve">would not be willing to take </w:t>
      </w:r>
      <w:r w:rsidR="00771D8A">
        <w:rPr>
          <w:rFonts w:ascii="Book Antiqua" w:hAnsi="Book Antiqua"/>
        </w:rPr>
        <w:t>such</w:t>
      </w:r>
      <w:r w:rsidR="003533C6">
        <w:rPr>
          <w:rFonts w:ascii="Book Antiqua" w:hAnsi="Book Antiqua"/>
        </w:rPr>
        <w:t xml:space="preserve"> risks to further their cause. </w:t>
      </w:r>
      <w:r w:rsidR="00771D8A">
        <w:rPr>
          <w:rFonts w:ascii="Book Antiqua" w:hAnsi="Book Antiqua"/>
        </w:rPr>
        <w:t>The fact that one of his uncles is said to be a member of the Peshmerga indicates that he is willing to face substantial risks to fight for Kurdish rights.</w:t>
      </w:r>
    </w:p>
    <w:p w14:paraId="1B1C5F87" w14:textId="2A899017" w:rsidR="003533C6" w:rsidRDefault="003533C6" w:rsidP="007775A3">
      <w:pPr>
        <w:ind w:left="720" w:hanging="720"/>
        <w:jc w:val="both"/>
        <w:rPr>
          <w:rFonts w:ascii="Book Antiqua" w:hAnsi="Book Antiqua"/>
        </w:rPr>
      </w:pPr>
    </w:p>
    <w:p w14:paraId="5D9123BA" w14:textId="277E2FE9" w:rsidR="006D6586" w:rsidRPr="00771D8A" w:rsidRDefault="003533C6" w:rsidP="007775A3">
      <w:pPr>
        <w:ind w:left="720" w:hanging="720"/>
        <w:jc w:val="both"/>
        <w:rPr>
          <w:rFonts w:ascii="Book Antiqua" w:hAnsi="Book Antiqua"/>
        </w:rPr>
      </w:pPr>
      <w:r>
        <w:rPr>
          <w:rFonts w:ascii="Book Antiqua" w:hAnsi="Book Antiqua"/>
        </w:rPr>
        <w:lastRenderedPageBreak/>
        <w:t>18.</w:t>
      </w:r>
      <w:r>
        <w:rPr>
          <w:rFonts w:ascii="Book Antiqua" w:hAnsi="Book Antiqua"/>
        </w:rPr>
        <w:tab/>
        <w:t xml:space="preserve">Other findings made by the judge failed to </w:t>
      </w:r>
      <w:proofErr w:type="gramStart"/>
      <w:r>
        <w:rPr>
          <w:rFonts w:ascii="Book Antiqua" w:hAnsi="Book Antiqua"/>
        </w:rPr>
        <w:t>take into account</w:t>
      </w:r>
      <w:proofErr w:type="gramEnd"/>
      <w:r>
        <w:rPr>
          <w:rFonts w:ascii="Book Antiqua" w:hAnsi="Book Antiqua"/>
        </w:rPr>
        <w:t xml:space="preserve"> relevant evidence. The judge appeared to place significant weight on the alleged failure of the appellant to raise the issue of ill-treatment in detention</w:t>
      </w:r>
      <w:r w:rsidR="007E1323">
        <w:rPr>
          <w:rFonts w:ascii="Book Antiqua" w:hAnsi="Book Antiqua"/>
        </w:rPr>
        <w:t xml:space="preserve"> at an earlier stage [47]</w:t>
      </w:r>
      <w:r>
        <w:rPr>
          <w:rFonts w:ascii="Book Antiqua" w:hAnsi="Book Antiqua"/>
        </w:rPr>
        <w:t xml:space="preserve">. Both the Home Office Presenting Officer and the judge proceeded on the incorrect assumption that the appellant had not raised the issue in interview. However, </w:t>
      </w:r>
      <w:r w:rsidR="007E1323">
        <w:rPr>
          <w:rFonts w:ascii="Book Antiqua" w:hAnsi="Book Antiqua"/>
        </w:rPr>
        <w:t xml:space="preserve">at question 14 of the interview the appellant is recorded as saying: </w:t>
      </w:r>
      <w:r w:rsidR="007E1323" w:rsidRPr="007E1323">
        <w:rPr>
          <w:rFonts w:ascii="Book Antiqua" w:hAnsi="Book Antiqua"/>
          <w:i/>
          <w:iCs/>
        </w:rPr>
        <w:t xml:space="preserve">“In 2017 I was arrested for one week </w:t>
      </w:r>
      <w:r w:rsidR="007E1323" w:rsidRPr="00771D8A">
        <w:rPr>
          <w:rFonts w:ascii="Book Antiqua" w:hAnsi="Book Antiqua"/>
          <w:i/>
          <w:iCs/>
          <w:u w:val="single"/>
        </w:rPr>
        <w:t>they tortured me</w:t>
      </w:r>
      <w:r w:rsidR="007E1323" w:rsidRPr="007E1323">
        <w:rPr>
          <w:rFonts w:ascii="Book Antiqua" w:hAnsi="Book Antiqua"/>
          <w:i/>
          <w:iCs/>
        </w:rPr>
        <w:t xml:space="preserve"> during that week.” </w:t>
      </w:r>
      <w:r w:rsidR="00771D8A">
        <w:rPr>
          <w:rFonts w:ascii="Book Antiqua" w:hAnsi="Book Antiqua"/>
        </w:rPr>
        <w:t>[emphasis added].</w:t>
      </w:r>
    </w:p>
    <w:p w14:paraId="41934203" w14:textId="77777777" w:rsidR="006D6586" w:rsidRDefault="006D6586" w:rsidP="007775A3">
      <w:pPr>
        <w:ind w:left="720" w:hanging="720"/>
        <w:jc w:val="both"/>
        <w:rPr>
          <w:rFonts w:ascii="Book Antiqua" w:hAnsi="Book Antiqua"/>
        </w:rPr>
      </w:pPr>
    </w:p>
    <w:p w14:paraId="7A699838" w14:textId="0A3559EB" w:rsidR="003533C6" w:rsidRDefault="006D6586" w:rsidP="007775A3">
      <w:pPr>
        <w:ind w:left="720" w:hanging="720"/>
        <w:jc w:val="both"/>
        <w:rPr>
          <w:rFonts w:ascii="Book Antiqua" w:hAnsi="Book Antiqua"/>
        </w:rPr>
      </w:pPr>
      <w:r>
        <w:rPr>
          <w:rFonts w:ascii="Book Antiqua" w:hAnsi="Book Antiqua"/>
        </w:rPr>
        <w:t>19.</w:t>
      </w:r>
      <w:r>
        <w:rPr>
          <w:rFonts w:ascii="Book Antiqua" w:hAnsi="Book Antiqua"/>
        </w:rPr>
        <w:tab/>
      </w:r>
      <w:r w:rsidR="007E1323">
        <w:rPr>
          <w:rFonts w:ascii="Book Antiqua" w:hAnsi="Book Antiqua"/>
        </w:rPr>
        <w:t>Although it is correct to say that the appellant did not elaborate</w:t>
      </w:r>
      <w:r w:rsidR="007B321A">
        <w:rPr>
          <w:rFonts w:ascii="Book Antiqua" w:hAnsi="Book Antiqua"/>
        </w:rPr>
        <w:t xml:space="preserve"> when asked what happened when he was questioned</w:t>
      </w:r>
      <w:r w:rsidR="007E1323">
        <w:rPr>
          <w:rFonts w:ascii="Book Antiqua" w:hAnsi="Book Antiqua"/>
        </w:rPr>
        <w:t xml:space="preserve"> </w:t>
      </w:r>
      <w:r w:rsidR="00BE00B1">
        <w:rPr>
          <w:rFonts w:ascii="Book Antiqua" w:hAnsi="Book Antiqua"/>
        </w:rPr>
        <w:t xml:space="preserve">in </w:t>
      </w:r>
      <w:r>
        <w:rPr>
          <w:rFonts w:ascii="Book Antiqua" w:hAnsi="Book Antiqua"/>
        </w:rPr>
        <w:t>detention (question 42</w:t>
      </w:r>
      <w:r w:rsidR="00BE00B1">
        <w:rPr>
          <w:rFonts w:ascii="Book Antiqua" w:hAnsi="Book Antiqua"/>
        </w:rPr>
        <w:t>) and</w:t>
      </w:r>
      <w:r>
        <w:rPr>
          <w:rFonts w:ascii="Book Antiqua" w:hAnsi="Book Antiqua"/>
        </w:rPr>
        <w:t xml:space="preserve"> did not mention ill-treatment during detention in his subsequent witness statement, it is at this point that the appellant’s age might have been relevant to the assessment. At the date when he was interviewed the appellant had only just turned 18 years old. The respondent has a shared duty to assist a young asylum seeker to present the relevant facts. Having indicated that he was ill-treated in detention the interviewing officer did not ask any questions to elicit </w:t>
      </w:r>
      <w:r w:rsidR="00F43A73">
        <w:rPr>
          <w:rFonts w:ascii="Book Antiqua" w:hAnsi="Book Antiqua"/>
        </w:rPr>
        <w:t>the nature or extent of his ill-treatment.</w:t>
      </w:r>
      <w:r>
        <w:rPr>
          <w:rFonts w:ascii="Book Antiqua" w:hAnsi="Book Antiqua"/>
        </w:rPr>
        <w:t xml:space="preserve"> </w:t>
      </w:r>
      <w:r w:rsidR="00F958BF">
        <w:rPr>
          <w:rFonts w:ascii="Book Antiqua" w:hAnsi="Book Antiqua"/>
        </w:rPr>
        <w:t>The appellant</w:t>
      </w:r>
      <w:r>
        <w:rPr>
          <w:rFonts w:ascii="Book Antiqua" w:hAnsi="Book Antiqua"/>
        </w:rPr>
        <w:t xml:space="preserve"> was reliant on his legal representatives to assist him to prepare a statement in support of the appeal. The statement they prepared was of the unhelpful kind that merely responds to the reasons for refusal rather than setting out a detailed chronological account of events. </w:t>
      </w:r>
      <w:r w:rsidR="00F958BF">
        <w:rPr>
          <w:rFonts w:ascii="Book Antiqua" w:hAnsi="Book Antiqua"/>
        </w:rPr>
        <w:t xml:space="preserve">Although it might have been open to the judge to expect the appellant to mention such an important issue in his statement, it needed to at least be considered in context of the appellant’s young age and he fact that he is illiterate and was reliant on others to prepare a written statement.  </w:t>
      </w:r>
    </w:p>
    <w:p w14:paraId="1FD1FE9D" w14:textId="56219890" w:rsidR="00CB6141" w:rsidRDefault="00CB6141" w:rsidP="007775A3">
      <w:pPr>
        <w:ind w:left="720" w:hanging="720"/>
        <w:jc w:val="both"/>
        <w:rPr>
          <w:rFonts w:ascii="Book Antiqua" w:hAnsi="Book Antiqua"/>
        </w:rPr>
      </w:pPr>
    </w:p>
    <w:p w14:paraId="61E6C0C0" w14:textId="50C1683D" w:rsidR="00CB6141" w:rsidRDefault="009F5C1A" w:rsidP="007775A3">
      <w:pPr>
        <w:ind w:left="720" w:hanging="720"/>
        <w:jc w:val="both"/>
        <w:rPr>
          <w:rFonts w:ascii="Book Antiqua" w:hAnsi="Book Antiqua"/>
        </w:rPr>
      </w:pPr>
      <w:r>
        <w:rPr>
          <w:rFonts w:ascii="Book Antiqua" w:hAnsi="Book Antiqua"/>
        </w:rPr>
        <w:t>20.</w:t>
      </w:r>
      <w:r>
        <w:rPr>
          <w:rFonts w:ascii="Book Antiqua" w:hAnsi="Book Antiqua"/>
        </w:rPr>
        <w:tab/>
        <w:t xml:space="preserve">It was open to the judge to find that the appellant’s activities on Facebook were likely to have been undertaken in a cynical manner given that he </w:t>
      </w:r>
      <w:r w:rsidR="007B321A">
        <w:rPr>
          <w:rFonts w:ascii="Book Antiqua" w:hAnsi="Book Antiqua"/>
        </w:rPr>
        <w:t>is</w:t>
      </w:r>
      <w:r>
        <w:rPr>
          <w:rFonts w:ascii="Book Antiqua" w:hAnsi="Book Antiqua"/>
        </w:rPr>
        <w:t xml:space="preserve"> illiterate and needed the assistance of friends to open and run </w:t>
      </w:r>
      <w:r w:rsidR="007B321A">
        <w:rPr>
          <w:rFonts w:ascii="Book Antiqua" w:hAnsi="Book Antiqua"/>
        </w:rPr>
        <w:t xml:space="preserve">the </w:t>
      </w:r>
      <w:r>
        <w:rPr>
          <w:rFonts w:ascii="Book Antiqua" w:hAnsi="Book Antiqua"/>
        </w:rPr>
        <w:t xml:space="preserve">account. The points made on behalf of the appellant about the practicalities of setting up an account are immaterial given that the judge appeared to accept that there was some level of activity albeit it was carried out in a cynical way to produce evidence to support the protection claim. </w:t>
      </w:r>
    </w:p>
    <w:p w14:paraId="3E054F78" w14:textId="6CC6721A" w:rsidR="009F5C1A" w:rsidRDefault="009F5C1A" w:rsidP="007775A3">
      <w:pPr>
        <w:ind w:left="720" w:hanging="720"/>
        <w:jc w:val="both"/>
        <w:rPr>
          <w:rFonts w:ascii="Book Antiqua" w:hAnsi="Book Antiqua"/>
        </w:rPr>
      </w:pPr>
    </w:p>
    <w:p w14:paraId="1414428A" w14:textId="6D438C1C" w:rsidR="009F5C1A" w:rsidRDefault="009F5C1A" w:rsidP="007775A3">
      <w:pPr>
        <w:ind w:left="720" w:hanging="720"/>
        <w:jc w:val="both"/>
        <w:rPr>
          <w:rFonts w:ascii="Book Antiqua" w:hAnsi="Book Antiqua"/>
        </w:rPr>
      </w:pPr>
      <w:r>
        <w:rPr>
          <w:rFonts w:ascii="Book Antiqua" w:hAnsi="Book Antiqua"/>
        </w:rPr>
        <w:t xml:space="preserve">21. </w:t>
      </w:r>
      <w:r>
        <w:rPr>
          <w:rFonts w:ascii="Book Antiqua" w:hAnsi="Book Antiqua"/>
        </w:rPr>
        <w:tab/>
        <w:t>In addition to the above, I also have concerns about the way in which the judge assessed risk on return</w:t>
      </w:r>
      <w:r w:rsidR="007B321A">
        <w:rPr>
          <w:rFonts w:ascii="Book Antiqua" w:hAnsi="Book Antiqua"/>
        </w:rPr>
        <w:t>. His findings are</w:t>
      </w:r>
      <w:r w:rsidR="00673821">
        <w:rPr>
          <w:rFonts w:ascii="Book Antiqua" w:hAnsi="Book Antiqua"/>
        </w:rPr>
        <w:t xml:space="preserve"> somewhat confused and contradictory</w:t>
      </w:r>
      <w:r>
        <w:rPr>
          <w:rFonts w:ascii="Book Antiqua" w:hAnsi="Book Antiqua"/>
        </w:rPr>
        <w:t xml:space="preserve">. </w:t>
      </w:r>
      <w:r w:rsidR="007B321A">
        <w:rPr>
          <w:rFonts w:ascii="Book Antiqua" w:hAnsi="Book Antiqua"/>
        </w:rPr>
        <w:t>Although the judge</w:t>
      </w:r>
      <w:r>
        <w:rPr>
          <w:rFonts w:ascii="Book Antiqua" w:hAnsi="Book Antiqua"/>
        </w:rPr>
        <w:t xml:space="preserve"> quoted the headnote from </w:t>
      </w:r>
      <w:r w:rsidRPr="009F5C1A">
        <w:rPr>
          <w:rFonts w:ascii="Book Antiqua" w:hAnsi="Book Antiqua"/>
          <w:i/>
          <w:iCs/>
        </w:rPr>
        <w:t>HB (Kurds)</w:t>
      </w:r>
      <w:r>
        <w:rPr>
          <w:rFonts w:ascii="Book Antiqua" w:hAnsi="Book Antiqua"/>
        </w:rPr>
        <w:t xml:space="preserve"> he failed to engage with the substance of the country guidance </w:t>
      </w:r>
      <w:r w:rsidR="00F43A73">
        <w:rPr>
          <w:rFonts w:ascii="Book Antiqua" w:hAnsi="Book Antiqua"/>
        </w:rPr>
        <w:t xml:space="preserve">in any meaningful way </w:t>
      </w:r>
      <w:r>
        <w:rPr>
          <w:rFonts w:ascii="Book Antiqua" w:hAnsi="Book Antiqua"/>
        </w:rPr>
        <w:t xml:space="preserve">either as part of a holistic assessment of the credibility of the appellant’s </w:t>
      </w:r>
      <w:r w:rsidR="00F43A73">
        <w:rPr>
          <w:rFonts w:ascii="Book Antiqua" w:hAnsi="Book Antiqua"/>
        </w:rPr>
        <w:t xml:space="preserve">account or when assessing the potential risk on return. </w:t>
      </w:r>
    </w:p>
    <w:p w14:paraId="2255A3AF" w14:textId="4A752A58" w:rsidR="00CB6141" w:rsidRDefault="00CB6141" w:rsidP="007775A3">
      <w:pPr>
        <w:ind w:left="720" w:hanging="720"/>
        <w:jc w:val="both"/>
        <w:rPr>
          <w:rFonts w:ascii="Book Antiqua" w:hAnsi="Book Antiqua"/>
        </w:rPr>
      </w:pPr>
    </w:p>
    <w:p w14:paraId="2747B4D4" w14:textId="77777777" w:rsidR="001423DF" w:rsidRDefault="00F43A73" w:rsidP="00F43A73">
      <w:pPr>
        <w:ind w:left="720" w:hanging="720"/>
        <w:jc w:val="both"/>
        <w:rPr>
          <w:rFonts w:ascii="Book Antiqua" w:hAnsi="Book Antiqua"/>
        </w:rPr>
      </w:pPr>
      <w:r>
        <w:rPr>
          <w:rFonts w:ascii="Book Antiqua" w:hAnsi="Book Antiqua"/>
        </w:rPr>
        <w:t>22.</w:t>
      </w:r>
      <w:r>
        <w:rPr>
          <w:rFonts w:ascii="Book Antiqua" w:hAnsi="Book Antiqua"/>
        </w:rPr>
        <w:tab/>
      </w:r>
      <w:r w:rsidR="00C905DC">
        <w:rPr>
          <w:rFonts w:ascii="Book Antiqua" w:hAnsi="Book Antiqua"/>
        </w:rPr>
        <w:t>The judge accepted that the Iranian regime had “</w:t>
      </w:r>
      <w:r w:rsidR="00C905DC" w:rsidRPr="00C905DC">
        <w:rPr>
          <w:rFonts w:ascii="Book Antiqua" w:hAnsi="Book Antiqua"/>
          <w:i/>
          <w:iCs/>
        </w:rPr>
        <w:t xml:space="preserve">a tendency to behave in ways that are arbitrary and unpredictable” </w:t>
      </w:r>
      <w:r w:rsidR="00C905DC">
        <w:rPr>
          <w:rFonts w:ascii="Book Antiqua" w:hAnsi="Book Antiqua"/>
        </w:rPr>
        <w:t xml:space="preserve">[46]. </w:t>
      </w:r>
      <w:r w:rsidR="00673821">
        <w:rPr>
          <w:rFonts w:ascii="Book Antiqua" w:hAnsi="Book Antiqua"/>
        </w:rPr>
        <w:t xml:space="preserve">In </w:t>
      </w:r>
      <w:r w:rsidR="00673821" w:rsidRPr="001423DF">
        <w:rPr>
          <w:rFonts w:ascii="Book Antiqua" w:hAnsi="Book Antiqua"/>
          <w:i/>
          <w:iCs/>
        </w:rPr>
        <w:t>HB (Kurds)</w:t>
      </w:r>
      <w:r w:rsidR="00673821">
        <w:rPr>
          <w:rFonts w:ascii="Book Antiqua" w:hAnsi="Book Antiqua"/>
        </w:rPr>
        <w:t xml:space="preserve"> the Upper Tribunal made clear that the Iranian authorities were increasingly suspicious of Kurdish political activity and Kurds were likely to be subject to heightened scrutiny on return to Iran. Even </w:t>
      </w:r>
      <w:r w:rsidR="007B2166">
        <w:rPr>
          <w:rFonts w:ascii="Book Antiqua" w:hAnsi="Book Antiqua"/>
        </w:rPr>
        <w:t>low-level</w:t>
      </w:r>
      <w:r w:rsidR="00673821">
        <w:rPr>
          <w:rFonts w:ascii="Book Antiqua" w:hAnsi="Book Antiqua"/>
        </w:rPr>
        <w:t xml:space="preserve"> activity such as possession of leaflets in support of Kurdish rights could attract a real risk of persecution. The Upper Tribunal conclude</w:t>
      </w:r>
      <w:r w:rsidR="001423DF">
        <w:rPr>
          <w:rFonts w:ascii="Book Antiqua" w:hAnsi="Book Antiqua"/>
        </w:rPr>
        <w:t>d</w:t>
      </w:r>
      <w:r w:rsidR="00673821">
        <w:rPr>
          <w:rFonts w:ascii="Book Antiqua" w:hAnsi="Book Antiqua"/>
        </w:rPr>
        <w:t xml:space="preserve"> that the Iranian authorities took a ‘hair-trigger’ approach to those perceived to support Kurdish rights whereby </w:t>
      </w:r>
      <w:r w:rsidR="00673821" w:rsidRPr="001423DF">
        <w:rPr>
          <w:rFonts w:ascii="Book Antiqua" w:hAnsi="Book Antiqua"/>
          <w:i/>
          <w:iCs/>
        </w:rPr>
        <w:t>“the threshold for suspicion is low and the reaction of the authorities is reasonable likely to be extreme”</w:t>
      </w:r>
      <w:r w:rsidR="00673821">
        <w:rPr>
          <w:rFonts w:ascii="Book Antiqua" w:hAnsi="Book Antiqua"/>
        </w:rPr>
        <w:t xml:space="preserve">. </w:t>
      </w:r>
    </w:p>
    <w:p w14:paraId="2BAB8CE1" w14:textId="77777777" w:rsidR="001423DF" w:rsidRDefault="001423DF" w:rsidP="00F43A73">
      <w:pPr>
        <w:ind w:left="720" w:hanging="720"/>
        <w:jc w:val="both"/>
        <w:rPr>
          <w:rFonts w:ascii="Book Antiqua" w:hAnsi="Book Antiqua"/>
        </w:rPr>
      </w:pPr>
    </w:p>
    <w:p w14:paraId="5C1AE92D" w14:textId="22766699" w:rsidR="00F43A73" w:rsidRDefault="001423DF" w:rsidP="00F43A73">
      <w:pPr>
        <w:ind w:left="720" w:hanging="720"/>
        <w:jc w:val="both"/>
        <w:rPr>
          <w:rFonts w:ascii="Book Antiqua" w:hAnsi="Book Antiqua"/>
        </w:rPr>
      </w:pPr>
      <w:r>
        <w:rPr>
          <w:rFonts w:ascii="Book Antiqua" w:hAnsi="Book Antiqua"/>
        </w:rPr>
        <w:t>23.</w:t>
      </w:r>
      <w:r>
        <w:rPr>
          <w:rFonts w:ascii="Book Antiqua" w:hAnsi="Book Antiqua"/>
        </w:rPr>
        <w:tab/>
      </w:r>
      <w:r w:rsidR="00C905DC">
        <w:rPr>
          <w:rFonts w:ascii="Book Antiqua" w:hAnsi="Book Antiqua"/>
        </w:rPr>
        <w:t xml:space="preserve">At [61(i)] </w:t>
      </w:r>
      <w:r w:rsidR="00673821">
        <w:rPr>
          <w:rFonts w:ascii="Book Antiqua" w:hAnsi="Book Antiqua"/>
        </w:rPr>
        <w:t xml:space="preserve">the judge </w:t>
      </w:r>
      <w:r w:rsidR="00F43A73">
        <w:rPr>
          <w:rFonts w:ascii="Book Antiqua" w:hAnsi="Book Antiqua"/>
        </w:rPr>
        <w:t xml:space="preserve">appeared to assess the case on the basis that the Iranian authorities </w:t>
      </w:r>
      <w:r>
        <w:rPr>
          <w:rFonts w:ascii="Book Antiqua" w:hAnsi="Book Antiqua"/>
        </w:rPr>
        <w:t>are likely</w:t>
      </w:r>
      <w:r w:rsidR="00F43A73">
        <w:rPr>
          <w:rFonts w:ascii="Book Antiqua" w:hAnsi="Book Antiqua"/>
        </w:rPr>
        <w:t xml:space="preserve"> to monitor activities on Facebook and political activity in the UK. </w:t>
      </w:r>
      <w:r w:rsidR="00C905DC">
        <w:rPr>
          <w:rFonts w:ascii="Book Antiqua" w:hAnsi="Book Antiqua"/>
        </w:rPr>
        <w:t xml:space="preserve">Having made those findings </w:t>
      </w:r>
      <w:r w:rsidR="00673821">
        <w:rPr>
          <w:rFonts w:ascii="Book Antiqua" w:hAnsi="Book Antiqua"/>
        </w:rPr>
        <w:t xml:space="preserve">it is difficult to see how the judge could rationally conclude at [61(iv)] that the </w:t>
      </w:r>
      <w:r w:rsidR="007B2166">
        <w:rPr>
          <w:rFonts w:ascii="Book Antiqua" w:hAnsi="Book Antiqua"/>
        </w:rPr>
        <w:t xml:space="preserve">Iranian authorities were likely to dismiss the appellant’s activities in the UK as “opportunistic”. The evidence relating to Iran indicates a high level of suspicion and intolerance of even </w:t>
      </w:r>
      <w:r>
        <w:rPr>
          <w:rFonts w:ascii="Book Antiqua" w:hAnsi="Book Antiqua"/>
        </w:rPr>
        <w:t>low-level</w:t>
      </w:r>
      <w:r w:rsidR="007B2166">
        <w:rPr>
          <w:rFonts w:ascii="Book Antiqua" w:hAnsi="Book Antiqua"/>
        </w:rPr>
        <w:t xml:space="preserve"> activities on behalf of the Kurdish cause</w:t>
      </w:r>
      <w:r>
        <w:rPr>
          <w:rFonts w:ascii="Book Antiqua" w:hAnsi="Book Antiqua"/>
        </w:rPr>
        <w:t xml:space="preserve">. Nothing in the evidence </w:t>
      </w:r>
      <w:r w:rsidR="0022250A">
        <w:rPr>
          <w:rFonts w:ascii="Book Antiqua" w:hAnsi="Book Antiqua"/>
        </w:rPr>
        <w:t xml:space="preserve">or country guidance </w:t>
      </w:r>
      <w:r>
        <w:rPr>
          <w:rFonts w:ascii="Book Antiqua" w:hAnsi="Book Antiqua"/>
        </w:rPr>
        <w:t xml:space="preserve">supported the judge’s conclusion, and in fact pointed in the opposite direction. </w:t>
      </w:r>
      <w:r w:rsidR="007B2166">
        <w:rPr>
          <w:rFonts w:ascii="Book Antiqua" w:hAnsi="Book Antiqua"/>
        </w:rPr>
        <w:t xml:space="preserve">In my assessment the judge failed to engage adequately with the substance of the country guidance in light of his apparent acceptance that the appellant had been active on Facebook and had attended at least one demonstration in the UK even if those activities were found to be </w:t>
      </w:r>
      <w:r w:rsidR="0022250A">
        <w:rPr>
          <w:rFonts w:ascii="Book Antiqua" w:hAnsi="Book Antiqua"/>
        </w:rPr>
        <w:t>cynical</w:t>
      </w:r>
      <w:r w:rsidR="007B2166">
        <w:rPr>
          <w:rFonts w:ascii="Book Antiqua" w:hAnsi="Book Antiqua"/>
        </w:rPr>
        <w:t xml:space="preserve">. </w:t>
      </w:r>
      <w:r>
        <w:rPr>
          <w:rFonts w:ascii="Book Antiqua" w:hAnsi="Book Antiqua"/>
        </w:rPr>
        <w:t xml:space="preserve">It was insufficient to say that he had applied the guidance when </w:t>
      </w:r>
      <w:r w:rsidR="0022250A">
        <w:rPr>
          <w:rFonts w:ascii="Book Antiqua" w:hAnsi="Book Antiqua"/>
        </w:rPr>
        <w:t xml:space="preserve">his findings did not in fact engage with the substance and his overall conclusion contradicted </w:t>
      </w:r>
      <w:r w:rsidR="00D714C6">
        <w:rPr>
          <w:rFonts w:ascii="Book Antiqua" w:hAnsi="Book Antiqua"/>
        </w:rPr>
        <w:t>it</w:t>
      </w:r>
      <w:r w:rsidR="0022250A">
        <w:rPr>
          <w:rFonts w:ascii="Book Antiqua" w:hAnsi="Book Antiqua"/>
        </w:rPr>
        <w:t>.</w:t>
      </w:r>
    </w:p>
    <w:p w14:paraId="62972D33" w14:textId="5CADE36E" w:rsidR="00F43A73" w:rsidRDefault="00F43A73" w:rsidP="00F43A73">
      <w:pPr>
        <w:ind w:left="720" w:hanging="720"/>
        <w:jc w:val="both"/>
        <w:rPr>
          <w:rFonts w:ascii="Book Antiqua" w:hAnsi="Book Antiqua"/>
        </w:rPr>
      </w:pPr>
    </w:p>
    <w:p w14:paraId="0B849ABD" w14:textId="7165F549" w:rsidR="00F43A73" w:rsidRDefault="001423DF" w:rsidP="00F43A73">
      <w:pPr>
        <w:ind w:left="720" w:hanging="720"/>
        <w:jc w:val="both"/>
        <w:rPr>
          <w:rFonts w:ascii="Book Antiqua" w:hAnsi="Book Antiqua"/>
        </w:rPr>
      </w:pPr>
      <w:r>
        <w:rPr>
          <w:rFonts w:ascii="Book Antiqua" w:hAnsi="Book Antiqua"/>
        </w:rPr>
        <w:t>24.</w:t>
      </w:r>
      <w:r>
        <w:rPr>
          <w:rFonts w:ascii="Book Antiqua" w:hAnsi="Book Antiqua"/>
        </w:rPr>
        <w:tab/>
        <w:t xml:space="preserve">For the reasons given above, I conclude that the First-tier Tribunal decision involved the making of an error on a point of law. </w:t>
      </w:r>
      <w:r w:rsidR="0022250A">
        <w:rPr>
          <w:rFonts w:ascii="Book Antiqua" w:hAnsi="Book Antiqua"/>
        </w:rPr>
        <w:t xml:space="preserve">The decision is set aside. </w:t>
      </w:r>
      <w:r>
        <w:rPr>
          <w:rFonts w:ascii="Book Antiqua" w:hAnsi="Book Antiqua"/>
        </w:rPr>
        <w:t>The usual course of action would be for the Upper Tribunal to remake the decision</w:t>
      </w:r>
      <w:r w:rsidR="00682D8D">
        <w:rPr>
          <w:rFonts w:ascii="Book Antiqua" w:hAnsi="Book Antiqua"/>
        </w:rPr>
        <w:t xml:space="preserve">. If the only error had been in the First-tier Tribunal’s assessment of risk on return I would have retained the case in the Upper </w:t>
      </w:r>
      <w:r w:rsidR="0022250A">
        <w:rPr>
          <w:rFonts w:ascii="Book Antiqua" w:hAnsi="Book Antiqua"/>
        </w:rPr>
        <w:t>T</w:t>
      </w:r>
      <w:r w:rsidR="00682D8D">
        <w:rPr>
          <w:rFonts w:ascii="Book Antiqua" w:hAnsi="Book Antiqua"/>
        </w:rPr>
        <w:t>ribunal. However,</w:t>
      </w:r>
      <w:r>
        <w:rPr>
          <w:rFonts w:ascii="Book Antiqua" w:hAnsi="Book Antiqua"/>
        </w:rPr>
        <w:t xml:space="preserve"> the nature and extent of the fact finding necessary is extensive. </w:t>
      </w:r>
      <w:r w:rsidR="00682D8D">
        <w:rPr>
          <w:rFonts w:ascii="Book Antiqua" w:hAnsi="Book Antiqua"/>
        </w:rPr>
        <w:t>The</w:t>
      </w:r>
      <w:r>
        <w:rPr>
          <w:rFonts w:ascii="Book Antiqua" w:hAnsi="Book Antiqua"/>
        </w:rPr>
        <w:t xml:space="preserve"> parties accepted that if the First-tier Tribunal’s credibility findings could not stand, then it </w:t>
      </w:r>
      <w:r w:rsidR="00682D8D">
        <w:rPr>
          <w:rFonts w:ascii="Book Antiqua" w:hAnsi="Book Antiqua"/>
        </w:rPr>
        <w:t xml:space="preserve">would be </w:t>
      </w:r>
      <w:r>
        <w:rPr>
          <w:rFonts w:ascii="Book Antiqua" w:hAnsi="Book Antiqua"/>
        </w:rPr>
        <w:t>appropriate for the case to be remitted to the First-tier Tribunal</w:t>
      </w:r>
      <w:r w:rsidR="0022250A">
        <w:rPr>
          <w:rFonts w:ascii="Book Antiqua" w:hAnsi="Book Antiqua"/>
        </w:rPr>
        <w:t xml:space="preserve"> for a fresh decision to be made. </w:t>
      </w:r>
    </w:p>
    <w:p w14:paraId="53B16B74" w14:textId="1DD0E2F8" w:rsidR="007775A3" w:rsidRDefault="007775A3" w:rsidP="007775A3">
      <w:pPr>
        <w:rPr>
          <w:rFonts w:ascii="Book Antiqua" w:hAnsi="Book Antiqua"/>
        </w:rPr>
      </w:pPr>
    </w:p>
    <w:p w14:paraId="71A0050E" w14:textId="77777777" w:rsidR="0022250A" w:rsidRDefault="0022250A" w:rsidP="007775A3">
      <w:pPr>
        <w:rPr>
          <w:rFonts w:ascii="Book Antiqua" w:hAnsi="Book Antiqua"/>
        </w:rPr>
      </w:pPr>
    </w:p>
    <w:p w14:paraId="7ADCAE1A" w14:textId="2F697123" w:rsidR="007775A3" w:rsidRPr="0003795A" w:rsidRDefault="0003795A" w:rsidP="007775A3">
      <w:pPr>
        <w:rPr>
          <w:rFonts w:ascii="Book Antiqua" w:hAnsi="Book Antiqua"/>
          <w:u w:val="single"/>
        </w:rPr>
      </w:pPr>
      <w:r w:rsidRPr="0003795A">
        <w:rPr>
          <w:rFonts w:ascii="Book Antiqua" w:hAnsi="Book Antiqua"/>
          <w:u w:val="single"/>
        </w:rPr>
        <w:t>DECISION</w:t>
      </w:r>
    </w:p>
    <w:p w14:paraId="29D89838" w14:textId="7F100517" w:rsidR="00F63500" w:rsidRDefault="00F63500" w:rsidP="00F63500">
      <w:pPr>
        <w:tabs>
          <w:tab w:val="left" w:pos="567"/>
        </w:tabs>
        <w:jc w:val="both"/>
        <w:rPr>
          <w:rFonts w:ascii="Book Antiqua" w:hAnsi="Book Antiqua" w:cs="Arial"/>
        </w:rPr>
      </w:pPr>
    </w:p>
    <w:p w14:paraId="75545489" w14:textId="7E867DF1" w:rsidR="00F63500" w:rsidRDefault="009F5C1A" w:rsidP="00F63500">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14:paraId="089A900C" w14:textId="2C94DBD3" w:rsidR="009F5C1A" w:rsidRDefault="009F5C1A" w:rsidP="00F63500">
      <w:pPr>
        <w:tabs>
          <w:tab w:val="left" w:pos="567"/>
        </w:tabs>
        <w:jc w:val="both"/>
        <w:rPr>
          <w:rFonts w:ascii="Book Antiqua" w:hAnsi="Book Antiqua" w:cs="Arial"/>
        </w:rPr>
      </w:pPr>
    </w:p>
    <w:p w14:paraId="464B0E72" w14:textId="29853405" w:rsidR="009F5C1A" w:rsidRDefault="009F5C1A" w:rsidP="00F63500">
      <w:pPr>
        <w:tabs>
          <w:tab w:val="left" w:pos="567"/>
        </w:tabs>
        <w:jc w:val="both"/>
        <w:rPr>
          <w:rFonts w:ascii="Book Antiqua" w:hAnsi="Book Antiqua" w:cs="Arial"/>
        </w:rPr>
      </w:pPr>
      <w:r>
        <w:rPr>
          <w:rFonts w:ascii="Book Antiqua" w:hAnsi="Book Antiqua" w:cs="Arial"/>
        </w:rPr>
        <w:t>The case is remitted to the First-tier Tribunal for a fresh hearing</w:t>
      </w:r>
    </w:p>
    <w:p w14:paraId="42C274CD" w14:textId="77777777" w:rsidR="00F63500" w:rsidRDefault="00F63500" w:rsidP="00F63500">
      <w:pPr>
        <w:tabs>
          <w:tab w:val="left" w:pos="567"/>
        </w:tabs>
        <w:jc w:val="both"/>
        <w:rPr>
          <w:rFonts w:ascii="Book Antiqua" w:hAnsi="Book Antiqua" w:cs="Arial"/>
        </w:rPr>
      </w:pPr>
    </w:p>
    <w:p w14:paraId="3907A275" w14:textId="77777777" w:rsidR="00F63500" w:rsidRDefault="00F63500" w:rsidP="00F63500">
      <w:pPr>
        <w:tabs>
          <w:tab w:val="left" w:pos="567"/>
        </w:tabs>
        <w:jc w:val="both"/>
        <w:rPr>
          <w:rFonts w:ascii="Book Antiqua" w:hAnsi="Book Antiqua" w:cs="Arial"/>
        </w:rPr>
      </w:pPr>
    </w:p>
    <w:p w14:paraId="74F02F01" w14:textId="219EB542" w:rsidR="00F63500" w:rsidRDefault="00F63500" w:rsidP="00F63500">
      <w:pPr>
        <w:tabs>
          <w:tab w:val="left" w:pos="567"/>
        </w:tabs>
        <w:jc w:val="both"/>
        <w:rPr>
          <w:rFonts w:ascii="Book Antiqua" w:hAnsi="Book Antiqua" w:cs="Arial"/>
        </w:rPr>
      </w:pPr>
      <w:r>
        <w:rPr>
          <w:rFonts w:ascii="Book Antiqua" w:hAnsi="Book Antiqua" w:cs="Arial"/>
        </w:rPr>
        <w:t xml:space="preserve">Signed   </w:t>
      </w:r>
      <w:r w:rsidR="001950A7" w:rsidRPr="00E75820">
        <w:rPr>
          <w:rFonts w:ascii="Lucida Handwriting" w:hAnsi="Lucida Handwriting" w:cs="Arial"/>
          <w:noProof/>
        </w:rPr>
        <w:t>M. Canavan</w:t>
      </w:r>
      <w:r w:rsidR="001950A7">
        <w:rPr>
          <w:rFonts w:ascii="Book Antiqua" w:hAnsi="Book Antiqua" w:cs="Arial"/>
        </w:rPr>
        <w:tab/>
      </w:r>
      <w:r>
        <w:rPr>
          <w:rFonts w:ascii="Book Antiqua" w:hAnsi="Book Antiqua" w:cs="Arial"/>
        </w:rPr>
        <w:tab/>
        <w:t xml:space="preserve">Date </w:t>
      </w:r>
      <w:r w:rsidR="009F5C1A">
        <w:rPr>
          <w:rFonts w:ascii="Book Antiqua" w:hAnsi="Book Antiqua" w:cs="Arial"/>
        </w:rPr>
        <w:t xml:space="preserve">  24 August 2020 </w:t>
      </w:r>
      <w:bookmarkStart w:id="0" w:name="_GoBack"/>
      <w:bookmarkEnd w:id="0"/>
    </w:p>
    <w:p w14:paraId="3D4824A9" w14:textId="77777777" w:rsidR="00F63500" w:rsidRDefault="00F63500" w:rsidP="00F63500">
      <w:pPr>
        <w:tabs>
          <w:tab w:val="left" w:pos="567"/>
        </w:tabs>
        <w:jc w:val="both"/>
        <w:rPr>
          <w:rFonts w:ascii="Book Antiqua" w:hAnsi="Book Antiqua" w:cs="Arial"/>
        </w:rPr>
      </w:pPr>
      <w:r>
        <w:rPr>
          <w:rFonts w:ascii="Book Antiqua" w:hAnsi="Book Antiqua" w:cs="Arial"/>
        </w:rPr>
        <w:t>Upper Tribunal Judge Canavan</w:t>
      </w:r>
    </w:p>
    <w:p w14:paraId="31402E3C" w14:textId="063A73CA" w:rsidR="00682D8D" w:rsidRDefault="00682D8D" w:rsidP="006610FF">
      <w:pPr>
        <w:tabs>
          <w:tab w:val="left" w:pos="2520"/>
        </w:tabs>
        <w:ind w:left="540" w:hanging="540"/>
        <w:jc w:val="center"/>
        <w:rPr>
          <w:rFonts w:ascii="Book Antiqua" w:hAnsi="Book Antiqua" w:cs="Arial"/>
        </w:rPr>
      </w:pPr>
    </w:p>
    <w:p w14:paraId="0B78C482" w14:textId="1859C265" w:rsidR="00682D8D" w:rsidRDefault="00934E2E" w:rsidP="006610FF">
      <w:pPr>
        <w:tabs>
          <w:tab w:val="left" w:pos="2520"/>
        </w:tabs>
        <w:ind w:left="540" w:hanging="540"/>
        <w:jc w:val="center"/>
        <w:rPr>
          <w:rFonts w:ascii="Book Antiqua" w:hAnsi="Book Antiqua" w:cs="Arial"/>
        </w:rPr>
      </w:pPr>
      <w:r>
        <w:rPr>
          <w:noProof/>
        </w:rPr>
        <w:drawing>
          <wp:anchor distT="0" distB="0" distL="114300" distR="114300" simplePos="0" relativeHeight="251659264" behindDoc="1" locked="0" layoutInCell="1" allowOverlap="1" wp14:anchorId="46353049" wp14:editId="4890EAE8">
            <wp:simplePos x="0" y="0"/>
            <wp:positionH relativeFrom="column">
              <wp:posOffset>3931920</wp:posOffset>
            </wp:positionH>
            <wp:positionV relativeFrom="paragraph">
              <wp:posOffset>4445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B0CA8" w14:textId="3A2C5B64" w:rsidR="00D714C6" w:rsidRDefault="00D714C6" w:rsidP="006610FF">
      <w:pPr>
        <w:tabs>
          <w:tab w:val="left" w:pos="2520"/>
        </w:tabs>
        <w:ind w:left="540" w:hanging="540"/>
        <w:jc w:val="center"/>
        <w:rPr>
          <w:rFonts w:ascii="Book Antiqua" w:hAnsi="Book Antiqua" w:cs="Arial"/>
        </w:rPr>
      </w:pPr>
    </w:p>
    <w:p w14:paraId="682D2FC5" w14:textId="0C042C77" w:rsidR="00D714C6" w:rsidRDefault="00D714C6" w:rsidP="006610FF">
      <w:pPr>
        <w:tabs>
          <w:tab w:val="left" w:pos="2520"/>
        </w:tabs>
        <w:ind w:left="540" w:hanging="540"/>
        <w:jc w:val="center"/>
        <w:rPr>
          <w:rFonts w:ascii="Book Antiqua" w:hAnsi="Book Antiqua" w:cs="Arial"/>
        </w:rPr>
      </w:pPr>
    </w:p>
    <w:p w14:paraId="008A9AA0" w14:textId="6B759172" w:rsidR="00D714C6" w:rsidRDefault="00D714C6" w:rsidP="006610FF">
      <w:pPr>
        <w:tabs>
          <w:tab w:val="left" w:pos="2520"/>
        </w:tabs>
        <w:ind w:left="540" w:hanging="540"/>
        <w:jc w:val="center"/>
        <w:rPr>
          <w:rFonts w:ascii="Book Antiqua" w:hAnsi="Book Antiqua" w:cs="Arial"/>
        </w:rPr>
      </w:pPr>
    </w:p>
    <w:p w14:paraId="0C738D9C" w14:textId="480C4D86" w:rsidR="00D714C6" w:rsidRDefault="00D714C6" w:rsidP="006610FF">
      <w:pPr>
        <w:tabs>
          <w:tab w:val="left" w:pos="2520"/>
        </w:tabs>
        <w:ind w:left="540" w:hanging="540"/>
        <w:jc w:val="center"/>
        <w:rPr>
          <w:rFonts w:ascii="Book Antiqua" w:hAnsi="Book Antiqua" w:cs="Arial"/>
        </w:rPr>
      </w:pPr>
    </w:p>
    <w:p w14:paraId="1B06DBD5" w14:textId="712C3F29" w:rsidR="00D714C6" w:rsidRDefault="00D714C6" w:rsidP="006610FF">
      <w:pPr>
        <w:tabs>
          <w:tab w:val="left" w:pos="2520"/>
        </w:tabs>
        <w:ind w:left="540" w:hanging="540"/>
        <w:jc w:val="center"/>
        <w:rPr>
          <w:rFonts w:ascii="Book Antiqua" w:hAnsi="Book Antiqua" w:cs="Arial"/>
        </w:rPr>
      </w:pPr>
    </w:p>
    <w:p w14:paraId="497FFE5B" w14:textId="77777777" w:rsidR="00D714C6" w:rsidRDefault="00D714C6" w:rsidP="006610FF">
      <w:pPr>
        <w:tabs>
          <w:tab w:val="left" w:pos="2520"/>
        </w:tabs>
        <w:ind w:left="540" w:hanging="540"/>
        <w:jc w:val="center"/>
        <w:rPr>
          <w:rFonts w:ascii="Book Antiqua" w:hAnsi="Book Antiqua" w:cs="Arial"/>
        </w:rPr>
      </w:pPr>
    </w:p>
    <w:p w14:paraId="11E1067B" w14:textId="77777777" w:rsidR="006610FF" w:rsidRPr="00A04A5C" w:rsidRDefault="006610FF" w:rsidP="006610FF">
      <w:pPr>
        <w:tabs>
          <w:tab w:val="left" w:pos="2520"/>
        </w:tabs>
        <w:ind w:left="540" w:hanging="540"/>
        <w:jc w:val="both"/>
        <w:rPr>
          <w:rFonts w:ascii="Book Antiqua" w:hAnsi="Book Antiqua" w:cs="Arial"/>
          <w:color w:val="000000"/>
          <w:sz w:val="16"/>
          <w:szCs w:val="16"/>
        </w:rPr>
      </w:pPr>
    </w:p>
    <w:p w14:paraId="6734B3EF" w14:textId="77777777" w:rsidR="006610FF" w:rsidRPr="00A04A5C" w:rsidRDefault="006610FF" w:rsidP="006610FF">
      <w:pPr>
        <w:tabs>
          <w:tab w:val="left" w:pos="2520"/>
        </w:tabs>
        <w:jc w:val="both"/>
        <w:rPr>
          <w:rFonts w:ascii="Book Antiqua" w:hAnsi="Book Antiqua" w:cs="Arial"/>
          <w:b/>
          <w:bCs/>
          <w:color w:val="000000"/>
          <w:sz w:val="16"/>
          <w:szCs w:val="16"/>
        </w:rPr>
      </w:pPr>
    </w:p>
    <w:p w14:paraId="3862D5B3" w14:textId="77777777" w:rsidR="006610FF" w:rsidRPr="00A04A5C" w:rsidRDefault="006610FF" w:rsidP="006610FF">
      <w:pPr>
        <w:jc w:val="center"/>
        <w:rPr>
          <w:rFonts w:ascii="Book Antiqua" w:hAnsi="Book Antiqua" w:cs="Arial"/>
          <w:sz w:val="16"/>
          <w:szCs w:val="16"/>
        </w:rPr>
      </w:pPr>
    </w:p>
    <w:p w14:paraId="42ACFD15" w14:textId="77777777" w:rsidR="006610FF" w:rsidRPr="00A04A5C" w:rsidRDefault="006610FF" w:rsidP="006610FF">
      <w:pPr>
        <w:jc w:val="center"/>
        <w:rPr>
          <w:rFonts w:ascii="Book Antiqua" w:hAnsi="Book Antiqua" w:cs="Arial"/>
          <w:sz w:val="16"/>
          <w:szCs w:val="16"/>
        </w:rPr>
      </w:pPr>
    </w:p>
    <w:p w14:paraId="0175EC4B" w14:textId="77777777" w:rsidR="006610FF" w:rsidRPr="006847BC" w:rsidRDefault="006610FF" w:rsidP="006610FF">
      <w:pPr>
        <w:rPr>
          <w:rFonts w:ascii="Book Antiqua" w:hAnsi="Book Antiqua" w:cs="Arial"/>
          <w:sz w:val="22"/>
          <w:szCs w:val="22"/>
        </w:rPr>
      </w:pPr>
    </w:p>
    <w:p w14:paraId="5E0B2FC1" w14:textId="77777777" w:rsidR="00202653" w:rsidRDefault="00202653"/>
    <w:sectPr w:rsidR="00202653" w:rsidSect="00431BC2">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4B01A" w14:textId="77777777" w:rsidR="009A17A2" w:rsidRDefault="009A17A2" w:rsidP="00F63500">
      <w:r>
        <w:separator/>
      </w:r>
    </w:p>
  </w:endnote>
  <w:endnote w:type="continuationSeparator" w:id="0">
    <w:p w14:paraId="1CE3B48C" w14:textId="77777777" w:rsidR="009A17A2" w:rsidRDefault="009A17A2" w:rsidP="00F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EABF" w14:textId="10D0A1EA" w:rsidR="00F43A73" w:rsidRPr="00431BC2" w:rsidRDefault="00F43A73" w:rsidP="00F43A73">
    <w:pPr>
      <w:pStyle w:val="Footer"/>
      <w:jc w:val="center"/>
      <w:rPr>
        <w:rFonts w:ascii="Book Antiqua" w:hAnsi="Book Antiqua" w:cs="Arial"/>
      </w:rPr>
    </w:pPr>
    <w:r w:rsidRPr="00431BC2">
      <w:rPr>
        <w:rStyle w:val="PageNumber"/>
        <w:rFonts w:ascii="Book Antiqua" w:hAnsi="Book Antiqua" w:cs="Arial"/>
      </w:rPr>
      <w:fldChar w:fldCharType="begin"/>
    </w:r>
    <w:r w:rsidRPr="00431BC2">
      <w:rPr>
        <w:rStyle w:val="PageNumber"/>
        <w:rFonts w:ascii="Book Antiqua" w:hAnsi="Book Antiqua" w:cs="Arial"/>
      </w:rPr>
      <w:instrText xml:space="preserve"> PAGE </w:instrText>
    </w:r>
    <w:r w:rsidRPr="00431BC2">
      <w:rPr>
        <w:rStyle w:val="PageNumber"/>
        <w:rFonts w:ascii="Book Antiqua" w:hAnsi="Book Antiqua" w:cs="Arial"/>
      </w:rPr>
      <w:fldChar w:fldCharType="separate"/>
    </w:r>
    <w:r w:rsidR="00A85FC7" w:rsidRPr="00431BC2">
      <w:rPr>
        <w:rStyle w:val="PageNumber"/>
        <w:rFonts w:ascii="Book Antiqua" w:hAnsi="Book Antiqua" w:cs="Arial"/>
        <w:noProof/>
      </w:rPr>
      <w:t>8</w:t>
    </w:r>
    <w:r w:rsidRPr="00431BC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2090" w14:textId="77777777" w:rsidR="00F43A73" w:rsidRPr="00431BC2" w:rsidRDefault="00F43A73" w:rsidP="00F43A73">
    <w:pPr>
      <w:jc w:val="center"/>
      <w:rPr>
        <w:rFonts w:ascii="Book Antiqua" w:hAnsi="Book Antiqua" w:cs="Arial"/>
        <w:b/>
      </w:rPr>
    </w:pPr>
    <w:r w:rsidRPr="00431BC2">
      <w:rPr>
        <w:rFonts w:ascii="Book Antiqua" w:hAnsi="Book Antiqua" w:cs="Arial"/>
        <w:b/>
        <w:spacing w:val="-6"/>
      </w:rPr>
      <w:t>©</w:t>
    </w:r>
    <w:r w:rsidRPr="00431BC2">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B55F5" w14:textId="77777777" w:rsidR="009A17A2" w:rsidRDefault="009A17A2" w:rsidP="00F63500">
      <w:r>
        <w:separator/>
      </w:r>
    </w:p>
  </w:footnote>
  <w:footnote w:type="continuationSeparator" w:id="0">
    <w:p w14:paraId="6DDC9760" w14:textId="77777777" w:rsidR="009A17A2" w:rsidRDefault="009A17A2" w:rsidP="00F63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DA871" w14:textId="77777777" w:rsidR="00F43A73" w:rsidRDefault="00F43A73" w:rsidP="007775A3">
    <w:pPr>
      <w:jc w:val="right"/>
      <w:rPr>
        <w:rFonts w:ascii="Book Antiqua" w:hAnsi="Book Antiqua"/>
        <w:b/>
        <w:u w:val="single"/>
      </w:rPr>
    </w:pPr>
    <w:r w:rsidRPr="001C2435">
      <w:rPr>
        <w:rFonts w:ascii="Book Antiqua" w:hAnsi="Book Antiqua" w:cs="Arial"/>
        <w:sz w:val="16"/>
        <w:szCs w:val="16"/>
      </w:rPr>
      <w:t>Appeal Number</w:t>
    </w:r>
    <w:r>
      <w:rPr>
        <w:rFonts w:ascii="Book Antiqua" w:hAnsi="Book Antiqua" w:cs="Arial"/>
        <w:sz w:val="16"/>
        <w:szCs w:val="16"/>
      </w:rPr>
      <w:t xml:space="preserve">: </w:t>
    </w:r>
    <w:r w:rsidRPr="007775A3">
      <w:rPr>
        <w:rFonts w:ascii="Book Antiqua" w:hAnsi="Book Antiqua" w:cs="Arial"/>
        <w:color w:val="000000"/>
        <w:sz w:val="16"/>
        <w:szCs w:val="16"/>
      </w:rPr>
      <w:t>PA/10615/2019</w:t>
    </w:r>
  </w:p>
  <w:p w14:paraId="32D5CDA0" w14:textId="0C63E5CC" w:rsidR="00F43A73" w:rsidRPr="00FC0871" w:rsidRDefault="00F43A73" w:rsidP="00F43A73">
    <w:pPr>
      <w:tabs>
        <w:tab w:val="right" w:pos="9720"/>
      </w:tabs>
      <w:ind w:right="-82"/>
      <w:jc w:val="right"/>
      <w:rPr>
        <w:rFonts w:ascii="Book Antiqua" w:hAnsi="Book Antiqua" w:cs="Arial"/>
        <w:color w:val="000000"/>
        <w:sz w:val="16"/>
        <w:szCs w:val="16"/>
      </w:rPr>
    </w:pPr>
  </w:p>
  <w:p w14:paraId="4F3E4F10" w14:textId="77777777" w:rsidR="00F43A73" w:rsidRPr="001C2435" w:rsidRDefault="00F43A73" w:rsidP="00F43A73">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D12"/>
    <w:multiLevelType w:val="hybridMultilevel"/>
    <w:tmpl w:val="C67AE69A"/>
    <w:lvl w:ilvl="0" w:tplc="F6F23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423A2D"/>
    <w:multiLevelType w:val="hybridMultilevel"/>
    <w:tmpl w:val="41468D28"/>
    <w:lvl w:ilvl="0" w:tplc="21DA1C70">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500"/>
    <w:rsid w:val="00032A18"/>
    <w:rsid w:val="0003795A"/>
    <w:rsid w:val="000759BE"/>
    <w:rsid w:val="000B0BFB"/>
    <w:rsid w:val="0011401C"/>
    <w:rsid w:val="001423DF"/>
    <w:rsid w:val="00156A45"/>
    <w:rsid w:val="001950A7"/>
    <w:rsid w:val="00202653"/>
    <w:rsid w:val="0022250A"/>
    <w:rsid w:val="00223C56"/>
    <w:rsid w:val="002B1163"/>
    <w:rsid w:val="002D7D77"/>
    <w:rsid w:val="003066A3"/>
    <w:rsid w:val="003533C6"/>
    <w:rsid w:val="003712FB"/>
    <w:rsid w:val="00385F9A"/>
    <w:rsid w:val="003B02FF"/>
    <w:rsid w:val="00431BC2"/>
    <w:rsid w:val="004755FC"/>
    <w:rsid w:val="005010DF"/>
    <w:rsid w:val="00526453"/>
    <w:rsid w:val="00551434"/>
    <w:rsid w:val="005879C1"/>
    <w:rsid w:val="00651662"/>
    <w:rsid w:val="006610FF"/>
    <w:rsid w:val="00667C88"/>
    <w:rsid w:val="00673821"/>
    <w:rsid w:val="00682D8D"/>
    <w:rsid w:val="006D618F"/>
    <w:rsid w:val="006D6586"/>
    <w:rsid w:val="00771D8A"/>
    <w:rsid w:val="007775A3"/>
    <w:rsid w:val="007B2166"/>
    <w:rsid w:val="007B321A"/>
    <w:rsid w:val="007C1B97"/>
    <w:rsid w:val="007D10B5"/>
    <w:rsid w:val="007E1323"/>
    <w:rsid w:val="0083637E"/>
    <w:rsid w:val="008A1B7D"/>
    <w:rsid w:val="008C43D8"/>
    <w:rsid w:val="00914CAD"/>
    <w:rsid w:val="00934E2E"/>
    <w:rsid w:val="009A17A2"/>
    <w:rsid w:val="009B3AF0"/>
    <w:rsid w:val="009D14E3"/>
    <w:rsid w:val="009E089F"/>
    <w:rsid w:val="009F5C1A"/>
    <w:rsid w:val="00A04A5C"/>
    <w:rsid w:val="00A85FC7"/>
    <w:rsid w:val="00A9661C"/>
    <w:rsid w:val="00AC39F1"/>
    <w:rsid w:val="00B07602"/>
    <w:rsid w:val="00B43F8D"/>
    <w:rsid w:val="00BE00B1"/>
    <w:rsid w:val="00BE1404"/>
    <w:rsid w:val="00BE2EA0"/>
    <w:rsid w:val="00C83C6A"/>
    <w:rsid w:val="00C905DC"/>
    <w:rsid w:val="00C9315E"/>
    <w:rsid w:val="00CB6141"/>
    <w:rsid w:val="00D714C6"/>
    <w:rsid w:val="00D851A1"/>
    <w:rsid w:val="00D87ABF"/>
    <w:rsid w:val="00D95012"/>
    <w:rsid w:val="00DA274A"/>
    <w:rsid w:val="00DF7744"/>
    <w:rsid w:val="00E42EA5"/>
    <w:rsid w:val="00E464DA"/>
    <w:rsid w:val="00E604E1"/>
    <w:rsid w:val="00E92EE6"/>
    <w:rsid w:val="00EF5BE0"/>
    <w:rsid w:val="00F062FF"/>
    <w:rsid w:val="00F43A73"/>
    <w:rsid w:val="00F63500"/>
    <w:rsid w:val="00F86E58"/>
    <w:rsid w:val="00F958BF"/>
    <w:rsid w:val="00FB2DB1"/>
    <w:rsid w:val="00FC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ED1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50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3500"/>
    <w:pPr>
      <w:tabs>
        <w:tab w:val="center" w:pos="4153"/>
        <w:tab w:val="right" w:pos="8306"/>
      </w:tabs>
    </w:pPr>
  </w:style>
  <w:style w:type="character" w:customStyle="1" w:styleId="HeaderChar">
    <w:name w:val="Header Char"/>
    <w:basedOn w:val="DefaultParagraphFont"/>
    <w:link w:val="Header"/>
    <w:rsid w:val="00F63500"/>
    <w:rPr>
      <w:rFonts w:ascii="Times New Roman" w:eastAsia="Times New Roman" w:hAnsi="Times New Roman" w:cs="Times New Roman"/>
      <w:sz w:val="24"/>
      <w:szCs w:val="24"/>
      <w:lang w:eastAsia="en-GB"/>
    </w:rPr>
  </w:style>
  <w:style w:type="paragraph" w:styleId="Footer">
    <w:name w:val="footer"/>
    <w:basedOn w:val="Normal"/>
    <w:link w:val="FooterChar"/>
    <w:rsid w:val="00F63500"/>
    <w:pPr>
      <w:tabs>
        <w:tab w:val="center" w:pos="4153"/>
        <w:tab w:val="right" w:pos="8306"/>
      </w:tabs>
    </w:pPr>
  </w:style>
  <w:style w:type="character" w:customStyle="1" w:styleId="FooterChar">
    <w:name w:val="Footer Char"/>
    <w:basedOn w:val="DefaultParagraphFont"/>
    <w:link w:val="Footer"/>
    <w:rsid w:val="00F63500"/>
    <w:rPr>
      <w:rFonts w:ascii="Times New Roman" w:eastAsia="Times New Roman" w:hAnsi="Times New Roman" w:cs="Times New Roman"/>
      <w:sz w:val="24"/>
      <w:szCs w:val="24"/>
      <w:lang w:eastAsia="en-GB"/>
    </w:rPr>
  </w:style>
  <w:style w:type="character" w:styleId="PageNumber">
    <w:name w:val="page number"/>
    <w:basedOn w:val="DefaultParagraphFont"/>
    <w:rsid w:val="00F63500"/>
  </w:style>
  <w:style w:type="paragraph" w:styleId="ListParagraph">
    <w:name w:val="List Paragraph"/>
    <w:basedOn w:val="Normal"/>
    <w:uiPriority w:val="34"/>
    <w:qFormat/>
    <w:rsid w:val="00385F9A"/>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rsid w:val="007775A3"/>
    <w:pPr>
      <w:spacing w:beforeLines="1" w:afterLines="1"/>
    </w:pPr>
    <w:rPr>
      <w:rFonts w:ascii="Times" w:eastAsiaTheme="minorHAnsi" w:hAnsi="Times"/>
      <w:sz w:val="20"/>
      <w:szCs w:val="20"/>
      <w:lang w:eastAsia="en-US"/>
    </w:rPr>
  </w:style>
  <w:style w:type="paragraph" w:styleId="BalloonText">
    <w:name w:val="Balloon Text"/>
    <w:basedOn w:val="Normal"/>
    <w:link w:val="BalloonTextChar"/>
    <w:uiPriority w:val="99"/>
    <w:semiHidden/>
    <w:unhideWhenUsed/>
    <w:rsid w:val="001140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01C"/>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2020-09-14T13:52:00Z</dcterms:created>
  <dcterms:modified xsi:type="dcterms:W3CDTF">2020-09-14T13:52:00Z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