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E795E" w14:textId="77777777" w:rsidR="00FB07FC" w:rsidRDefault="00FB07FC" w:rsidP="006B627B">
      <w:pPr>
        <w:ind w:left="720" w:hanging="360"/>
        <w:jc w:val="center"/>
      </w:pPr>
    </w:p>
    <w:p w14:paraId="1B4AA5A2" w14:textId="5B242A7A" w:rsidR="008C268C" w:rsidRDefault="008C268C" w:rsidP="006B627B">
      <w:pPr>
        <w:ind w:left="720" w:hanging="360"/>
        <w:jc w:val="center"/>
      </w:pPr>
      <w:r w:rsidRPr="00C83392">
        <w:rPr>
          <w:rFonts w:ascii="Arial" w:hAnsi="Arial" w:cs="Arial"/>
          <w:noProof/>
        </w:rPr>
        <w:drawing>
          <wp:inline distT="0" distB="0" distL="0" distR="0" wp14:anchorId="24DE8FBC" wp14:editId="21E473D2">
            <wp:extent cx="1047600" cy="90720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600" cy="907200"/>
                    </a:xfrm>
                    <a:prstGeom prst="rect">
                      <a:avLst/>
                    </a:prstGeom>
                    <a:noFill/>
                    <a:ln>
                      <a:noFill/>
                    </a:ln>
                  </pic:spPr>
                </pic:pic>
              </a:graphicData>
            </a:graphic>
          </wp:inline>
        </w:drawing>
      </w:r>
    </w:p>
    <w:p w14:paraId="7289BA4A" w14:textId="59E37E15" w:rsidR="008C268C" w:rsidRPr="002A71E1" w:rsidRDefault="008C268C" w:rsidP="008C268C">
      <w:pPr>
        <w:tabs>
          <w:tab w:val="right" w:pos="9720"/>
        </w:tabs>
        <w:spacing w:after="0" w:line="240" w:lineRule="auto"/>
        <w:ind w:right="-79"/>
        <w:rPr>
          <w:rFonts w:ascii="Book Antiqua" w:hAnsi="Book Antiqua" w:cstheme="minorHAnsi"/>
          <w:b/>
          <w:color w:val="000000"/>
          <w:sz w:val="24"/>
          <w:szCs w:val="24"/>
        </w:rPr>
      </w:pPr>
      <w:r w:rsidRPr="002A71E1">
        <w:rPr>
          <w:rFonts w:ascii="Book Antiqua" w:hAnsi="Book Antiqua" w:cstheme="minorHAnsi"/>
          <w:b/>
          <w:color w:val="000000"/>
          <w:sz w:val="24"/>
          <w:szCs w:val="24"/>
        </w:rPr>
        <w:t>Upper Tribunal</w:t>
      </w:r>
    </w:p>
    <w:p w14:paraId="28BC9E72" w14:textId="3B95104E" w:rsidR="008C268C" w:rsidRPr="002A71E1" w:rsidRDefault="008C268C" w:rsidP="008C268C">
      <w:pPr>
        <w:tabs>
          <w:tab w:val="right" w:pos="9720"/>
        </w:tabs>
        <w:spacing w:after="0" w:line="240" w:lineRule="auto"/>
        <w:ind w:right="-79"/>
        <w:rPr>
          <w:rFonts w:ascii="Book Antiqua" w:hAnsi="Book Antiqua" w:cstheme="minorHAnsi"/>
          <w:color w:val="000000"/>
          <w:sz w:val="24"/>
          <w:szCs w:val="24"/>
        </w:rPr>
      </w:pPr>
      <w:r w:rsidRPr="002A71E1">
        <w:rPr>
          <w:rFonts w:ascii="Book Antiqua" w:hAnsi="Book Antiqua" w:cstheme="minorHAnsi"/>
          <w:b/>
          <w:color w:val="000000"/>
          <w:sz w:val="24"/>
          <w:szCs w:val="24"/>
        </w:rPr>
        <w:t xml:space="preserve">(Immigration and Asylum </w:t>
      </w:r>
      <w:proofErr w:type="gramStart"/>
      <w:r w:rsidRPr="002A71E1">
        <w:rPr>
          <w:rFonts w:ascii="Book Antiqua" w:hAnsi="Book Antiqua" w:cstheme="minorHAnsi"/>
          <w:b/>
          <w:color w:val="000000"/>
          <w:sz w:val="24"/>
          <w:szCs w:val="24"/>
        </w:rPr>
        <w:t>Chamber)</w:t>
      </w:r>
      <w:r w:rsidR="00FB07FC">
        <w:rPr>
          <w:rFonts w:ascii="Book Antiqua" w:hAnsi="Book Antiqua" w:cstheme="minorHAnsi"/>
          <w:b/>
          <w:color w:val="000000"/>
          <w:sz w:val="24"/>
          <w:szCs w:val="24"/>
        </w:rPr>
        <w:t xml:space="preserve">   </w:t>
      </w:r>
      <w:proofErr w:type="gramEnd"/>
      <w:r w:rsidR="00FB07FC">
        <w:rPr>
          <w:rFonts w:ascii="Book Antiqua" w:hAnsi="Book Antiqua" w:cstheme="minorHAnsi"/>
          <w:b/>
          <w:color w:val="000000"/>
          <w:sz w:val="24"/>
          <w:szCs w:val="24"/>
        </w:rPr>
        <w:t xml:space="preserve">                  </w:t>
      </w:r>
      <w:r w:rsidRPr="00FB07FC">
        <w:rPr>
          <w:rFonts w:ascii="Book Antiqua" w:hAnsi="Book Antiqua" w:cstheme="minorHAnsi"/>
          <w:b/>
          <w:color w:val="000000"/>
          <w:sz w:val="24"/>
          <w:szCs w:val="24"/>
        </w:rPr>
        <w:t>Appeal Number:</w:t>
      </w:r>
      <w:r w:rsidR="00FB07FC" w:rsidRPr="00FB07FC">
        <w:rPr>
          <w:rFonts w:ascii="Book Antiqua" w:hAnsi="Book Antiqua" w:cstheme="minorHAnsi"/>
          <w:b/>
          <w:color w:val="000000"/>
          <w:sz w:val="24"/>
          <w:szCs w:val="24"/>
        </w:rPr>
        <w:t xml:space="preserve"> </w:t>
      </w:r>
      <w:r w:rsidR="00535713" w:rsidRPr="00FB07FC">
        <w:rPr>
          <w:rFonts w:ascii="Book Antiqua" w:hAnsi="Book Antiqua" w:cstheme="minorHAnsi"/>
          <w:b/>
          <w:caps/>
          <w:color w:val="000000"/>
          <w:sz w:val="24"/>
          <w:szCs w:val="24"/>
        </w:rPr>
        <w:t>PA/10727/</w:t>
      </w:r>
      <w:r w:rsidR="008E0BE1" w:rsidRPr="00FB07FC">
        <w:rPr>
          <w:rFonts w:ascii="Book Antiqua" w:hAnsi="Book Antiqua" w:cstheme="minorHAnsi"/>
          <w:b/>
          <w:caps/>
          <w:color w:val="000000"/>
          <w:sz w:val="24"/>
          <w:szCs w:val="24"/>
        </w:rPr>
        <w:t>20</w:t>
      </w:r>
      <w:r w:rsidR="00535713" w:rsidRPr="00FB07FC">
        <w:rPr>
          <w:rFonts w:ascii="Book Antiqua" w:hAnsi="Book Antiqua" w:cstheme="minorHAnsi"/>
          <w:b/>
          <w:caps/>
          <w:color w:val="000000"/>
          <w:sz w:val="24"/>
          <w:szCs w:val="24"/>
        </w:rPr>
        <w:t>19</w:t>
      </w:r>
      <w:r w:rsidR="00535713">
        <w:rPr>
          <w:rFonts w:ascii="Book Antiqua" w:hAnsi="Book Antiqua" w:cstheme="minorHAnsi"/>
          <w:caps/>
          <w:color w:val="000000"/>
          <w:sz w:val="24"/>
          <w:szCs w:val="24"/>
        </w:rPr>
        <w:t xml:space="preserve"> </w:t>
      </w:r>
    </w:p>
    <w:p w14:paraId="11B93462" w14:textId="77777777" w:rsidR="00535713" w:rsidRDefault="00535713" w:rsidP="008C268C">
      <w:pPr>
        <w:jc w:val="center"/>
        <w:rPr>
          <w:rFonts w:ascii="Book Antiqua" w:hAnsi="Book Antiqua" w:cstheme="minorHAnsi"/>
          <w:b/>
          <w:color w:val="000000"/>
          <w:sz w:val="24"/>
          <w:szCs w:val="24"/>
          <w:u w:val="single"/>
        </w:rPr>
      </w:pPr>
    </w:p>
    <w:p w14:paraId="0528B08C" w14:textId="6811E634" w:rsidR="008C268C" w:rsidRPr="002A71E1" w:rsidRDefault="008C268C" w:rsidP="008C268C">
      <w:pPr>
        <w:jc w:val="center"/>
        <w:rPr>
          <w:rFonts w:ascii="Book Antiqua" w:hAnsi="Book Antiqua" w:cstheme="minorHAnsi"/>
          <w:b/>
          <w:color w:val="000000"/>
          <w:sz w:val="24"/>
          <w:szCs w:val="24"/>
          <w:u w:val="single"/>
        </w:rPr>
      </w:pPr>
      <w:r w:rsidRPr="002A71E1">
        <w:rPr>
          <w:rFonts w:ascii="Book Antiqua" w:hAnsi="Book Antiqua" w:cstheme="minorHAnsi"/>
          <w:b/>
          <w:color w:val="000000"/>
          <w:sz w:val="24"/>
          <w:szCs w:val="24"/>
          <w:u w:val="single"/>
        </w:rPr>
        <w:t>THE IMMIGRATION ACTS</w:t>
      </w:r>
    </w:p>
    <w:p w14:paraId="718A775C" w14:textId="77777777" w:rsidR="00535713" w:rsidRDefault="00535713" w:rsidP="00535713">
      <w:pPr>
        <w:spacing w:after="0"/>
        <w:rPr>
          <w:rFonts w:ascii="Book Antiqua" w:hAnsi="Book Antiqua" w:cstheme="minorHAnsi"/>
          <w:b/>
          <w:color w:val="000000"/>
          <w:sz w:val="24"/>
          <w:szCs w:val="24"/>
        </w:rPr>
      </w:pPr>
    </w:p>
    <w:p w14:paraId="6FA52871" w14:textId="317E16A9" w:rsidR="00FA5A7D" w:rsidRPr="00FA5A7D" w:rsidRDefault="00FA5A7D" w:rsidP="00535713">
      <w:pPr>
        <w:spacing w:after="0"/>
        <w:rPr>
          <w:rFonts w:ascii="Book Antiqua" w:hAnsi="Book Antiqua" w:cstheme="minorHAnsi"/>
          <w:b/>
          <w:color w:val="000000"/>
          <w:sz w:val="24"/>
          <w:szCs w:val="24"/>
        </w:rPr>
      </w:pPr>
      <w:r w:rsidRPr="00FA5A7D">
        <w:rPr>
          <w:rFonts w:ascii="Book Antiqua" w:hAnsi="Book Antiqua" w:cstheme="minorHAnsi"/>
          <w:b/>
          <w:color w:val="000000"/>
          <w:sz w:val="24"/>
          <w:szCs w:val="24"/>
        </w:rPr>
        <w:t xml:space="preserve">Heard at: Manchester Civil Justice Centre </w:t>
      </w:r>
      <w:r w:rsidR="008E0BE1">
        <w:rPr>
          <w:rFonts w:ascii="Book Antiqua" w:hAnsi="Book Antiqua" w:cstheme="minorHAnsi"/>
          <w:b/>
          <w:color w:val="000000"/>
          <w:sz w:val="24"/>
          <w:szCs w:val="24"/>
        </w:rPr>
        <w:tab/>
        <w:t>Decision &amp; Reasons Promulgated</w:t>
      </w:r>
    </w:p>
    <w:p w14:paraId="61EBD33D" w14:textId="37996CF2" w:rsidR="00DD401A" w:rsidRDefault="00FA5A7D" w:rsidP="00535713">
      <w:pPr>
        <w:spacing w:after="0"/>
        <w:rPr>
          <w:rFonts w:ascii="Book Antiqua" w:hAnsi="Book Antiqua" w:cstheme="minorHAnsi"/>
          <w:b/>
          <w:color w:val="000000"/>
          <w:sz w:val="24"/>
          <w:szCs w:val="24"/>
        </w:rPr>
      </w:pPr>
      <w:r w:rsidRPr="00FA5A7D">
        <w:rPr>
          <w:rFonts w:ascii="Book Antiqua" w:hAnsi="Book Antiqua" w:cstheme="minorHAnsi"/>
          <w:b/>
          <w:color w:val="000000"/>
          <w:sz w:val="24"/>
          <w:szCs w:val="24"/>
        </w:rPr>
        <w:t>On the</w:t>
      </w:r>
      <w:r w:rsidR="00E83096">
        <w:rPr>
          <w:rFonts w:ascii="Book Antiqua" w:hAnsi="Book Antiqua" w:cstheme="minorHAnsi"/>
          <w:b/>
          <w:color w:val="000000"/>
          <w:sz w:val="24"/>
          <w:szCs w:val="24"/>
        </w:rPr>
        <w:t>:</w:t>
      </w:r>
      <w:r w:rsidRPr="00FA5A7D">
        <w:rPr>
          <w:rFonts w:ascii="Book Antiqua" w:hAnsi="Book Antiqua" w:cstheme="minorHAnsi"/>
          <w:b/>
          <w:color w:val="000000"/>
          <w:sz w:val="24"/>
          <w:szCs w:val="24"/>
        </w:rPr>
        <w:t xml:space="preserve"> </w:t>
      </w:r>
      <w:r w:rsidR="007524E0">
        <w:rPr>
          <w:rFonts w:ascii="Book Antiqua" w:hAnsi="Book Antiqua" w:cstheme="minorHAnsi"/>
          <w:b/>
          <w:color w:val="000000"/>
          <w:sz w:val="24"/>
          <w:szCs w:val="24"/>
        </w:rPr>
        <w:t>1</w:t>
      </w:r>
      <w:r w:rsidR="00E83096">
        <w:rPr>
          <w:rFonts w:ascii="Book Antiqua" w:hAnsi="Book Antiqua" w:cstheme="minorHAnsi"/>
          <w:b/>
          <w:color w:val="000000"/>
          <w:sz w:val="24"/>
          <w:szCs w:val="24"/>
        </w:rPr>
        <w:t>8</w:t>
      </w:r>
      <w:r w:rsidR="007524E0" w:rsidRPr="007524E0">
        <w:rPr>
          <w:rFonts w:ascii="Book Antiqua" w:hAnsi="Book Antiqua" w:cstheme="minorHAnsi"/>
          <w:b/>
          <w:color w:val="000000"/>
          <w:sz w:val="24"/>
          <w:szCs w:val="24"/>
          <w:vertAlign w:val="superscript"/>
        </w:rPr>
        <w:t>th</w:t>
      </w:r>
      <w:r w:rsidR="007524E0">
        <w:rPr>
          <w:rFonts w:ascii="Book Antiqua" w:hAnsi="Book Antiqua" w:cstheme="minorHAnsi"/>
          <w:b/>
          <w:color w:val="000000"/>
          <w:sz w:val="24"/>
          <w:szCs w:val="24"/>
        </w:rPr>
        <w:t xml:space="preserve"> November 2020</w:t>
      </w:r>
      <w:r w:rsidR="006E1455" w:rsidRPr="00FA5A7D">
        <w:rPr>
          <w:rFonts w:ascii="Book Antiqua" w:hAnsi="Book Antiqua" w:cstheme="minorHAnsi"/>
          <w:b/>
          <w:color w:val="000000"/>
          <w:sz w:val="24"/>
          <w:szCs w:val="24"/>
        </w:rPr>
        <w:t xml:space="preserve">  </w:t>
      </w:r>
      <w:r w:rsidR="00F97E1C" w:rsidRPr="00FA5A7D">
        <w:rPr>
          <w:rFonts w:ascii="Book Antiqua" w:hAnsi="Book Antiqua" w:cstheme="minorHAnsi"/>
          <w:b/>
          <w:color w:val="000000"/>
          <w:sz w:val="24"/>
          <w:szCs w:val="24"/>
        </w:rPr>
        <w:t xml:space="preserve"> </w:t>
      </w:r>
      <w:r w:rsidR="00B731A1">
        <w:rPr>
          <w:rFonts w:ascii="Book Antiqua" w:hAnsi="Book Antiqua" w:cstheme="minorHAnsi"/>
          <w:b/>
          <w:color w:val="000000"/>
          <w:sz w:val="24"/>
          <w:szCs w:val="24"/>
        </w:rPr>
        <w:t xml:space="preserve">                               </w:t>
      </w:r>
      <w:proofErr w:type="gramStart"/>
      <w:r w:rsidR="00B731A1">
        <w:rPr>
          <w:rFonts w:ascii="Book Antiqua" w:hAnsi="Book Antiqua" w:cstheme="minorHAnsi"/>
          <w:b/>
          <w:color w:val="000000"/>
          <w:sz w:val="24"/>
          <w:szCs w:val="24"/>
        </w:rPr>
        <w:t>On</w:t>
      </w:r>
      <w:proofErr w:type="gramEnd"/>
      <w:r w:rsidR="00B731A1">
        <w:rPr>
          <w:rFonts w:ascii="Book Antiqua" w:hAnsi="Book Antiqua" w:cstheme="minorHAnsi"/>
          <w:b/>
          <w:color w:val="000000"/>
          <w:sz w:val="24"/>
          <w:szCs w:val="24"/>
        </w:rPr>
        <w:t xml:space="preserve"> the: 24</w:t>
      </w:r>
      <w:r w:rsidR="00B731A1">
        <w:rPr>
          <w:rFonts w:ascii="Book Antiqua" w:hAnsi="Book Antiqua" w:cstheme="minorHAnsi"/>
          <w:b/>
          <w:color w:val="000000"/>
          <w:sz w:val="24"/>
          <w:szCs w:val="24"/>
          <w:vertAlign w:val="superscript"/>
        </w:rPr>
        <w:t xml:space="preserve">th </w:t>
      </w:r>
      <w:r w:rsidR="00B731A1">
        <w:rPr>
          <w:rFonts w:ascii="Book Antiqua" w:hAnsi="Book Antiqua" w:cstheme="minorHAnsi"/>
          <w:b/>
          <w:color w:val="000000"/>
          <w:sz w:val="24"/>
          <w:szCs w:val="24"/>
        </w:rPr>
        <w:t>November 2020</w:t>
      </w:r>
      <w:bookmarkStart w:id="0" w:name="_GoBack"/>
      <w:bookmarkEnd w:id="0"/>
    </w:p>
    <w:p w14:paraId="4B01A876" w14:textId="77777777" w:rsidR="00B731A1" w:rsidRDefault="00B731A1" w:rsidP="00535713">
      <w:pPr>
        <w:spacing w:after="0"/>
        <w:rPr>
          <w:rFonts w:ascii="Book Antiqua" w:hAnsi="Book Antiqua" w:cstheme="minorHAnsi"/>
          <w:b/>
          <w:color w:val="000000"/>
          <w:sz w:val="24"/>
          <w:szCs w:val="24"/>
        </w:rPr>
      </w:pPr>
    </w:p>
    <w:p w14:paraId="3E99C8AF" w14:textId="3ECF1425" w:rsidR="008E0BE1" w:rsidRDefault="008E0BE1" w:rsidP="00535713">
      <w:pPr>
        <w:spacing w:after="0"/>
        <w:jc w:val="center"/>
        <w:rPr>
          <w:rFonts w:ascii="Book Antiqua" w:hAnsi="Book Antiqua" w:cstheme="minorHAnsi"/>
          <w:sz w:val="24"/>
          <w:szCs w:val="24"/>
        </w:rPr>
      </w:pPr>
    </w:p>
    <w:p w14:paraId="29449726" w14:textId="3002C5F8" w:rsidR="008E0BE1" w:rsidRDefault="008E0BE1" w:rsidP="00535713">
      <w:pPr>
        <w:spacing w:after="0"/>
        <w:jc w:val="center"/>
        <w:rPr>
          <w:rFonts w:ascii="Book Antiqua" w:hAnsi="Book Antiqua" w:cstheme="minorHAnsi"/>
          <w:sz w:val="24"/>
          <w:szCs w:val="24"/>
        </w:rPr>
      </w:pPr>
    </w:p>
    <w:p w14:paraId="7571851F" w14:textId="77777777" w:rsidR="00FB07FC" w:rsidRDefault="00FB07FC" w:rsidP="00535713">
      <w:pPr>
        <w:spacing w:after="0"/>
        <w:jc w:val="center"/>
        <w:rPr>
          <w:rFonts w:ascii="Book Antiqua" w:hAnsi="Book Antiqua" w:cstheme="minorHAnsi"/>
          <w:sz w:val="24"/>
          <w:szCs w:val="24"/>
        </w:rPr>
      </w:pPr>
    </w:p>
    <w:p w14:paraId="298165F8" w14:textId="1F0CE1C9" w:rsidR="008E0BE1" w:rsidRDefault="008E0BE1" w:rsidP="00535713">
      <w:pPr>
        <w:spacing w:after="0"/>
        <w:jc w:val="center"/>
        <w:rPr>
          <w:rFonts w:ascii="Book Antiqua" w:hAnsi="Book Antiqua" w:cstheme="minorHAnsi"/>
          <w:b/>
          <w:sz w:val="24"/>
          <w:szCs w:val="24"/>
        </w:rPr>
      </w:pPr>
      <w:r w:rsidRPr="00FB07FC">
        <w:rPr>
          <w:rFonts w:ascii="Book Antiqua" w:hAnsi="Book Antiqua" w:cstheme="minorHAnsi"/>
          <w:b/>
          <w:sz w:val="24"/>
          <w:szCs w:val="24"/>
        </w:rPr>
        <w:t>Before</w:t>
      </w:r>
    </w:p>
    <w:p w14:paraId="4C3EA8AC" w14:textId="77777777" w:rsidR="00FB07FC" w:rsidRPr="00FB07FC" w:rsidRDefault="00FB07FC" w:rsidP="00535713">
      <w:pPr>
        <w:spacing w:after="0"/>
        <w:jc w:val="center"/>
        <w:rPr>
          <w:rFonts w:ascii="Book Antiqua" w:hAnsi="Book Antiqua" w:cstheme="minorHAnsi"/>
          <w:b/>
          <w:sz w:val="24"/>
          <w:szCs w:val="24"/>
        </w:rPr>
      </w:pPr>
    </w:p>
    <w:p w14:paraId="5BE54915" w14:textId="3EBD6F8C" w:rsidR="008E0BE1" w:rsidRPr="008E0BE1" w:rsidRDefault="00FB07FC" w:rsidP="00535713">
      <w:pPr>
        <w:spacing w:after="0"/>
        <w:jc w:val="center"/>
        <w:rPr>
          <w:rFonts w:ascii="Book Antiqua" w:hAnsi="Book Antiqua" w:cstheme="minorHAnsi"/>
          <w:b/>
          <w:sz w:val="24"/>
          <w:szCs w:val="24"/>
        </w:rPr>
      </w:pPr>
      <w:r>
        <w:rPr>
          <w:rFonts w:ascii="Book Antiqua" w:hAnsi="Book Antiqua" w:cstheme="minorHAnsi"/>
          <w:b/>
          <w:sz w:val="24"/>
          <w:szCs w:val="24"/>
        </w:rPr>
        <w:t>UPPER TRIBUNAL JUDGE BRUCE</w:t>
      </w:r>
    </w:p>
    <w:p w14:paraId="614D6E20" w14:textId="77777777" w:rsidR="008E0BE1" w:rsidRDefault="008E0BE1" w:rsidP="00535713">
      <w:pPr>
        <w:spacing w:after="0"/>
        <w:jc w:val="center"/>
        <w:rPr>
          <w:rFonts w:ascii="Book Antiqua" w:hAnsi="Book Antiqua" w:cstheme="minorHAnsi"/>
          <w:sz w:val="24"/>
          <w:szCs w:val="24"/>
        </w:rPr>
      </w:pPr>
    </w:p>
    <w:p w14:paraId="7637E1AE" w14:textId="6431B083" w:rsidR="008C268C" w:rsidRDefault="008C268C" w:rsidP="00535713">
      <w:pPr>
        <w:spacing w:after="0"/>
        <w:jc w:val="center"/>
        <w:rPr>
          <w:rFonts w:ascii="Book Antiqua" w:hAnsi="Book Antiqua" w:cstheme="minorHAnsi"/>
          <w:sz w:val="24"/>
          <w:szCs w:val="24"/>
        </w:rPr>
      </w:pPr>
      <w:r w:rsidRPr="002A71E1">
        <w:rPr>
          <w:rFonts w:ascii="Book Antiqua" w:hAnsi="Book Antiqua" w:cstheme="minorHAnsi"/>
          <w:sz w:val="24"/>
          <w:szCs w:val="24"/>
        </w:rPr>
        <w:t>Between</w:t>
      </w:r>
    </w:p>
    <w:p w14:paraId="733ED276" w14:textId="77777777" w:rsidR="00535713" w:rsidRDefault="00535713" w:rsidP="00535713">
      <w:pPr>
        <w:spacing w:after="0"/>
        <w:jc w:val="center"/>
        <w:rPr>
          <w:rFonts w:ascii="Book Antiqua" w:hAnsi="Book Antiqua" w:cstheme="minorHAnsi"/>
          <w:sz w:val="24"/>
          <w:szCs w:val="24"/>
        </w:rPr>
      </w:pPr>
    </w:p>
    <w:p w14:paraId="14BD4C82" w14:textId="4DC2E099" w:rsidR="00DD401A" w:rsidRDefault="00535713" w:rsidP="00535713">
      <w:pPr>
        <w:spacing w:after="0"/>
        <w:jc w:val="center"/>
        <w:rPr>
          <w:rFonts w:ascii="Book Antiqua" w:hAnsi="Book Antiqua" w:cstheme="minorHAnsi"/>
          <w:b/>
          <w:sz w:val="24"/>
          <w:szCs w:val="24"/>
        </w:rPr>
      </w:pPr>
      <w:r>
        <w:rPr>
          <w:rFonts w:ascii="Book Antiqua" w:hAnsi="Book Antiqua" w:cstheme="minorHAnsi"/>
          <w:b/>
          <w:sz w:val="24"/>
          <w:szCs w:val="24"/>
        </w:rPr>
        <w:t>SOC</w:t>
      </w:r>
    </w:p>
    <w:p w14:paraId="0CFCDD6C" w14:textId="2A0FF5DA" w:rsidR="00F10801" w:rsidRPr="00FB07FC" w:rsidRDefault="00FB07FC" w:rsidP="00535713">
      <w:pPr>
        <w:spacing w:after="0"/>
        <w:jc w:val="center"/>
        <w:rPr>
          <w:rFonts w:ascii="Book Antiqua" w:hAnsi="Book Antiqua" w:cstheme="minorHAnsi"/>
          <w:sz w:val="24"/>
          <w:szCs w:val="24"/>
        </w:rPr>
      </w:pPr>
      <w:r w:rsidRPr="00FB07FC">
        <w:rPr>
          <w:rFonts w:ascii="Book Antiqua" w:hAnsi="Book Antiqua" w:cstheme="minorHAnsi"/>
          <w:sz w:val="24"/>
          <w:szCs w:val="24"/>
        </w:rPr>
        <w:t>(ANONYMITY DIRECTION MADE)</w:t>
      </w:r>
    </w:p>
    <w:p w14:paraId="4EFFCD27" w14:textId="77777777" w:rsidR="008C268C" w:rsidRPr="002A71E1" w:rsidRDefault="008C268C" w:rsidP="00535713">
      <w:pPr>
        <w:spacing w:after="0"/>
        <w:jc w:val="right"/>
        <w:rPr>
          <w:rFonts w:ascii="Book Antiqua" w:hAnsi="Book Antiqua" w:cstheme="minorHAnsi"/>
          <w:sz w:val="24"/>
          <w:szCs w:val="24"/>
          <w:u w:val="single"/>
        </w:rPr>
      </w:pPr>
      <w:r w:rsidRPr="002A71E1">
        <w:rPr>
          <w:rFonts w:ascii="Book Antiqua" w:hAnsi="Book Antiqua" w:cstheme="minorHAnsi"/>
          <w:sz w:val="24"/>
          <w:szCs w:val="24"/>
          <w:u w:val="single"/>
        </w:rPr>
        <w:t>Appellant</w:t>
      </w:r>
    </w:p>
    <w:p w14:paraId="466E32A6" w14:textId="77777777" w:rsidR="008C268C" w:rsidRPr="002A71E1" w:rsidRDefault="008C268C" w:rsidP="00535713">
      <w:pPr>
        <w:spacing w:after="0"/>
        <w:jc w:val="center"/>
        <w:rPr>
          <w:rFonts w:ascii="Book Antiqua" w:hAnsi="Book Antiqua" w:cstheme="minorHAnsi"/>
          <w:sz w:val="24"/>
          <w:szCs w:val="24"/>
        </w:rPr>
      </w:pPr>
      <w:r w:rsidRPr="002A71E1">
        <w:rPr>
          <w:rFonts w:ascii="Book Antiqua" w:hAnsi="Book Antiqua" w:cstheme="minorHAnsi"/>
          <w:sz w:val="24"/>
          <w:szCs w:val="24"/>
        </w:rPr>
        <w:t>and</w:t>
      </w:r>
    </w:p>
    <w:p w14:paraId="0C99F036" w14:textId="399E4869" w:rsidR="008C268C" w:rsidRDefault="008C268C" w:rsidP="00535713">
      <w:pPr>
        <w:spacing w:after="0"/>
        <w:jc w:val="center"/>
        <w:rPr>
          <w:rFonts w:ascii="Book Antiqua" w:hAnsi="Book Antiqua" w:cstheme="minorHAnsi"/>
          <w:b/>
          <w:sz w:val="24"/>
          <w:szCs w:val="24"/>
        </w:rPr>
      </w:pPr>
    </w:p>
    <w:p w14:paraId="084CBDB0" w14:textId="688AC75D" w:rsidR="00EC77B8" w:rsidRDefault="00FB07FC" w:rsidP="00535713">
      <w:pPr>
        <w:spacing w:after="0"/>
        <w:jc w:val="center"/>
        <w:rPr>
          <w:rFonts w:ascii="Book Antiqua" w:hAnsi="Book Antiqua" w:cstheme="minorHAnsi"/>
          <w:b/>
          <w:sz w:val="24"/>
          <w:szCs w:val="24"/>
        </w:rPr>
      </w:pPr>
      <w:r>
        <w:rPr>
          <w:rFonts w:ascii="Book Antiqua" w:hAnsi="Book Antiqua" w:cstheme="minorHAnsi"/>
          <w:b/>
          <w:sz w:val="24"/>
          <w:szCs w:val="24"/>
        </w:rPr>
        <w:t>SECRETARY OF STATE FOR THE HOME DEPARTMENT</w:t>
      </w:r>
    </w:p>
    <w:p w14:paraId="22FB9753" w14:textId="3CEAA426" w:rsidR="008C268C" w:rsidRPr="00C77F7E" w:rsidRDefault="008C268C" w:rsidP="00535713">
      <w:pPr>
        <w:spacing w:after="0"/>
        <w:jc w:val="right"/>
        <w:rPr>
          <w:rFonts w:ascii="Book Antiqua" w:hAnsi="Book Antiqua" w:cstheme="minorHAnsi"/>
          <w:sz w:val="24"/>
          <w:szCs w:val="24"/>
          <w:u w:val="single"/>
        </w:rPr>
      </w:pPr>
      <w:r w:rsidRPr="00C77F7E">
        <w:rPr>
          <w:rFonts w:ascii="Book Antiqua" w:hAnsi="Book Antiqua" w:cstheme="minorHAnsi"/>
          <w:sz w:val="24"/>
          <w:szCs w:val="24"/>
          <w:u w:val="single"/>
        </w:rPr>
        <w:t>Respondent</w:t>
      </w:r>
    </w:p>
    <w:p w14:paraId="10A81130" w14:textId="12E6FC77" w:rsidR="00535713" w:rsidRDefault="00535713" w:rsidP="00535713">
      <w:pPr>
        <w:spacing w:after="0"/>
        <w:jc w:val="right"/>
        <w:rPr>
          <w:rFonts w:ascii="Book Antiqua" w:hAnsi="Book Antiqua" w:cstheme="minorHAnsi"/>
          <w:sz w:val="24"/>
          <w:szCs w:val="24"/>
          <w:highlight w:val="yellow"/>
          <w:u w:val="single"/>
        </w:rPr>
      </w:pPr>
    </w:p>
    <w:p w14:paraId="4270262A" w14:textId="77777777" w:rsidR="00FB07FC" w:rsidRDefault="00FB07FC" w:rsidP="00535713">
      <w:pPr>
        <w:spacing w:after="0"/>
        <w:jc w:val="right"/>
        <w:rPr>
          <w:rFonts w:ascii="Book Antiqua" w:hAnsi="Book Antiqua" w:cstheme="minorHAnsi"/>
          <w:sz w:val="24"/>
          <w:szCs w:val="24"/>
          <w:highlight w:val="yellow"/>
          <w:u w:val="single"/>
        </w:rPr>
      </w:pPr>
    </w:p>
    <w:p w14:paraId="12E66129" w14:textId="744E84FD" w:rsidR="00535713" w:rsidRDefault="00FB07FC" w:rsidP="00535713">
      <w:pPr>
        <w:spacing w:after="0"/>
        <w:jc w:val="center"/>
        <w:rPr>
          <w:rFonts w:ascii="Book Antiqua" w:hAnsi="Book Antiqua" w:cstheme="minorHAnsi"/>
          <w:b/>
          <w:sz w:val="24"/>
          <w:szCs w:val="24"/>
        </w:rPr>
      </w:pPr>
      <w:r>
        <w:rPr>
          <w:rFonts w:ascii="Book Antiqua" w:hAnsi="Book Antiqua" w:cstheme="minorHAnsi"/>
          <w:b/>
          <w:sz w:val="24"/>
          <w:szCs w:val="24"/>
        </w:rPr>
        <w:t>SECRETARY OF STATE FOR THE HOME DEPARTMENT</w:t>
      </w:r>
    </w:p>
    <w:p w14:paraId="0808518D" w14:textId="77777777" w:rsidR="00535713" w:rsidRPr="002A71E1" w:rsidRDefault="00535713" w:rsidP="00535713">
      <w:pPr>
        <w:spacing w:after="0"/>
        <w:jc w:val="right"/>
        <w:rPr>
          <w:rFonts w:ascii="Book Antiqua" w:hAnsi="Book Antiqua" w:cstheme="minorHAnsi"/>
          <w:sz w:val="24"/>
          <w:szCs w:val="24"/>
          <w:u w:val="single"/>
        </w:rPr>
      </w:pPr>
      <w:r w:rsidRPr="002A71E1">
        <w:rPr>
          <w:rFonts w:ascii="Book Antiqua" w:hAnsi="Book Antiqua" w:cstheme="minorHAnsi"/>
          <w:sz w:val="24"/>
          <w:szCs w:val="24"/>
          <w:u w:val="single"/>
        </w:rPr>
        <w:t>Appellant</w:t>
      </w:r>
    </w:p>
    <w:p w14:paraId="422D52C8" w14:textId="77777777" w:rsidR="00535713" w:rsidRPr="002A71E1" w:rsidRDefault="00535713" w:rsidP="00535713">
      <w:pPr>
        <w:spacing w:after="0"/>
        <w:jc w:val="center"/>
        <w:rPr>
          <w:rFonts w:ascii="Book Antiqua" w:hAnsi="Book Antiqua" w:cstheme="minorHAnsi"/>
          <w:sz w:val="24"/>
          <w:szCs w:val="24"/>
        </w:rPr>
      </w:pPr>
      <w:r w:rsidRPr="002A71E1">
        <w:rPr>
          <w:rFonts w:ascii="Book Antiqua" w:hAnsi="Book Antiqua" w:cstheme="minorHAnsi"/>
          <w:sz w:val="24"/>
          <w:szCs w:val="24"/>
        </w:rPr>
        <w:t>and</w:t>
      </w:r>
    </w:p>
    <w:p w14:paraId="5FCDA436" w14:textId="7639D7D8" w:rsidR="00535713" w:rsidRDefault="00535713" w:rsidP="00535713">
      <w:pPr>
        <w:spacing w:after="0"/>
        <w:jc w:val="center"/>
        <w:rPr>
          <w:rFonts w:ascii="Book Antiqua" w:hAnsi="Book Antiqua" w:cstheme="minorHAnsi"/>
          <w:b/>
          <w:sz w:val="24"/>
          <w:szCs w:val="24"/>
        </w:rPr>
      </w:pPr>
    </w:p>
    <w:p w14:paraId="26924F0B" w14:textId="77777777" w:rsidR="00535713" w:rsidRDefault="00535713" w:rsidP="00535713">
      <w:pPr>
        <w:spacing w:after="0"/>
        <w:jc w:val="center"/>
        <w:rPr>
          <w:rFonts w:ascii="Book Antiqua" w:hAnsi="Book Antiqua" w:cstheme="minorHAnsi"/>
          <w:b/>
          <w:sz w:val="24"/>
          <w:szCs w:val="24"/>
        </w:rPr>
      </w:pPr>
      <w:r>
        <w:rPr>
          <w:rFonts w:ascii="Book Antiqua" w:hAnsi="Book Antiqua" w:cstheme="minorHAnsi"/>
          <w:b/>
          <w:sz w:val="24"/>
          <w:szCs w:val="24"/>
        </w:rPr>
        <w:t>SOC</w:t>
      </w:r>
    </w:p>
    <w:p w14:paraId="55EF2652" w14:textId="4D2155D7" w:rsidR="00535713" w:rsidRPr="00FB07FC" w:rsidRDefault="00FB07FC" w:rsidP="00535713">
      <w:pPr>
        <w:spacing w:after="0"/>
        <w:jc w:val="center"/>
        <w:rPr>
          <w:rFonts w:ascii="Book Antiqua" w:hAnsi="Book Antiqua" w:cstheme="minorHAnsi"/>
          <w:sz w:val="24"/>
          <w:szCs w:val="24"/>
        </w:rPr>
      </w:pPr>
      <w:r w:rsidRPr="00FB07FC">
        <w:rPr>
          <w:rFonts w:ascii="Book Antiqua" w:hAnsi="Book Antiqua" w:cstheme="minorHAnsi"/>
          <w:sz w:val="24"/>
          <w:szCs w:val="24"/>
        </w:rPr>
        <w:t>(ANONYMITY DIRECTION MADE)</w:t>
      </w:r>
    </w:p>
    <w:p w14:paraId="76E3CA53" w14:textId="77777777" w:rsidR="00535713" w:rsidRPr="00C77F7E" w:rsidRDefault="00535713" w:rsidP="00535713">
      <w:pPr>
        <w:spacing w:after="0"/>
        <w:jc w:val="right"/>
        <w:rPr>
          <w:rFonts w:ascii="Book Antiqua" w:hAnsi="Book Antiqua" w:cstheme="minorHAnsi"/>
          <w:sz w:val="24"/>
          <w:szCs w:val="24"/>
          <w:u w:val="single"/>
        </w:rPr>
      </w:pPr>
      <w:r w:rsidRPr="00C77F7E">
        <w:rPr>
          <w:rFonts w:ascii="Book Antiqua" w:hAnsi="Book Antiqua" w:cstheme="minorHAnsi"/>
          <w:sz w:val="24"/>
          <w:szCs w:val="24"/>
          <w:u w:val="single"/>
        </w:rPr>
        <w:t>Respondent</w:t>
      </w:r>
    </w:p>
    <w:p w14:paraId="3B376187" w14:textId="47676020" w:rsidR="00535713" w:rsidRDefault="00535713" w:rsidP="00FB07FC">
      <w:pPr>
        <w:rPr>
          <w:rFonts w:ascii="Book Antiqua" w:hAnsi="Book Antiqua" w:cstheme="minorHAnsi"/>
          <w:sz w:val="24"/>
          <w:szCs w:val="24"/>
          <w:u w:val="single"/>
        </w:rPr>
      </w:pPr>
    </w:p>
    <w:p w14:paraId="63DF84DD" w14:textId="3F2D139E" w:rsidR="008E0BE1" w:rsidRPr="00FB07FC" w:rsidRDefault="00FB07FC" w:rsidP="00FB07FC">
      <w:pPr>
        <w:ind w:left="567"/>
        <w:rPr>
          <w:rFonts w:ascii="Book Antiqua" w:hAnsi="Book Antiqua" w:cstheme="minorHAnsi"/>
          <w:b/>
          <w:sz w:val="24"/>
          <w:szCs w:val="24"/>
          <w:u w:val="single"/>
        </w:rPr>
      </w:pPr>
      <w:r>
        <w:rPr>
          <w:rFonts w:ascii="Book Antiqua" w:hAnsi="Book Antiqua" w:cstheme="minorHAnsi"/>
          <w:b/>
          <w:sz w:val="24"/>
          <w:szCs w:val="24"/>
          <w:u w:val="single"/>
        </w:rPr>
        <w:t>Representation</w:t>
      </w:r>
    </w:p>
    <w:p w14:paraId="0B8BB69D" w14:textId="065E953E" w:rsidR="00A839EF" w:rsidRPr="00FB07FC" w:rsidRDefault="00A839EF" w:rsidP="00FB07FC">
      <w:pPr>
        <w:tabs>
          <w:tab w:val="left" w:pos="567"/>
        </w:tabs>
        <w:spacing w:after="0" w:line="240" w:lineRule="auto"/>
        <w:ind w:left="3600" w:right="-330" w:hanging="3033"/>
        <w:jc w:val="both"/>
        <w:rPr>
          <w:rFonts w:ascii="Book Antiqua" w:hAnsi="Book Antiqua" w:cstheme="minorHAnsi"/>
          <w:sz w:val="24"/>
          <w:szCs w:val="24"/>
        </w:rPr>
      </w:pPr>
      <w:r w:rsidRPr="00FB07FC">
        <w:rPr>
          <w:rFonts w:ascii="Book Antiqua" w:hAnsi="Book Antiqua" w:cstheme="minorHAnsi"/>
          <w:sz w:val="24"/>
          <w:szCs w:val="24"/>
        </w:rPr>
        <w:t>For</w:t>
      </w:r>
      <w:r w:rsidR="00535713" w:rsidRPr="00FB07FC">
        <w:rPr>
          <w:rFonts w:ascii="Book Antiqua" w:hAnsi="Book Antiqua" w:cstheme="minorHAnsi"/>
          <w:sz w:val="24"/>
          <w:szCs w:val="24"/>
        </w:rPr>
        <w:t xml:space="preserve"> SOC</w:t>
      </w:r>
      <w:r w:rsidRPr="00FB07FC">
        <w:rPr>
          <w:rFonts w:ascii="Book Antiqua" w:hAnsi="Book Antiqua" w:cstheme="minorHAnsi"/>
          <w:sz w:val="24"/>
          <w:szCs w:val="24"/>
        </w:rPr>
        <w:t xml:space="preserve">: </w:t>
      </w:r>
      <w:r w:rsidR="00FB07FC">
        <w:rPr>
          <w:rFonts w:ascii="Book Antiqua" w:hAnsi="Book Antiqua" w:cstheme="minorHAnsi"/>
          <w:sz w:val="24"/>
          <w:szCs w:val="24"/>
        </w:rPr>
        <w:t xml:space="preserve">                              </w:t>
      </w:r>
      <w:r w:rsidR="00D12A21" w:rsidRPr="00FB07FC">
        <w:rPr>
          <w:rFonts w:ascii="Book Antiqua" w:hAnsi="Book Antiqua" w:cstheme="minorHAnsi"/>
          <w:sz w:val="24"/>
          <w:szCs w:val="24"/>
        </w:rPr>
        <w:t>M</w:t>
      </w:r>
      <w:r w:rsidR="00535713" w:rsidRPr="00FB07FC">
        <w:rPr>
          <w:rFonts w:ascii="Book Antiqua" w:hAnsi="Book Antiqua" w:cstheme="minorHAnsi"/>
          <w:sz w:val="24"/>
          <w:szCs w:val="24"/>
        </w:rPr>
        <w:t xml:space="preserve">r </w:t>
      </w:r>
      <w:proofErr w:type="spellStart"/>
      <w:r w:rsidR="00535713" w:rsidRPr="00FB07FC">
        <w:rPr>
          <w:rFonts w:ascii="Book Antiqua" w:hAnsi="Book Antiqua" w:cstheme="minorHAnsi"/>
          <w:sz w:val="24"/>
          <w:szCs w:val="24"/>
        </w:rPr>
        <w:t>Toal</w:t>
      </w:r>
      <w:proofErr w:type="spellEnd"/>
      <w:r w:rsidR="00D12A21" w:rsidRPr="00FB07FC">
        <w:rPr>
          <w:rFonts w:ascii="Book Antiqua" w:hAnsi="Book Antiqua" w:cstheme="minorHAnsi"/>
          <w:sz w:val="24"/>
          <w:szCs w:val="24"/>
        </w:rPr>
        <w:t xml:space="preserve"> of Counsel</w:t>
      </w:r>
      <w:r w:rsidR="005710CD" w:rsidRPr="00FB07FC">
        <w:rPr>
          <w:rFonts w:ascii="Book Antiqua" w:hAnsi="Book Antiqua" w:cstheme="minorHAnsi"/>
          <w:sz w:val="24"/>
          <w:szCs w:val="24"/>
        </w:rPr>
        <w:t>,</w:t>
      </w:r>
      <w:r w:rsidR="00D12A21" w:rsidRPr="00FB07FC">
        <w:rPr>
          <w:rFonts w:ascii="Book Antiqua" w:hAnsi="Book Antiqua" w:cstheme="minorHAnsi"/>
          <w:sz w:val="24"/>
          <w:szCs w:val="24"/>
        </w:rPr>
        <w:t xml:space="preserve"> </w:t>
      </w:r>
      <w:r w:rsidRPr="00FB07FC">
        <w:rPr>
          <w:rFonts w:ascii="Book Antiqua" w:hAnsi="Book Antiqua" w:cstheme="minorHAnsi"/>
          <w:sz w:val="24"/>
          <w:szCs w:val="24"/>
        </w:rPr>
        <w:t>instructed by</w:t>
      </w:r>
      <w:r w:rsidR="00E83096" w:rsidRPr="00FB07FC">
        <w:rPr>
          <w:rFonts w:ascii="Book Antiqua" w:hAnsi="Book Antiqua" w:cstheme="minorHAnsi"/>
          <w:sz w:val="24"/>
          <w:szCs w:val="24"/>
        </w:rPr>
        <w:t xml:space="preserve"> </w:t>
      </w:r>
      <w:r w:rsidR="00535713" w:rsidRPr="00FB07FC">
        <w:rPr>
          <w:rFonts w:ascii="Book Antiqua" w:hAnsi="Book Antiqua" w:cstheme="minorHAnsi"/>
          <w:sz w:val="24"/>
          <w:szCs w:val="24"/>
        </w:rPr>
        <w:t>Wilson Solicitors LLP</w:t>
      </w:r>
    </w:p>
    <w:p w14:paraId="09E965A1" w14:textId="348F19D9" w:rsidR="00A839EF" w:rsidRPr="00FB07FC" w:rsidRDefault="00A839EF" w:rsidP="00535713">
      <w:pPr>
        <w:tabs>
          <w:tab w:val="left" w:pos="567"/>
        </w:tabs>
        <w:spacing w:after="0" w:line="240" w:lineRule="auto"/>
        <w:ind w:left="567" w:right="567"/>
        <w:jc w:val="both"/>
        <w:rPr>
          <w:rFonts w:ascii="Book Antiqua" w:hAnsi="Book Antiqua" w:cstheme="minorHAnsi"/>
          <w:sz w:val="24"/>
          <w:szCs w:val="24"/>
        </w:rPr>
      </w:pPr>
      <w:r w:rsidRPr="00FB07FC">
        <w:rPr>
          <w:rFonts w:ascii="Book Antiqua" w:hAnsi="Book Antiqua" w:cstheme="minorHAnsi"/>
          <w:sz w:val="24"/>
          <w:szCs w:val="24"/>
        </w:rPr>
        <w:t>For the</w:t>
      </w:r>
      <w:r w:rsidR="00535713" w:rsidRPr="00FB07FC">
        <w:rPr>
          <w:rFonts w:ascii="Book Antiqua" w:hAnsi="Book Antiqua" w:cstheme="minorHAnsi"/>
          <w:sz w:val="24"/>
          <w:szCs w:val="24"/>
        </w:rPr>
        <w:t xml:space="preserve"> Secretary of State</w:t>
      </w:r>
      <w:r w:rsidRPr="00FB07FC">
        <w:rPr>
          <w:rFonts w:ascii="Book Antiqua" w:hAnsi="Book Antiqua" w:cstheme="minorHAnsi"/>
          <w:sz w:val="24"/>
          <w:szCs w:val="24"/>
        </w:rPr>
        <w:t>:</w:t>
      </w:r>
      <w:r w:rsidR="00535713" w:rsidRPr="00FB07FC">
        <w:rPr>
          <w:rFonts w:ascii="Book Antiqua" w:hAnsi="Book Antiqua" w:cstheme="minorHAnsi"/>
          <w:sz w:val="24"/>
          <w:szCs w:val="24"/>
        </w:rPr>
        <w:t xml:space="preserve">  </w:t>
      </w:r>
      <w:r w:rsidRPr="00FB07FC">
        <w:rPr>
          <w:rFonts w:ascii="Book Antiqua" w:hAnsi="Book Antiqua" w:cstheme="minorHAnsi"/>
          <w:sz w:val="24"/>
          <w:szCs w:val="24"/>
        </w:rPr>
        <w:t>M</w:t>
      </w:r>
      <w:r w:rsidR="005710CD" w:rsidRPr="00FB07FC">
        <w:rPr>
          <w:rFonts w:ascii="Book Antiqua" w:hAnsi="Book Antiqua" w:cstheme="minorHAnsi"/>
          <w:sz w:val="24"/>
          <w:szCs w:val="24"/>
        </w:rPr>
        <w:t xml:space="preserve">r </w:t>
      </w:r>
      <w:proofErr w:type="spellStart"/>
      <w:r w:rsidR="00C77F7E" w:rsidRPr="00FB07FC">
        <w:rPr>
          <w:rFonts w:ascii="Book Antiqua" w:hAnsi="Book Antiqua" w:cstheme="minorHAnsi"/>
          <w:sz w:val="24"/>
          <w:szCs w:val="24"/>
        </w:rPr>
        <w:t>McVeety</w:t>
      </w:r>
      <w:proofErr w:type="spellEnd"/>
      <w:r w:rsidR="00FB07FC">
        <w:rPr>
          <w:rFonts w:ascii="Book Antiqua" w:hAnsi="Book Antiqua" w:cstheme="minorHAnsi"/>
          <w:sz w:val="24"/>
          <w:szCs w:val="24"/>
        </w:rPr>
        <w:t>,</w:t>
      </w:r>
      <w:r w:rsidRPr="00FB07FC">
        <w:rPr>
          <w:rFonts w:ascii="Book Antiqua" w:hAnsi="Book Antiqua" w:cstheme="minorHAnsi"/>
          <w:sz w:val="24"/>
          <w:szCs w:val="24"/>
        </w:rPr>
        <w:t xml:space="preserve"> Senior Presenting Officer</w:t>
      </w:r>
    </w:p>
    <w:p w14:paraId="3B654AD2" w14:textId="4D380D90" w:rsidR="00A839EF" w:rsidRDefault="00A839EF" w:rsidP="008C268C">
      <w:pPr>
        <w:jc w:val="center"/>
        <w:rPr>
          <w:rFonts w:ascii="Book Antiqua" w:hAnsi="Book Antiqua" w:cstheme="minorHAnsi"/>
          <w:b/>
          <w:sz w:val="24"/>
          <w:szCs w:val="24"/>
          <w:highlight w:val="yellow"/>
          <w:u w:val="single"/>
        </w:rPr>
      </w:pPr>
    </w:p>
    <w:p w14:paraId="7A6D21AE" w14:textId="47B1FE48" w:rsidR="008E0BE1" w:rsidRDefault="008E0BE1" w:rsidP="008C268C">
      <w:pPr>
        <w:jc w:val="center"/>
        <w:rPr>
          <w:rFonts w:ascii="Book Antiqua" w:hAnsi="Book Antiqua" w:cstheme="minorHAnsi"/>
          <w:b/>
          <w:sz w:val="24"/>
          <w:szCs w:val="24"/>
          <w:highlight w:val="yellow"/>
          <w:u w:val="single"/>
        </w:rPr>
      </w:pPr>
    </w:p>
    <w:p w14:paraId="4015D1B0" w14:textId="17AAA835" w:rsidR="008F398C" w:rsidRDefault="006B627B" w:rsidP="008C268C">
      <w:pPr>
        <w:jc w:val="center"/>
        <w:rPr>
          <w:rFonts w:ascii="Book Antiqua" w:hAnsi="Book Antiqua" w:cstheme="minorHAnsi"/>
          <w:b/>
          <w:sz w:val="24"/>
          <w:szCs w:val="24"/>
          <w:u w:val="single"/>
        </w:rPr>
      </w:pPr>
      <w:r w:rsidRPr="00C77F7E">
        <w:rPr>
          <w:rFonts w:ascii="Book Antiqua" w:hAnsi="Book Antiqua" w:cstheme="minorHAnsi"/>
          <w:b/>
          <w:sz w:val="24"/>
          <w:szCs w:val="24"/>
          <w:u w:val="single"/>
        </w:rPr>
        <w:t>D</w:t>
      </w:r>
      <w:r w:rsidR="00B66E68" w:rsidRPr="00C77F7E">
        <w:rPr>
          <w:rFonts w:ascii="Book Antiqua" w:hAnsi="Book Antiqua" w:cstheme="minorHAnsi"/>
          <w:b/>
          <w:sz w:val="24"/>
          <w:szCs w:val="24"/>
          <w:u w:val="single"/>
        </w:rPr>
        <w:t>ECISION AND REASONS</w:t>
      </w:r>
    </w:p>
    <w:p w14:paraId="1E8D2F0E" w14:textId="77777777" w:rsidR="00B7444F" w:rsidRPr="00B7444F" w:rsidRDefault="00B7444F" w:rsidP="00B7444F">
      <w:pPr>
        <w:tabs>
          <w:tab w:val="left" w:pos="567"/>
        </w:tabs>
        <w:spacing w:after="0" w:line="240" w:lineRule="auto"/>
        <w:ind w:left="567" w:right="567"/>
        <w:jc w:val="both"/>
        <w:rPr>
          <w:rFonts w:ascii="Book Antiqua" w:hAnsi="Book Antiqua" w:cstheme="minorHAnsi"/>
          <w:sz w:val="24"/>
          <w:szCs w:val="24"/>
        </w:rPr>
      </w:pPr>
    </w:p>
    <w:p w14:paraId="0886A38D" w14:textId="0FE12754" w:rsidR="00B71CA4" w:rsidRPr="00B71CA4" w:rsidRDefault="00535713" w:rsidP="00580780">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Arial"/>
          <w:sz w:val="24"/>
          <w:szCs w:val="24"/>
        </w:rPr>
        <w:t>SOC</w:t>
      </w:r>
      <w:r w:rsidR="00FF1D91" w:rsidRPr="001614F5">
        <w:rPr>
          <w:rFonts w:ascii="Book Antiqua" w:hAnsi="Book Antiqua"/>
          <w:sz w:val="24"/>
          <w:szCs w:val="24"/>
        </w:rPr>
        <w:t xml:space="preserve"> is a national of </w:t>
      </w:r>
      <w:r>
        <w:rPr>
          <w:rFonts w:ascii="Book Antiqua" w:hAnsi="Book Antiqua"/>
          <w:sz w:val="24"/>
          <w:szCs w:val="24"/>
        </w:rPr>
        <w:t>Somalia</w:t>
      </w:r>
      <w:r w:rsidR="00FF1D91" w:rsidRPr="001614F5">
        <w:rPr>
          <w:rFonts w:ascii="Book Antiqua" w:hAnsi="Book Antiqua"/>
          <w:sz w:val="24"/>
          <w:szCs w:val="24"/>
        </w:rPr>
        <w:t xml:space="preserve"> born in 19</w:t>
      </w:r>
      <w:r>
        <w:rPr>
          <w:rFonts w:ascii="Book Antiqua" w:hAnsi="Book Antiqua"/>
          <w:sz w:val="24"/>
          <w:szCs w:val="24"/>
        </w:rPr>
        <w:t>76</w:t>
      </w:r>
      <w:r w:rsidR="00FF1D91" w:rsidRPr="001614F5">
        <w:rPr>
          <w:rFonts w:ascii="Book Antiqua" w:hAnsi="Book Antiqua"/>
          <w:sz w:val="24"/>
          <w:szCs w:val="24"/>
        </w:rPr>
        <w:t>.</w:t>
      </w:r>
      <w:r w:rsidR="00F820C9" w:rsidRPr="001614F5">
        <w:rPr>
          <w:rFonts w:ascii="Book Antiqua" w:hAnsi="Book Antiqua"/>
          <w:sz w:val="24"/>
          <w:szCs w:val="24"/>
        </w:rPr>
        <w:t xml:space="preserve"> </w:t>
      </w:r>
      <w:r w:rsidR="00DE14CE" w:rsidRPr="001614F5">
        <w:rPr>
          <w:rFonts w:ascii="Book Antiqua" w:hAnsi="Book Antiqua"/>
          <w:sz w:val="24"/>
          <w:szCs w:val="24"/>
        </w:rPr>
        <w:t xml:space="preserve"> </w:t>
      </w:r>
      <w:r w:rsidR="00B71CA4">
        <w:rPr>
          <w:rFonts w:ascii="Book Antiqua" w:hAnsi="Book Antiqua"/>
          <w:sz w:val="24"/>
          <w:szCs w:val="24"/>
        </w:rPr>
        <w:t xml:space="preserve">He has lived in this country since 1998 but </w:t>
      </w:r>
      <w:r w:rsidR="00B71CA4" w:rsidRPr="00C77F7E">
        <w:rPr>
          <w:rFonts w:ascii="Book Antiqua" w:hAnsi="Book Antiqua"/>
          <w:sz w:val="24"/>
          <w:szCs w:val="24"/>
        </w:rPr>
        <w:t>has never had lawful leave to do so.  In 2008</w:t>
      </w:r>
      <w:r w:rsidR="00B71CA4">
        <w:rPr>
          <w:rFonts w:ascii="Book Antiqua" w:hAnsi="Book Antiqua"/>
          <w:sz w:val="24"/>
          <w:szCs w:val="24"/>
        </w:rPr>
        <w:t xml:space="preserve"> he was convicted of </w:t>
      </w:r>
      <w:r w:rsidR="00DC0BD7">
        <w:rPr>
          <w:rFonts w:ascii="Book Antiqua" w:hAnsi="Book Antiqua"/>
          <w:sz w:val="24"/>
          <w:szCs w:val="24"/>
        </w:rPr>
        <w:t>two counts of possessing Class A drugs with intent to supply</w:t>
      </w:r>
      <w:r w:rsidR="00B71CA4">
        <w:rPr>
          <w:rFonts w:ascii="Book Antiqua" w:hAnsi="Book Antiqua"/>
          <w:sz w:val="24"/>
          <w:szCs w:val="24"/>
        </w:rPr>
        <w:t xml:space="preserve"> and sentenced to a total of 30 months’ imprisonment. As such he is a foreign criminal as defined at s 32 Borders Act 2007 and the public interest requires his deportation.  To that end the Secretary of State made a deportation order against him on the 12</w:t>
      </w:r>
      <w:r w:rsidR="00B71CA4" w:rsidRPr="00B71CA4">
        <w:rPr>
          <w:rFonts w:ascii="Book Antiqua" w:hAnsi="Book Antiqua"/>
          <w:sz w:val="24"/>
          <w:szCs w:val="24"/>
          <w:vertAlign w:val="superscript"/>
        </w:rPr>
        <w:t>th</w:t>
      </w:r>
      <w:r w:rsidR="00B71CA4">
        <w:rPr>
          <w:rFonts w:ascii="Book Antiqua" w:hAnsi="Book Antiqua"/>
          <w:sz w:val="24"/>
          <w:szCs w:val="24"/>
        </w:rPr>
        <w:t xml:space="preserve"> November 2008.</w:t>
      </w:r>
    </w:p>
    <w:p w14:paraId="445965A9" w14:textId="77777777" w:rsidR="00B71CA4" w:rsidRPr="00B71CA4" w:rsidRDefault="00B71CA4" w:rsidP="00580780">
      <w:pPr>
        <w:tabs>
          <w:tab w:val="left" w:pos="567"/>
        </w:tabs>
        <w:spacing w:after="0" w:line="240" w:lineRule="auto"/>
        <w:ind w:left="567" w:right="567"/>
        <w:jc w:val="both"/>
        <w:rPr>
          <w:rFonts w:ascii="Book Antiqua" w:hAnsi="Book Antiqua" w:cstheme="minorHAnsi"/>
          <w:sz w:val="24"/>
          <w:szCs w:val="24"/>
        </w:rPr>
      </w:pPr>
    </w:p>
    <w:p w14:paraId="66517099" w14:textId="543BF829" w:rsidR="00580780" w:rsidRPr="00C77F7E" w:rsidRDefault="00580780" w:rsidP="00C77F7E">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 xml:space="preserve">Having made that order, the Secretary of State apparently </w:t>
      </w:r>
      <w:r w:rsidR="00C77F7E">
        <w:rPr>
          <w:rFonts w:ascii="Book Antiqua" w:hAnsi="Book Antiqua" w:cstheme="minorHAnsi"/>
          <w:sz w:val="24"/>
          <w:szCs w:val="24"/>
        </w:rPr>
        <w:t>failed to</w:t>
      </w:r>
      <w:r>
        <w:rPr>
          <w:rFonts w:ascii="Book Antiqua" w:hAnsi="Book Antiqua" w:cstheme="minorHAnsi"/>
          <w:sz w:val="24"/>
          <w:szCs w:val="24"/>
        </w:rPr>
        <w:t xml:space="preserve"> deport SOC.   At various points SOC made representations requesting that the Secretary of State revoke the deportation order and grant him leave to remain on protection and human rights grounds. By her decision of the 21</w:t>
      </w:r>
      <w:r w:rsidRPr="00580780">
        <w:rPr>
          <w:rFonts w:ascii="Book Antiqua" w:hAnsi="Book Antiqua" w:cstheme="minorHAnsi"/>
          <w:sz w:val="24"/>
          <w:szCs w:val="24"/>
          <w:vertAlign w:val="superscript"/>
        </w:rPr>
        <w:t>st</w:t>
      </w:r>
      <w:r>
        <w:rPr>
          <w:rFonts w:ascii="Book Antiqua" w:hAnsi="Book Antiqua" w:cstheme="minorHAnsi"/>
          <w:sz w:val="24"/>
          <w:szCs w:val="24"/>
        </w:rPr>
        <w:t xml:space="preserve"> October 2019 th</w:t>
      </w:r>
      <w:r w:rsidR="00C77F7E">
        <w:rPr>
          <w:rFonts w:ascii="Book Antiqua" w:hAnsi="Book Antiqua" w:cstheme="minorHAnsi"/>
          <w:sz w:val="24"/>
          <w:szCs w:val="24"/>
        </w:rPr>
        <w:t xml:space="preserve">e Secretary of State </w:t>
      </w:r>
      <w:r w:rsidRPr="00C77F7E">
        <w:rPr>
          <w:rFonts w:ascii="Book Antiqua" w:hAnsi="Book Antiqua" w:cstheme="minorHAnsi"/>
          <w:sz w:val="24"/>
          <w:szCs w:val="24"/>
        </w:rPr>
        <w:t>rejected</w:t>
      </w:r>
      <w:r w:rsidR="00C77F7E">
        <w:rPr>
          <w:rFonts w:ascii="Book Antiqua" w:hAnsi="Book Antiqua" w:cstheme="minorHAnsi"/>
          <w:sz w:val="24"/>
          <w:szCs w:val="24"/>
        </w:rPr>
        <w:t xml:space="preserve"> those claims</w:t>
      </w:r>
      <w:r w:rsidRPr="00C77F7E">
        <w:rPr>
          <w:rFonts w:ascii="Book Antiqua" w:hAnsi="Book Antiqua" w:cstheme="minorHAnsi"/>
          <w:sz w:val="24"/>
          <w:szCs w:val="24"/>
        </w:rPr>
        <w:t>, but the representations were treated as a ‘fresh claim’, giving SOC a right of appeal, duly exercised before the First-tier Tribunal.</w:t>
      </w:r>
    </w:p>
    <w:p w14:paraId="5F87FE60" w14:textId="77777777" w:rsidR="00580780" w:rsidRDefault="00580780" w:rsidP="00580780">
      <w:pPr>
        <w:pStyle w:val="ListParagraph"/>
        <w:spacing w:after="0"/>
        <w:rPr>
          <w:rFonts w:ascii="Book Antiqua" w:hAnsi="Book Antiqua" w:cstheme="minorHAnsi"/>
          <w:sz w:val="24"/>
          <w:szCs w:val="24"/>
        </w:rPr>
      </w:pPr>
    </w:p>
    <w:p w14:paraId="14F117D9" w14:textId="77777777" w:rsidR="008D691D" w:rsidRDefault="00580780" w:rsidP="008D691D">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 xml:space="preserve">The matter came before the First-tier Tribunal (Judge </w:t>
      </w:r>
      <w:proofErr w:type="spellStart"/>
      <w:r>
        <w:rPr>
          <w:rFonts w:ascii="Book Antiqua" w:hAnsi="Book Antiqua" w:cstheme="minorHAnsi"/>
          <w:sz w:val="24"/>
          <w:szCs w:val="24"/>
        </w:rPr>
        <w:t>Mayall</w:t>
      </w:r>
      <w:proofErr w:type="spellEnd"/>
      <w:r>
        <w:rPr>
          <w:rFonts w:ascii="Book Antiqua" w:hAnsi="Book Antiqua" w:cstheme="minorHAnsi"/>
          <w:sz w:val="24"/>
          <w:szCs w:val="24"/>
        </w:rPr>
        <w:t>) on the 18</w:t>
      </w:r>
      <w:r w:rsidRPr="00580780">
        <w:rPr>
          <w:rFonts w:ascii="Book Antiqua" w:hAnsi="Book Antiqua" w:cstheme="minorHAnsi"/>
          <w:sz w:val="24"/>
          <w:szCs w:val="24"/>
          <w:vertAlign w:val="superscript"/>
        </w:rPr>
        <w:t>th</w:t>
      </w:r>
      <w:r>
        <w:rPr>
          <w:rFonts w:ascii="Book Antiqua" w:hAnsi="Book Antiqua" w:cstheme="minorHAnsi"/>
          <w:sz w:val="24"/>
          <w:szCs w:val="24"/>
        </w:rPr>
        <w:t xml:space="preserve"> February 2020. </w:t>
      </w:r>
    </w:p>
    <w:p w14:paraId="002CAC90" w14:textId="77777777" w:rsidR="008D691D" w:rsidRDefault="008D691D" w:rsidP="008D691D">
      <w:pPr>
        <w:pStyle w:val="ListParagraph"/>
        <w:spacing w:after="0"/>
        <w:rPr>
          <w:rFonts w:ascii="Book Antiqua" w:hAnsi="Book Antiqua" w:cstheme="minorHAnsi"/>
          <w:sz w:val="24"/>
          <w:szCs w:val="24"/>
        </w:rPr>
      </w:pPr>
    </w:p>
    <w:p w14:paraId="5E5BA687" w14:textId="211EFCF6" w:rsidR="00580780" w:rsidRPr="00BE7574" w:rsidRDefault="00580780" w:rsidP="00EC1EF1">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sidRPr="00BE7574">
        <w:rPr>
          <w:rFonts w:ascii="Book Antiqua" w:hAnsi="Book Antiqua" w:cstheme="minorHAnsi"/>
          <w:sz w:val="24"/>
          <w:szCs w:val="24"/>
        </w:rPr>
        <w:t xml:space="preserve">The factual claim advanced by SOC was that he was a member of a recognised ‘minority’ clan in Somalia, the </w:t>
      </w:r>
      <w:proofErr w:type="spellStart"/>
      <w:r w:rsidRPr="00BE7574">
        <w:rPr>
          <w:rFonts w:ascii="Book Antiqua" w:hAnsi="Book Antiqua" w:cstheme="minorHAnsi"/>
          <w:sz w:val="24"/>
          <w:szCs w:val="24"/>
        </w:rPr>
        <w:t>Bajuni</w:t>
      </w:r>
      <w:proofErr w:type="spellEnd"/>
      <w:r w:rsidR="00DC0BD7" w:rsidRPr="00BE7574">
        <w:rPr>
          <w:rFonts w:ascii="Book Antiqua" w:hAnsi="Book Antiqua" w:cstheme="minorHAnsi"/>
          <w:sz w:val="24"/>
          <w:szCs w:val="24"/>
        </w:rPr>
        <w:t>, living in a village near Kismayo</w:t>
      </w:r>
      <w:r w:rsidRPr="00BE7574">
        <w:rPr>
          <w:rFonts w:ascii="Book Antiqua" w:hAnsi="Book Antiqua" w:cstheme="minorHAnsi"/>
          <w:sz w:val="24"/>
          <w:szCs w:val="24"/>
        </w:rPr>
        <w:t xml:space="preserve">. He had </w:t>
      </w:r>
      <w:r w:rsidR="008D691D" w:rsidRPr="00BE7574">
        <w:rPr>
          <w:rFonts w:ascii="Book Antiqua" w:hAnsi="Book Antiqua" w:cstheme="minorHAnsi"/>
          <w:sz w:val="24"/>
          <w:szCs w:val="24"/>
        </w:rPr>
        <w:t>fled</w:t>
      </w:r>
      <w:r w:rsidRPr="00BE7574">
        <w:rPr>
          <w:rFonts w:ascii="Book Antiqua" w:hAnsi="Book Antiqua" w:cstheme="minorHAnsi"/>
          <w:sz w:val="24"/>
          <w:szCs w:val="24"/>
        </w:rPr>
        <w:t xml:space="preserve"> Somalia as a teenager, living as a refugee in Kenya before making his way to the United Kingdom. SOC avers that he has lost contact with his family and that he has no one to whom he could turn to in Somalia for support: he has heard that everyone who was left in his village were killed or taken by militiamen.  He was 22 years old when he arrived in t</w:t>
      </w:r>
      <w:r w:rsidR="008D691D" w:rsidRPr="00BE7574">
        <w:rPr>
          <w:rFonts w:ascii="Book Antiqua" w:hAnsi="Book Antiqua" w:cstheme="minorHAnsi"/>
          <w:sz w:val="24"/>
          <w:szCs w:val="24"/>
        </w:rPr>
        <w:t>his country</w:t>
      </w:r>
      <w:r w:rsidRPr="00BE7574">
        <w:rPr>
          <w:rFonts w:ascii="Book Antiqua" w:hAnsi="Book Antiqua" w:cstheme="minorHAnsi"/>
          <w:sz w:val="24"/>
          <w:szCs w:val="24"/>
        </w:rPr>
        <w:t xml:space="preserve">. He was alone and had experienced extreme trauma. He was introduced to drugs to ‘help him sleep’. He became addicted and ended up dealing in order to finance his </w:t>
      </w:r>
      <w:r w:rsidR="008D691D" w:rsidRPr="00BE7574">
        <w:rPr>
          <w:rFonts w:ascii="Book Antiqua" w:hAnsi="Book Antiqua" w:cstheme="minorHAnsi"/>
          <w:sz w:val="24"/>
          <w:szCs w:val="24"/>
        </w:rPr>
        <w:t xml:space="preserve">habit. </w:t>
      </w:r>
      <w:r w:rsidR="00DC0BD7" w:rsidRPr="00BE7574">
        <w:rPr>
          <w:rFonts w:ascii="Book Antiqua" w:hAnsi="Book Antiqua" w:cstheme="minorHAnsi"/>
          <w:sz w:val="24"/>
          <w:szCs w:val="24"/>
        </w:rPr>
        <w:t>When he</w:t>
      </w:r>
      <w:r w:rsidR="008D691D" w:rsidRPr="00BE7574">
        <w:rPr>
          <w:rFonts w:ascii="Book Antiqua" w:hAnsi="Book Antiqua" w:cstheme="minorHAnsi"/>
          <w:sz w:val="24"/>
          <w:szCs w:val="24"/>
        </w:rPr>
        <w:t xml:space="preserve"> was sent to prison</w:t>
      </w:r>
      <w:r w:rsidR="00DC0BD7" w:rsidRPr="00BE7574">
        <w:rPr>
          <w:rFonts w:ascii="Book Antiqua" w:hAnsi="Book Antiqua" w:cstheme="minorHAnsi"/>
          <w:sz w:val="24"/>
          <w:szCs w:val="24"/>
        </w:rPr>
        <w:t xml:space="preserve"> the </w:t>
      </w:r>
      <w:proofErr w:type="gramStart"/>
      <w:r w:rsidR="00C77F7E" w:rsidRPr="00BE7574">
        <w:rPr>
          <w:rFonts w:ascii="Book Antiqua" w:hAnsi="Book Antiqua" w:cstheme="minorHAnsi"/>
          <w:sz w:val="24"/>
          <w:szCs w:val="24"/>
        </w:rPr>
        <w:t>trial</w:t>
      </w:r>
      <w:proofErr w:type="gramEnd"/>
      <w:r w:rsidR="00C77F7E" w:rsidRPr="00BE7574">
        <w:rPr>
          <w:rFonts w:ascii="Book Antiqua" w:hAnsi="Book Antiqua" w:cstheme="minorHAnsi"/>
          <w:sz w:val="24"/>
          <w:szCs w:val="24"/>
        </w:rPr>
        <w:t xml:space="preserve"> </w:t>
      </w:r>
      <w:r w:rsidR="00DC0BD7" w:rsidRPr="00BE7574">
        <w:rPr>
          <w:rFonts w:ascii="Book Antiqua" w:hAnsi="Book Antiqua" w:cstheme="minorHAnsi"/>
          <w:sz w:val="24"/>
          <w:szCs w:val="24"/>
        </w:rPr>
        <w:t>judge recognised that he had been leading a “rather desperate life”, living partially on the streets</w:t>
      </w:r>
      <w:r w:rsidR="008D691D" w:rsidRPr="00BE7574">
        <w:rPr>
          <w:rFonts w:ascii="Book Antiqua" w:hAnsi="Book Antiqua" w:cstheme="minorHAnsi"/>
          <w:sz w:val="24"/>
          <w:szCs w:val="24"/>
        </w:rPr>
        <w:t xml:space="preserve">. He </w:t>
      </w:r>
      <w:r w:rsidR="00DC0BD7" w:rsidRPr="00BE7574">
        <w:rPr>
          <w:rFonts w:ascii="Book Antiqua" w:hAnsi="Book Antiqua" w:cstheme="minorHAnsi"/>
          <w:sz w:val="24"/>
          <w:szCs w:val="24"/>
        </w:rPr>
        <w:t xml:space="preserve">had </w:t>
      </w:r>
      <w:r w:rsidR="008D691D" w:rsidRPr="00BE7574">
        <w:rPr>
          <w:rFonts w:ascii="Book Antiqua" w:hAnsi="Book Antiqua" w:cstheme="minorHAnsi"/>
          <w:sz w:val="24"/>
          <w:szCs w:val="24"/>
        </w:rPr>
        <w:t>bec</w:t>
      </w:r>
      <w:r w:rsidR="00C77F7E" w:rsidRPr="00BE7574">
        <w:rPr>
          <w:rFonts w:ascii="Book Antiqua" w:hAnsi="Book Antiqua" w:cstheme="minorHAnsi"/>
          <w:sz w:val="24"/>
          <w:szCs w:val="24"/>
        </w:rPr>
        <w:t>o</w:t>
      </w:r>
      <w:r w:rsidR="008D691D" w:rsidRPr="00BE7574">
        <w:rPr>
          <w:rFonts w:ascii="Book Antiqua" w:hAnsi="Book Antiqua" w:cstheme="minorHAnsi"/>
          <w:sz w:val="24"/>
          <w:szCs w:val="24"/>
        </w:rPr>
        <w:t xml:space="preserve">me infected with HIV.  </w:t>
      </w:r>
      <w:r w:rsidR="00EB51C9" w:rsidRPr="00BE7574">
        <w:rPr>
          <w:rFonts w:ascii="Book Antiqua" w:hAnsi="Book Antiqua" w:cstheme="minorHAnsi"/>
          <w:sz w:val="24"/>
          <w:szCs w:val="24"/>
        </w:rPr>
        <w:t xml:space="preserve">This status has become known in his community which has turned its back on him. </w:t>
      </w:r>
      <w:r w:rsidR="008D691D" w:rsidRPr="00BE7574">
        <w:rPr>
          <w:rFonts w:ascii="Book Antiqua" w:hAnsi="Book Antiqua" w:cstheme="minorHAnsi"/>
          <w:sz w:val="24"/>
          <w:szCs w:val="24"/>
        </w:rPr>
        <w:t>Since his release from pri</w:t>
      </w:r>
      <w:r w:rsidR="00BE7574" w:rsidRPr="00BE7574">
        <w:rPr>
          <w:rFonts w:ascii="Book Antiqua" w:hAnsi="Book Antiqua" w:cstheme="minorHAnsi"/>
          <w:sz w:val="24"/>
          <w:szCs w:val="24"/>
        </w:rPr>
        <w:t>son</w:t>
      </w:r>
      <w:r w:rsidR="008D691D" w:rsidRPr="00BE7574">
        <w:rPr>
          <w:rFonts w:ascii="Book Antiqua" w:hAnsi="Book Antiqua" w:cstheme="minorHAnsi"/>
          <w:sz w:val="24"/>
          <w:szCs w:val="24"/>
        </w:rPr>
        <w:t xml:space="preserve"> he has tried to lead a “simple life”.</w:t>
      </w:r>
      <w:r w:rsidR="00EB51C9" w:rsidRPr="00BE7574">
        <w:rPr>
          <w:rFonts w:ascii="Book Antiqua" w:hAnsi="Book Antiqua" w:cstheme="minorHAnsi"/>
          <w:sz w:val="24"/>
          <w:szCs w:val="24"/>
        </w:rPr>
        <w:t xml:space="preserve">  He has been diagnosed with</w:t>
      </w:r>
      <w:r w:rsidR="00437CEB" w:rsidRPr="00BE7574">
        <w:rPr>
          <w:rFonts w:ascii="Book Antiqua" w:hAnsi="Book Antiqua" w:cstheme="minorHAnsi"/>
          <w:sz w:val="24"/>
          <w:szCs w:val="24"/>
        </w:rPr>
        <w:t xml:space="preserve"> depression</w:t>
      </w:r>
      <w:r w:rsidR="00DC0BD7" w:rsidRPr="00BE7574">
        <w:rPr>
          <w:rFonts w:ascii="Book Antiqua" w:hAnsi="Book Antiqua" w:cstheme="minorHAnsi"/>
          <w:sz w:val="24"/>
          <w:szCs w:val="24"/>
        </w:rPr>
        <w:t>. He has never been to Mogadishu and knows no one there.</w:t>
      </w:r>
    </w:p>
    <w:p w14:paraId="6D6FFAC1" w14:textId="77777777" w:rsidR="008D691D" w:rsidRDefault="008D691D" w:rsidP="00EC1EF1">
      <w:pPr>
        <w:pStyle w:val="ListParagraph"/>
        <w:spacing w:after="0"/>
        <w:rPr>
          <w:rFonts w:ascii="Book Antiqua" w:hAnsi="Book Antiqua" w:cstheme="minorHAnsi"/>
          <w:sz w:val="24"/>
          <w:szCs w:val="24"/>
        </w:rPr>
      </w:pPr>
    </w:p>
    <w:p w14:paraId="4DE88CD7" w14:textId="30EBCF99" w:rsidR="008D691D" w:rsidRDefault="008D691D" w:rsidP="00EC1EF1">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 xml:space="preserve">The legal case built on those facts by Mr </w:t>
      </w:r>
      <w:proofErr w:type="spellStart"/>
      <w:r>
        <w:rPr>
          <w:rFonts w:ascii="Book Antiqua" w:hAnsi="Book Antiqua" w:cstheme="minorHAnsi"/>
          <w:sz w:val="24"/>
          <w:szCs w:val="24"/>
        </w:rPr>
        <w:t>Toal</w:t>
      </w:r>
      <w:proofErr w:type="spellEnd"/>
      <w:r>
        <w:rPr>
          <w:rFonts w:ascii="Book Antiqua" w:hAnsi="Book Antiqua" w:cstheme="minorHAnsi"/>
          <w:sz w:val="24"/>
          <w:szCs w:val="24"/>
        </w:rPr>
        <w:t xml:space="preserve"> was that S</w:t>
      </w:r>
      <w:r w:rsidR="00EC1EF1">
        <w:rPr>
          <w:rFonts w:ascii="Book Antiqua" w:hAnsi="Book Antiqua" w:cstheme="minorHAnsi"/>
          <w:sz w:val="24"/>
          <w:szCs w:val="24"/>
        </w:rPr>
        <w:t>OC</w:t>
      </w:r>
      <w:r>
        <w:rPr>
          <w:rFonts w:ascii="Book Antiqua" w:hAnsi="Book Antiqua" w:cstheme="minorHAnsi"/>
          <w:sz w:val="24"/>
          <w:szCs w:val="24"/>
        </w:rPr>
        <w:t xml:space="preserve"> ha</w:t>
      </w:r>
      <w:r w:rsidR="00EC1EF1">
        <w:rPr>
          <w:rFonts w:ascii="Book Antiqua" w:hAnsi="Book Antiqua" w:cstheme="minorHAnsi"/>
          <w:sz w:val="24"/>
          <w:szCs w:val="24"/>
        </w:rPr>
        <w:t>s</w:t>
      </w:r>
      <w:r>
        <w:rPr>
          <w:rFonts w:ascii="Book Antiqua" w:hAnsi="Book Antiqua" w:cstheme="minorHAnsi"/>
          <w:sz w:val="24"/>
          <w:szCs w:val="24"/>
        </w:rPr>
        <w:t xml:space="preserve"> a well-founded fear of persecution in Somalia for reasons of his membership of a particular social group/ethnicity. </w:t>
      </w:r>
      <w:r w:rsidR="000C1942">
        <w:rPr>
          <w:rFonts w:ascii="Book Antiqua" w:hAnsi="Book Antiqua" w:cstheme="minorHAnsi"/>
          <w:sz w:val="24"/>
          <w:szCs w:val="24"/>
        </w:rPr>
        <w:t>Further and in</w:t>
      </w:r>
      <w:r>
        <w:rPr>
          <w:rFonts w:ascii="Book Antiqua" w:hAnsi="Book Antiqua" w:cstheme="minorHAnsi"/>
          <w:sz w:val="24"/>
          <w:szCs w:val="24"/>
        </w:rPr>
        <w:t xml:space="preserve"> the </w:t>
      </w:r>
      <w:proofErr w:type="gramStart"/>
      <w:r>
        <w:rPr>
          <w:rFonts w:ascii="Book Antiqua" w:hAnsi="Book Antiqua" w:cstheme="minorHAnsi"/>
          <w:sz w:val="24"/>
          <w:szCs w:val="24"/>
        </w:rPr>
        <w:t>alternative</w:t>
      </w:r>
      <w:proofErr w:type="gramEnd"/>
      <w:r>
        <w:rPr>
          <w:rFonts w:ascii="Book Antiqua" w:hAnsi="Book Antiqua" w:cstheme="minorHAnsi"/>
          <w:sz w:val="24"/>
          <w:szCs w:val="24"/>
        </w:rPr>
        <w:t xml:space="preserve"> he face</w:t>
      </w:r>
      <w:r w:rsidR="00EC1EF1">
        <w:rPr>
          <w:rFonts w:ascii="Book Antiqua" w:hAnsi="Book Antiqua" w:cstheme="minorHAnsi"/>
          <w:sz w:val="24"/>
          <w:szCs w:val="24"/>
        </w:rPr>
        <w:t>s</w:t>
      </w:r>
      <w:r>
        <w:rPr>
          <w:rFonts w:ascii="Book Antiqua" w:hAnsi="Book Antiqua" w:cstheme="minorHAnsi"/>
          <w:sz w:val="24"/>
          <w:szCs w:val="24"/>
        </w:rPr>
        <w:t xml:space="preserve"> a real risk of serious harm contrary to the UK’s obligations under Article 3/Article 15(b) of the Qualification Directive.</w:t>
      </w:r>
      <w:r w:rsidR="00176495">
        <w:rPr>
          <w:rFonts w:ascii="Book Antiqua" w:hAnsi="Book Antiqua" w:cstheme="minorHAnsi"/>
          <w:sz w:val="24"/>
          <w:szCs w:val="24"/>
        </w:rPr>
        <w:t xml:space="preserve">  It was submitted that the </w:t>
      </w:r>
      <w:r w:rsidR="00176495">
        <w:rPr>
          <w:rFonts w:ascii="Book Antiqua" w:hAnsi="Book Antiqua" w:cstheme="minorHAnsi"/>
          <w:sz w:val="24"/>
          <w:szCs w:val="24"/>
        </w:rPr>
        <w:lastRenderedPageBreak/>
        <w:t xml:space="preserve">passage of time, and </w:t>
      </w:r>
      <w:proofErr w:type="gramStart"/>
      <w:r w:rsidR="00176495">
        <w:rPr>
          <w:rFonts w:ascii="Book Antiqua" w:hAnsi="Book Antiqua" w:cstheme="minorHAnsi"/>
          <w:sz w:val="24"/>
          <w:szCs w:val="24"/>
        </w:rPr>
        <w:t>all of</w:t>
      </w:r>
      <w:proofErr w:type="gramEnd"/>
      <w:r w:rsidR="00176495">
        <w:rPr>
          <w:rFonts w:ascii="Book Antiqua" w:hAnsi="Book Antiqua" w:cstheme="minorHAnsi"/>
          <w:sz w:val="24"/>
          <w:szCs w:val="24"/>
        </w:rPr>
        <w:t xml:space="preserve"> the evidence read as a whole, indicated that SOC was no longer a danger to the community.</w:t>
      </w:r>
    </w:p>
    <w:p w14:paraId="0A17C592" w14:textId="77777777" w:rsidR="00EC1EF1" w:rsidRDefault="00EC1EF1" w:rsidP="00EC1EF1">
      <w:pPr>
        <w:pStyle w:val="ListParagraph"/>
        <w:spacing w:after="0"/>
        <w:rPr>
          <w:rFonts w:ascii="Book Antiqua" w:hAnsi="Book Antiqua" w:cstheme="minorHAnsi"/>
          <w:sz w:val="24"/>
          <w:szCs w:val="24"/>
        </w:rPr>
      </w:pPr>
    </w:p>
    <w:p w14:paraId="44945899" w14:textId="05CCF511" w:rsidR="00EC1EF1" w:rsidRDefault="00EC1EF1" w:rsidP="00EC1EF1">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The Secretary of State’s case</w:t>
      </w:r>
      <w:r w:rsidR="00BE7574">
        <w:rPr>
          <w:rFonts w:ascii="Book Antiqua" w:hAnsi="Book Antiqua" w:cstheme="minorHAnsi"/>
          <w:sz w:val="24"/>
          <w:szCs w:val="24"/>
        </w:rPr>
        <w:t xml:space="preserve">, </w:t>
      </w:r>
      <w:r w:rsidR="00EA2D79">
        <w:rPr>
          <w:rFonts w:ascii="Book Antiqua" w:hAnsi="Book Antiqua" w:cstheme="minorHAnsi"/>
          <w:sz w:val="24"/>
          <w:szCs w:val="24"/>
        </w:rPr>
        <w:t xml:space="preserve">insofar as it is relevant here, is </w:t>
      </w:r>
      <w:r w:rsidR="00BE7574">
        <w:rPr>
          <w:rFonts w:ascii="Book Antiqua" w:hAnsi="Book Antiqua" w:cstheme="minorHAnsi"/>
          <w:sz w:val="24"/>
          <w:szCs w:val="24"/>
        </w:rPr>
        <w:t>set out in her refusal letter dated 21</w:t>
      </w:r>
      <w:r w:rsidR="00BE7574" w:rsidRPr="00BE7574">
        <w:rPr>
          <w:rFonts w:ascii="Book Antiqua" w:hAnsi="Book Antiqua" w:cstheme="minorHAnsi"/>
          <w:sz w:val="24"/>
          <w:szCs w:val="24"/>
          <w:vertAlign w:val="superscript"/>
        </w:rPr>
        <w:t>st</w:t>
      </w:r>
      <w:r w:rsidR="00BE7574">
        <w:rPr>
          <w:rFonts w:ascii="Book Antiqua" w:hAnsi="Book Antiqua" w:cstheme="minorHAnsi"/>
          <w:sz w:val="24"/>
          <w:szCs w:val="24"/>
        </w:rPr>
        <w:t xml:space="preserve"> October 2019</w:t>
      </w:r>
      <w:r>
        <w:rPr>
          <w:rFonts w:ascii="Book Antiqua" w:hAnsi="Book Antiqua" w:cstheme="minorHAnsi"/>
          <w:sz w:val="24"/>
          <w:szCs w:val="24"/>
        </w:rPr>
        <w:t>:</w:t>
      </w:r>
    </w:p>
    <w:p w14:paraId="037E7F64" w14:textId="77777777" w:rsidR="00EC1EF1" w:rsidRDefault="00EC1EF1" w:rsidP="00EC1EF1">
      <w:pPr>
        <w:pStyle w:val="ListParagraph"/>
        <w:rPr>
          <w:rFonts w:ascii="Book Antiqua" w:hAnsi="Book Antiqua" w:cstheme="minorHAnsi"/>
          <w:sz w:val="24"/>
          <w:szCs w:val="24"/>
        </w:rPr>
      </w:pPr>
    </w:p>
    <w:p w14:paraId="4EC1FFC8" w14:textId="300EFE35" w:rsidR="00EC1EF1" w:rsidRDefault="000C1942" w:rsidP="00EC1EF1">
      <w:pPr>
        <w:pStyle w:val="ListParagraph"/>
        <w:numPr>
          <w:ilvl w:val="0"/>
          <w:numId w:val="32"/>
        </w:numPr>
        <w:tabs>
          <w:tab w:val="left" w:pos="567"/>
        </w:tabs>
        <w:spacing w:after="0" w:line="240" w:lineRule="auto"/>
        <w:ind w:right="567"/>
        <w:jc w:val="both"/>
        <w:rPr>
          <w:rFonts w:ascii="Book Antiqua" w:hAnsi="Book Antiqua" w:cstheme="minorHAnsi"/>
          <w:sz w:val="24"/>
          <w:szCs w:val="24"/>
        </w:rPr>
      </w:pPr>
      <w:r>
        <w:rPr>
          <w:rFonts w:ascii="Book Antiqua" w:hAnsi="Book Antiqua" w:cstheme="minorHAnsi"/>
          <w:sz w:val="24"/>
          <w:szCs w:val="24"/>
        </w:rPr>
        <w:t>Although it is accepted that</w:t>
      </w:r>
      <w:r w:rsidR="00EC1EF1">
        <w:rPr>
          <w:rFonts w:ascii="Book Antiqua" w:hAnsi="Book Antiqua" w:cstheme="minorHAnsi"/>
          <w:sz w:val="24"/>
          <w:szCs w:val="24"/>
        </w:rPr>
        <w:t xml:space="preserve"> SOC </w:t>
      </w:r>
      <w:r>
        <w:rPr>
          <w:rFonts w:ascii="Book Antiqua" w:hAnsi="Book Antiqua" w:cstheme="minorHAnsi"/>
          <w:sz w:val="24"/>
          <w:szCs w:val="24"/>
        </w:rPr>
        <w:t xml:space="preserve">is </w:t>
      </w:r>
      <w:proofErr w:type="spellStart"/>
      <w:r>
        <w:rPr>
          <w:rFonts w:ascii="Book Antiqua" w:hAnsi="Book Antiqua" w:cstheme="minorHAnsi"/>
          <w:sz w:val="24"/>
          <w:szCs w:val="24"/>
        </w:rPr>
        <w:t>Bajuni</w:t>
      </w:r>
      <w:proofErr w:type="spellEnd"/>
      <w:r>
        <w:rPr>
          <w:rFonts w:ascii="Book Antiqua" w:hAnsi="Book Antiqua" w:cstheme="minorHAnsi"/>
          <w:sz w:val="24"/>
          <w:szCs w:val="24"/>
        </w:rPr>
        <w:t xml:space="preserve">, he </w:t>
      </w:r>
      <w:r w:rsidR="00EC1EF1">
        <w:rPr>
          <w:rFonts w:ascii="Book Antiqua" w:hAnsi="Book Antiqua" w:cstheme="minorHAnsi"/>
          <w:sz w:val="24"/>
          <w:szCs w:val="24"/>
        </w:rPr>
        <w:t xml:space="preserve">has no current protection needs; </w:t>
      </w:r>
    </w:p>
    <w:p w14:paraId="554F6528" w14:textId="77777777" w:rsidR="00EC1EF1" w:rsidRDefault="00EC1EF1" w:rsidP="00EC1EF1">
      <w:pPr>
        <w:pStyle w:val="ListParagraph"/>
        <w:tabs>
          <w:tab w:val="left" w:pos="567"/>
        </w:tabs>
        <w:spacing w:after="0" w:line="240" w:lineRule="auto"/>
        <w:ind w:left="2163" w:right="567"/>
        <w:jc w:val="both"/>
        <w:rPr>
          <w:rFonts w:ascii="Book Antiqua" w:hAnsi="Book Antiqua" w:cstheme="minorHAnsi"/>
          <w:sz w:val="24"/>
          <w:szCs w:val="24"/>
        </w:rPr>
      </w:pPr>
    </w:p>
    <w:p w14:paraId="65C51335" w14:textId="5D9A7901" w:rsidR="00EC1EF1" w:rsidRDefault="00EC1EF1" w:rsidP="00EC1EF1">
      <w:pPr>
        <w:pStyle w:val="ListParagraph"/>
        <w:numPr>
          <w:ilvl w:val="0"/>
          <w:numId w:val="32"/>
        </w:numPr>
        <w:tabs>
          <w:tab w:val="left" w:pos="567"/>
        </w:tabs>
        <w:spacing w:after="0" w:line="240" w:lineRule="auto"/>
        <w:ind w:right="567"/>
        <w:jc w:val="both"/>
        <w:rPr>
          <w:rFonts w:ascii="Book Antiqua" w:hAnsi="Book Antiqua" w:cstheme="minorHAnsi"/>
          <w:sz w:val="24"/>
          <w:szCs w:val="24"/>
        </w:rPr>
      </w:pPr>
      <w:r>
        <w:rPr>
          <w:rFonts w:ascii="Book Antiqua" w:hAnsi="Book Antiqua" w:cstheme="minorHAnsi"/>
          <w:sz w:val="24"/>
          <w:szCs w:val="24"/>
        </w:rPr>
        <w:t xml:space="preserve">Even if he </w:t>
      </w:r>
      <w:proofErr w:type="gramStart"/>
      <w:r>
        <w:rPr>
          <w:rFonts w:ascii="Book Antiqua" w:hAnsi="Book Antiqua" w:cstheme="minorHAnsi"/>
          <w:sz w:val="24"/>
          <w:szCs w:val="24"/>
        </w:rPr>
        <w:t>did</w:t>
      </w:r>
      <w:proofErr w:type="gramEnd"/>
      <w:r>
        <w:rPr>
          <w:rFonts w:ascii="Book Antiqua" w:hAnsi="Book Antiqua" w:cstheme="minorHAnsi"/>
          <w:sz w:val="24"/>
          <w:szCs w:val="24"/>
        </w:rPr>
        <w:t xml:space="preserve"> he would be excluded from protection</w:t>
      </w:r>
      <w:r w:rsidR="00D44376">
        <w:rPr>
          <w:rFonts w:ascii="Book Antiqua" w:hAnsi="Book Antiqua" w:cstheme="minorHAnsi"/>
          <w:sz w:val="24"/>
          <w:szCs w:val="24"/>
        </w:rPr>
        <w:t>/humanitarian protection</w:t>
      </w:r>
      <w:r>
        <w:rPr>
          <w:rFonts w:ascii="Book Antiqua" w:hAnsi="Book Antiqua" w:cstheme="minorHAnsi"/>
          <w:sz w:val="24"/>
          <w:szCs w:val="24"/>
        </w:rPr>
        <w:t xml:space="preserve"> because he is a serious criminal and a certificate has therefore been imposed under s.72 Nationality, Immigration and Asylum Act 2002</w:t>
      </w:r>
      <w:r w:rsidR="00DC0BD7">
        <w:rPr>
          <w:rFonts w:ascii="Book Antiqua" w:hAnsi="Book Antiqua" w:cstheme="minorHAnsi"/>
          <w:sz w:val="24"/>
          <w:szCs w:val="24"/>
        </w:rPr>
        <w:t>;</w:t>
      </w:r>
    </w:p>
    <w:p w14:paraId="0AA46178" w14:textId="77777777" w:rsidR="00DC0BD7" w:rsidRPr="00DC0BD7" w:rsidRDefault="00DC0BD7" w:rsidP="00DC0BD7">
      <w:pPr>
        <w:pStyle w:val="ListParagraph"/>
        <w:rPr>
          <w:rFonts w:ascii="Book Antiqua" w:hAnsi="Book Antiqua" w:cstheme="minorHAnsi"/>
          <w:sz w:val="24"/>
          <w:szCs w:val="24"/>
        </w:rPr>
      </w:pPr>
    </w:p>
    <w:p w14:paraId="12420AC8" w14:textId="312CB11C" w:rsidR="00DC0BD7" w:rsidRDefault="00DC0BD7" w:rsidP="00EC1EF1">
      <w:pPr>
        <w:pStyle w:val="ListParagraph"/>
        <w:numPr>
          <w:ilvl w:val="0"/>
          <w:numId w:val="32"/>
        </w:numPr>
        <w:tabs>
          <w:tab w:val="left" w:pos="567"/>
        </w:tabs>
        <w:spacing w:after="0" w:line="240" w:lineRule="auto"/>
        <w:ind w:right="567"/>
        <w:jc w:val="both"/>
        <w:rPr>
          <w:rFonts w:ascii="Book Antiqua" w:hAnsi="Book Antiqua" w:cstheme="minorHAnsi"/>
          <w:sz w:val="24"/>
          <w:szCs w:val="24"/>
        </w:rPr>
      </w:pPr>
      <w:r>
        <w:rPr>
          <w:rFonts w:ascii="Book Antiqua" w:hAnsi="Book Antiqua" w:cstheme="minorHAnsi"/>
          <w:sz w:val="24"/>
          <w:szCs w:val="24"/>
        </w:rPr>
        <w:t xml:space="preserve">In respect of Article 3 the Secretary of State accepted that </w:t>
      </w:r>
      <w:r w:rsidR="0016643D">
        <w:rPr>
          <w:rFonts w:ascii="Book Antiqua" w:hAnsi="Book Antiqua" w:cstheme="minorHAnsi"/>
          <w:sz w:val="24"/>
          <w:szCs w:val="24"/>
        </w:rPr>
        <w:t>if SOC were to try and settle in Mogadishu there would be a real possibility of him having to live in “conditions that would fall below acceptable humanitarian standards”</w:t>
      </w:r>
      <w:r w:rsidR="00C03C1B">
        <w:rPr>
          <w:rFonts w:ascii="Book Antiqua" w:hAnsi="Book Antiqua" w:cstheme="minorHAnsi"/>
          <w:sz w:val="24"/>
          <w:szCs w:val="24"/>
        </w:rPr>
        <w:t xml:space="preserve">, and indeed conditions in violation of Article 3, </w:t>
      </w:r>
      <w:r w:rsidR="0016643D">
        <w:rPr>
          <w:rFonts w:ascii="Book Antiqua" w:hAnsi="Book Antiqua" w:cstheme="minorHAnsi"/>
          <w:sz w:val="24"/>
          <w:szCs w:val="24"/>
        </w:rPr>
        <w:t xml:space="preserve"> but it was found that SOC could make his way</w:t>
      </w:r>
      <w:r w:rsidR="00663064">
        <w:rPr>
          <w:rFonts w:ascii="Book Antiqua" w:hAnsi="Book Antiqua" w:cstheme="minorHAnsi"/>
          <w:sz w:val="24"/>
          <w:szCs w:val="24"/>
        </w:rPr>
        <w:t xml:space="preserve"> back</w:t>
      </w:r>
      <w:r w:rsidR="0016643D">
        <w:rPr>
          <w:rFonts w:ascii="Book Antiqua" w:hAnsi="Book Antiqua" w:cstheme="minorHAnsi"/>
          <w:sz w:val="24"/>
          <w:szCs w:val="24"/>
        </w:rPr>
        <w:t xml:space="preserve"> to Kismayo and re-settle there without facing a threat of violence</w:t>
      </w:r>
      <w:r w:rsidR="00D44376">
        <w:rPr>
          <w:rFonts w:ascii="Book Antiqua" w:hAnsi="Book Antiqua" w:cstheme="minorHAnsi"/>
          <w:sz w:val="24"/>
          <w:szCs w:val="24"/>
        </w:rPr>
        <w:t>, lack of access to medication</w:t>
      </w:r>
      <w:r w:rsidR="0016643D">
        <w:rPr>
          <w:rFonts w:ascii="Book Antiqua" w:hAnsi="Book Antiqua" w:cstheme="minorHAnsi"/>
          <w:sz w:val="24"/>
          <w:szCs w:val="24"/>
        </w:rPr>
        <w:t xml:space="preserve"> or a risk of destitution. Although travel by road would be risky, he could take a flight. SOC had not demonstrated that he has lost contact with his family</w:t>
      </w:r>
      <w:r w:rsidR="00437CEB">
        <w:rPr>
          <w:rFonts w:ascii="Book Antiqua" w:hAnsi="Book Antiqua" w:cstheme="minorHAnsi"/>
          <w:sz w:val="24"/>
          <w:szCs w:val="24"/>
        </w:rPr>
        <w:t>, clan members</w:t>
      </w:r>
      <w:r w:rsidR="0016643D">
        <w:rPr>
          <w:rFonts w:ascii="Book Antiqua" w:hAnsi="Book Antiqua" w:cstheme="minorHAnsi"/>
          <w:sz w:val="24"/>
          <w:szCs w:val="24"/>
        </w:rPr>
        <w:t xml:space="preserve"> or that he did not have the funds to pay for this travel (SOC had received a substantial award for unlawful detention in 2015)</w:t>
      </w:r>
      <w:r w:rsidR="00EA2D79">
        <w:rPr>
          <w:rFonts w:ascii="Book Antiqua" w:hAnsi="Book Antiqua" w:cstheme="minorHAnsi"/>
          <w:sz w:val="24"/>
          <w:szCs w:val="24"/>
        </w:rPr>
        <w:t>.</w:t>
      </w:r>
    </w:p>
    <w:p w14:paraId="2CB3C4E8" w14:textId="77777777" w:rsidR="00EC1EF1" w:rsidRPr="00EC1EF1" w:rsidRDefault="00EC1EF1" w:rsidP="00EC1EF1">
      <w:pPr>
        <w:pStyle w:val="ListParagraph"/>
        <w:rPr>
          <w:rFonts w:ascii="Book Antiqua" w:hAnsi="Book Antiqua" w:cstheme="minorHAnsi"/>
          <w:sz w:val="24"/>
          <w:szCs w:val="24"/>
        </w:rPr>
      </w:pPr>
    </w:p>
    <w:p w14:paraId="13BC7164" w14:textId="1E8A9BBF" w:rsidR="00EC1EF1" w:rsidRDefault="00EC1EF1" w:rsidP="00EC1EF1">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 xml:space="preserve">These then were the matters in issue before the First-tier Tribunal. </w:t>
      </w:r>
    </w:p>
    <w:p w14:paraId="05CF6C23" w14:textId="4685C142" w:rsidR="00EC1EF1" w:rsidRDefault="00EC1EF1" w:rsidP="00EC1EF1">
      <w:pPr>
        <w:tabs>
          <w:tab w:val="left" w:pos="567"/>
        </w:tabs>
        <w:spacing w:after="0" w:line="240" w:lineRule="auto"/>
        <w:ind w:left="567" w:right="567"/>
        <w:jc w:val="both"/>
        <w:rPr>
          <w:rFonts w:ascii="Book Antiqua" w:hAnsi="Book Antiqua" w:cstheme="minorHAnsi"/>
          <w:sz w:val="24"/>
          <w:szCs w:val="24"/>
        </w:rPr>
      </w:pPr>
    </w:p>
    <w:p w14:paraId="1453D6C6" w14:textId="6F631C94" w:rsidR="00EC1EF1" w:rsidRDefault="00EC1EF1" w:rsidP="00EC1EF1">
      <w:pPr>
        <w:tabs>
          <w:tab w:val="left" w:pos="567"/>
        </w:tabs>
        <w:spacing w:after="0" w:line="240" w:lineRule="auto"/>
        <w:ind w:left="567" w:right="567"/>
        <w:jc w:val="both"/>
        <w:rPr>
          <w:rFonts w:ascii="Book Antiqua" w:hAnsi="Book Antiqua" w:cstheme="minorHAnsi"/>
          <w:sz w:val="24"/>
          <w:szCs w:val="24"/>
        </w:rPr>
      </w:pPr>
    </w:p>
    <w:p w14:paraId="484C51E0" w14:textId="2160237A" w:rsidR="00EC1EF1" w:rsidRPr="00EC1EF1" w:rsidRDefault="00EC1EF1" w:rsidP="00EC1EF1">
      <w:pPr>
        <w:tabs>
          <w:tab w:val="left" w:pos="567"/>
        </w:tabs>
        <w:spacing w:after="0" w:line="240" w:lineRule="auto"/>
        <w:ind w:left="567" w:right="567"/>
        <w:jc w:val="both"/>
        <w:rPr>
          <w:rFonts w:ascii="Book Antiqua" w:hAnsi="Book Antiqua" w:cstheme="minorHAnsi"/>
          <w:b/>
          <w:bCs/>
          <w:sz w:val="24"/>
          <w:szCs w:val="24"/>
        </w:rPr>
      </w:pPr>
      <w:r w:rsidRPr="00EC1EF1">
        <w:rPr>
          <w:rFonts w:ascii="Book Antiqua" w:hAnsi="Book Antiqua" w:cstheme="minorHAnsi"/>
          <w:b/>
          <w:bCs/>
          <w:sz w:val="24"/>
          <w:szCs w:val="24"/>
        </w:rPr>
        <w:t>The First-tier Tribunal Decision</w:t>
      </w:r>
    </w:p>
    <w:p w14:paraId="23EC3603" w14:textId="77777777" w:rsidR="00580780" w:rsidRDefault="00580780" w:rsidP="008D691D">
      <w:pPr>
        <w:pStyle w:val="ListParagraph"/>
        <w:spacing w:after="0"/>
        <w:rPr>
          <w:rFonts w:ascii="Book Antiqua" w:hAnsi="Book Antiqua" w:cstheme="minorHAnsi"/>
          <w:sz w:val="24"/>
          <w:szCs w:val="24"/>
        </w:rPr>
      </w:pPr>
    </w:p>
    <w:p w14:paraId="66229A00" w14:textId="34A0F10D" w:rsidR="00176495" w:rsidRDefault="00D44376" w:rsidP="00580780">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The First-tier Tribunal began by considering the s72 certificate.  The offence was a very serious one. Although the trial judge had recognised that street dealing fell at the “bottom of the bracket” he evidently considered that it was still serious enough to warrant a lengthy custodial sentence. The Tribunal rejected SOC’s claims to now be drug-free: he had tested positive for heroin in 2015 and his explanation (that someone had passed him a laced cigarette) were “utterly implausible”.  SOC had in addition been made subject to a Drug Rehabilitation Requirement</w:t>
      </w:r>
      <w:r w:rsidR="00176495">
        <w:rPr>
          <w:rFonts w:ascii="Book Antiqua" w:hAnsi="Book Antiqua" w:cstheme="minorHAnsi"/>
          <w:sz w:val="24"/>
          <w:szCs w:val="24"/>
        </w:rPr>
        <w:t xml:space="preserve">, indicating that the court on that occasion considered that drugs played a significant role in SOC’s offending.  The “expert” had concluded that SOC presents a “medium risk” of committing further offences, particularly acquisitive and drug related offences. Although the expert determined that SOC presents a low- level risk of harm to others, the Tribunal refuses to accept this: </w:t>
      </w:r>
    </w:p>
    <w:p w14:paraId="7FB3262C" w14:textId="77777777" w:rsidR="00176495" w:rsidRDefault="00176495" w:rsidP="00176495">
      <w:pPr>
        <w:tabs>
          <w:tab w:val="left" w:pos="567"/>
        </w:tabs>
        <w:spacing w:after="0" w:line="240" w:lineRule="auto"/>
        <w:ind w:left="567" w:right="567"/>
        <w:jc w:val="both"/>
        <w:rPr>
          <w:rFonts w:ascii="Book Antiqua" w:hAnsi="Book Antiqua" w:cstheme="minorHAnsi"/>
          <w:sz w:val="24"/>
          <w:szCs w:val="24"/>
        </w:rPr>
      </w:pPr>
    </w:p>
    <w:p w14:paraId="493A2679" w14:textId="28897D42" w:rsidR="00580780" w:rsidRDefault="00176495" w:rsidP="00176495">
      <w:pPr>
        <w:tabs>
          <w:tab w:val="left" w:pos="567"/>
        </w:tabs>
        <w:spacing w:after="0" w:line="240" w:lineRule="auto"/>
        <w:ind w:left="1134" w:right="1134"/>
        <w:jc w:val="both"/>
        <w:rPr>
          <w:rFonts w:ascii="Book Antiqua" w:hAnsi="Book Antiqua" w:cstheme="minorHAnsi"/>
          <w:sz w:val="24"/>
          <w:szCs w:val="24"/>
        </w:rPr>
      </w:pPr>
      <w:r>
        <w:rPr>
          <w:rFonts w:ascii="Book Antiqua" w:hAnsi="Book Antiqua" w:cstheme="minorHAnsi"/>
          <w:sz w:val="24"/>
          <w:szCs w:val="24"/>
        </w:rPr>
        <w:lastRenderedPageBreak/>
        <w:t>“the reason why sentences for dealing in drugs are high is because of the real and serious harm that such behaviour does to society in general. Lack of violent behaviour does not equate to a lack of harm”.</w:t>
      </w:r>
    </w:p>
    <w:p w14:paraId="388D873A" w14:textId="77777777" w:rsidR="00176495" w:rsidRDefault="00176495" w:rsidP="00176495">
      <w:pPr>
        <w:tabs>
          <w:tab w:val="left" w:pos="567"/>
        </w:tabs>
        <w:spacing w:after="0" w:line="240" w:lineRule="auto"/>
        <w:ind w:left="567" w:right="567"/>
        <w:jc w:val="both"/>
        <w:rPr>
          <w:rFonts w:ascii="Book Antiqua" w:hAnsi="Book Antiqua" w:cstheme="minorHAnsi"/>
          <w:sz w:val="24"/>
          <w:szCs w:val="24"/>
        </w:rPr>
      </w:pPr>
    </w:p>
    <w:p w14:paraId="4DB4E318" w14:textId="454F0817" w:rsidR="00D44376" w:rsidRDefault="00176495" w:rsidP="00176495">
      <w:pPr>
        <w:tabs>
          <w:tab w:val="left" w:pos="567"/>
        </w:tabs>
        <w:spacing w:after="0" w:line="240" w:lineRule="auto"/>
        <w:ind w:left="567" w:right="567"/>
        <w:jc w:val="both"/>
        <w:rPr>
          <w:rFonts w:ascii="Book Antiqua" w:hAnsi="Book Antiqua" w:cstheme="minorHAnsi"/>
          <w:sz w:val="24"/>
          <w:szCs w:val="24"/>
        </w:rPr>
      </w:pPr>
      <w:proofErr w:type="gramStart"/>
      <w:r>
        <w:rPr>
          <w:rFonts w:ascii="Book Antiqua" w:hAnsi="Book Antiqua" w:cstheme="minorHAnsi"/>
          <w:sz w:val="24"/>
          <w:szCs w:val="24"/>
        </w:rPr>
        <w:t>On the basis of</w:t>
      </w:r>
      <w:proofErr w:type="gramEnd"/>
      <w:r>
        <w:rPr>
          <w:rFonts w:ascii="Book Antiqua" w:hAnsi="Book Antiqua" w:cstheme="minorHAnsi"/>
          <w:sz w:val="24"/>
          <w:szCs w:val="24"/>
        </w:rPr>
        <w:t xml:space="preserve"> these findings, the Tribunal upheld the certificate, and thereby dismissed the asylum/humanitarian protection elements of the claim. </w:t>
      </w:r>
    </w:p>
    <w:p w14:paraId="70771DAB" w14:textId="77777777" w:rsidR="00176495" w:rsidRDefault="00176495" w:rsidP="00176495">
      <w:pPr>
        <w:tabs>
          <w:tab w:val="left" w:pos="567"/>
        </w:tabs>
        <w:spacing w:after="0" w:line="240" w:lineRule="auto"/>
        <w:ind w:left="567" w:right="567"/>
        <w:jc w:val="both"/>
        <w:rPr>
          <w:rFonts w:ascii="Book Antiqua" w:hAnsi="Book Antiqua" w:cstheme="minorHAnsi"/>
          <w:sz w:val="24"/>
          <w:szCs w:val="24"/>
        </w:rPr>
      </w:pPr>
    </w:p>
    <w:p w14:paraId="1DA53145" w14:textId="1BAC1191" w:rsidR="00976579" w:rsidRDefault="00176495" w:rsidP="00081C5F">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 xml:space="preserve">The </w:t>
      </w:r>
      <w:r w:rsidR="00081C5F">
        <w:rPr>
          <w:rFonts w:ascii="Book Antiqua" w:hAnsi="Book Antiqua" w:cstheme="minorHAnsi"/>
          <w:sz w:val="24"/>
          <w:szCs w:val="24"/>
        </w:rPr>
        <w:t xml:space="preserve">First-tier </w:t>
      </w:r>
      <w:r w:rsidRPr="00081C5F">
        <w:rPr>
          <w:rFonts w:ascii="Book Antiqua" w:hAnsi="Book Antiqua" w:cstheme="minorHAnsi"/>
          <w:sz w:val="24"/>
          <w:szCs w:val="24"/>
        </w:rPr>
        <w:t xml:space="preserve">Tribunal next considered whether SOC would be at risk of </w:t>
      </w:r>
      <w:r w:rsidR="00081C5F">
        <w:rPr>
          <w:rFonts w:ascii="Book Antiqua" w:hAnsi="Book Antiqua" w:cstheme="minorHAnsi"/>
          <w:sz w:val="24"/>
          <w:szCs w:val="24"/>
        </w:rPr>
        <w:t xml:space="preserve">Article 3 serious </w:t>
      </w:r>
      <w:r w:rsidRPr="00081C5F">
        <w:rPr>
          <w:rFonts w:ascii="Book Antiqua" w:hAnsi="Book Antiqua" w:cstheme="minorHAnsi"/>
          <w:sz w:val="24"/>
          <w:szCs w:val="24"/>
        </w:rPr>
        <w:t xml:space="preserve">harm should he return to Kismayo. It </w:t>
      </w:r>
      <w:r w:rsidR="00081C5F" w:rsidRPr="00081C5F">
        <w:rPr>
          <w:rFonts w:ascii="Book Antiqua" w:hAnsi="Book Antiqua" w:cstheme="minorHAnsi"/>
          <w:sz w:val="24"/>
          <w:szCs w:val="24"/>
        </w:rPr>
        <w:t xml:space="preserve">did so </w:t>
      </w:r>
      <w:proofErr w:type="gramStart"/>
      <w:r w:rsidR="00081C5F" w:rsidRPr="00081C5F">
        <w:rPr>
          <w:rFonts w:ascii="Book Antiqua" w:hAnsi="Book Antiqua" w:cstheme="minorHAnsi"/>
          <w:sz w:val="24"/>
          <w:szCs w:val="24"/>
        </w:rPr>
        <w:t>on the basis of</w:t>
      </w:r>
      <w:proofErr w:type="gramEnd"/>
      <w:r w:rsidR="00081C5F" w:rsidRPr="00081C5F">
        <w:rPr>
          <w:rFonts w:ascii="Book Antiqua" w:hAnsi="Book Antiqua" w:cstheme="minorHAnsi"/>
          <w:sz w:val="24"/>
          <w:szCs w:val="24"/>
        </w:rPr>
        <w:t xml:space="preserve"> the accepted fact that SOC is a </w:t>
      </w:r>
      <w:proofErr w:type="spellStart"/>
      <w:r w:rsidR="00081C5F" w:rsidRPr="00081C5F">
        <w:rPr>
          <w:rFonts w:ascii="Book Antiqua" w:hAnsi="Book Antiqua" w:cstheme="minorHAnsi"/>
          <w:sz w:val="24"/>
          <w:szCs w:val="24"/>
        </w:rPr>
        <w:t>Bajuni</w:t>
      </w:r>
      <w:proofErr w:type="spellEnd"/>
      <w:r w:rsidR="00081C5F" w:rsidRPr="00081C5F">
        <w:rPr>
          <w:rFonts w:ascii="Book Antiqua" w:hAnsi="Book Antiqua" w:cstheme="minorHAnsi"/>
          <w:sz w:val="24"/>
          <w:szCs w:val="24"/>
        </w:rPr>
        <w:t xml:space="preserve">.   The </w:t>
      </w:r>
      <w:r w:rsidR="00081C5F">
        <w:rPr>
          <w:rFonts w:ascii="Book Antiqua" w:hAnsi="Book Antiqua" w:cstheme="minorHAnsi"/>
          <w:sz w:val="24"/>
          <w:szCs w:val="24"/>
        </w:rPr>
        <w:t xml:space="preserve">Tribunal directed itself to the extant country guidance cases on </w:t>
      </w:r>
      <w:proofErr w:type="spellStart"/>
      <w:r w:rsidR="00081C5F">
        <w:rPr>
          <w:rFonts w:ascii="Book Antiqua" w:hAnsi="Book Antiqua" w:cstheme="minorHAnsi"/>
          <w:sz w:val="24"/>
          <w:szCs w:val="24"/>
        </w:rPr>
        <w:t>Bajunis</w:t>
      </w:r>
      <w:proofErr w:type="spellEnd"/>
      <w:r w:rsidR="00081C5F">
        <w:rPr>
          <w:rFonts w:ascii="Book Antiqua" w:hAnsi="Book Antiqua" w:cstheme="minorHAnsi"/>
          <w:sz w:val="24"/>
          <w:szCs w:val="24"/>
        </w:rPr>
        <w:t xml:space="preserve">.  </w:t>
      </w:r>
      <w:r w:rsidR="00081C5F" w:rsidRPr="00081C5F">
        <w:rPr>
          <w:rFonts w:ascii="Book Antiqua" w:hAnsi="Book Antiqua" w:cstheme="minorHAnsi"/>
          <w:sz w:val="24"/>
          <w:szCs w:val="24"/>
          <w:u w:val="single"/>
        </w:rPr>
        <w:t xml:space="preserve">SA and </w:t>
      </w:r>
      <w:proofErr w:type="spellStart"/>
      <w:r w:rsidR="00081C5F" w:rsidRPr="00081C5F">
        <w:rPr>
          <w:rFonts w:ascii="Book Antiqua" w:hAnsi="Book Antiqua" w:cstheme="minorHAnsi"/>
          <w:sz w:val="24"/>
          <w:szCs w:val="24"/>
          <w:u w:val="single"/>
        </w:rPr>
        <w:t>Ors</w:t>
      </w:r>
      <w:proofErr w:type="spellEnd"/>
      <w:r w:rsidR="00081C5F" w:rsidRPr="00081C5F">
        <w:rPr>
          <w:rFonts w:ascii="Book Antiqua" w:hAnsi="Book Antiqua" w:cstheme="minorHAnsi"/>
          <w:sz w:val="24"/>
          <w:szCs w:val="24"/>
          <w:u w:val="single"/>
        </w:rPr>
        <w:t xml:space="preserve"> (minority group – Swahili speakers)</w:t>
      </w:r>
      <w:r w:rsidR="00081C5F">
        <w:rPr>
          <w:rFonts w:ascii="Book Antiqua" w:hAnsi="Book Antiqua" w:cstheme="minorHAnsi"/>
          <w:sz w:val="24"/>
          <w:szCs w:val="24"/>
        </w:rPr>
        <w:t xml:space="preserve"> Somalia CG [2003] UKIAT 00094 specifically had regard to the position of </w:t>
      </w:r>
      <w:proofErr w:type="spellStart"/>
      <w:r w:rsidR="00081C5F">
        <w:rPr>
          <w:rFonts w:ascii="Book Antiqua" w:hAnsi="Book Antiqua" w:cstheme="minorHAnsi"/>
          <w:sz w:val="24"/>
          <w:szCs w:val="24"/>
        </w:rPr>
        <w:t>Bajunis</w:t>
      </w:r>
      <w:proofErr w:type="spellEnd"/>
      <w:r w:rsidR="00081C5F">
        <w:rPr>
          <w:rFonts w:ascii="Book Antiqua" w:hAnsi="Book Antiqua" w:cstheme="minorHAnsi"/>
          <w:sz w:val="24"/>
          <w:szCs w:val="24"/>
        </w:rPr>
        <w:t xml:space="preserve"> in Kismayo and found them to be at risk. </w:t>
      </w:r>
      <w:r w:rsidR="00081C5F" w:rsidRPr="00081C5F">
        <w:rPr>
          <w:rFonts w:ascii="Book Antiqua" w:hAnsi="Book Antiqua" w:cstheme="minorHAnsi"/>
          <w:sz w:val="24"/>
          <w:szCs w:val="24"/>
          <w:u w:val="single"/>
        </w:rPr>
        <w:t xml:space="preserve">KS (Minority clans – </w:t>
      </w:r>
      <w:proofErr w:type="spellStart"/>
      <w:r w:rsidR="00081C5F" w:rsidRPr="00081C5F">
        <w:rPr>
          <w:rFonts w:ascii="Book Antiqua" w:hAnsi="Book Antiqua" w:cstheme="minorHAnsi"/>
          <w:sz w:val="24"/>
          <w:szCs w:val="24"/>
          <w:u w:val="single"/>
        </w:rPr>
        <w:t>Bajuni</w:t>
      </w:r>
      <w:proofErr w:type="spellEnd"/>
      <w:r w:rsidR="00081C5F" w:rsidRPr="00081C5F">
        <w:rPr>
          <w:rFonts w:ascii="Book Antiqua" w:hAnsi="Book Antiqua" w:cstheme="minorHAnsi"/>
          <w:sz w:val="24"/>
          <w:szCs w:val="24"/>
          <w:u w:val="single"/>
        </w:rPr>
        <w:t xml:space="preserve"> – ability to speak </w:t>
      </w:r>
      <w:proofErr w:type="spellStart"/>
      <w:r w:rsidR="00081C5F" w:rsidRPr="00081C5F">
        <w:rPr>
          <w:rFonts w:ascii="Book Antiqua" w:hAnsi="Book Antiqua" w:cstheme="minorHAnsi"/>
          <w:sz w:val="24"/>
          <w:szCs w:val="24"/>
          <w:u w:val="single"/>
        </w:rPr>
        <w:t>Kibajuni</w:t>
      </w:r>
      <w:proofErr w:type="spellEnd"/>
      <w:r w:rsidR="00081C5F" w:rsidRPr="00081C5F">
        <w:rPr>
          <w:rFonts w:ascii="Book Antiqua" w:hAnsi="Book Antiqua" w:cstheme="minorHAnsi"/>
          <w:sz w:val="24"/>
          <w:szCs w:val="24"/>
          <w:u w:val="single"/>
        </w:rPr>
        <w:t>)</w:t>
      </w:r>
      <w:r w:rsidR="00081C5F">
        <w:rPr>
          <w:rFonts w:ascii="Book Antiqua" w:hAnsi="Book Antiqua" w:cstheme="minorHAnsi"/>
          <w:sz w:val="24"/>
          <w:szCs w:val="24"/>
        </w:rPr>
        <w:t xml:space="preserve"> Somalia CG [2004] UKIAT 00271 held that while not all minority groups had an automatically well-founded claim to protection, </w:t>
      </w:r>
      <w:r w:rsidR="002673F8">
        <w:rPr>
          <w:rFonts w:ascii="Book Antiqua" w:hAnsi="Book Antiqua" w:cstheme="minorHAnsi"/>
          <w:sz w:val="24"/>
          <w:szCs w:val="24"/>
        </w:rPr>
        <w:t xml:space="preserve">in that instance the </w:t>
      </w:r>
      <w:proofErr w:type="spellStart"/>
      <w:r w:rsidR="00081C5F">
        <w:rPr>
          <w:rFonts w:ascii="Book Antiqua" w:hAnsi="Book Antiqua" w:cstheme="minorHAnsi"/>
          <w:sz w:val="24"/>
          <w:szCs w:val="24"/>
        </w:rPr>
        <w:t>Bajuni</w:t>
      </w:r>
      <w:proofErr w:type="spellEnd"/>
      <w:r w:rsidR="002673F8">
        <w:rPr>
          <w:rFonts w:ascii="Book Antiqua" w:hAnsi="Book Antiqua" w:cstheme="minorHAnsi"/>
          <w:sz w:val="24"/>
          <w:szCs w:val="24"/>
        </w:rPr>
        <w:t xml:space="preserve"> appellant</w:t>
      </w:r>
      <w:r w:rsidR="00081C5F">
        <w:rPr>
          <w:rFonts w:ascii="Book Antiqua" w:hAnsi="Book Antiqua" w:cstheme="minorHAnsi"/>
          <w:sz w:val="24"/>
          <w:szCs w:val="24"/>
        </w:rPr>
        <w:t xml:space="preserve"> did.</w:t>
      </w:r>
      <w:r w:rsidR="00EF5168">
        <w:rPr>
          <w:rFonts w:ascii="Book Antiqua" w:hAnsi="Book Antiqua" w:cstheme="minorHAnsi"/>
          <w:sz w:val="24"/>
          <w:szCs w:val="24"/>
        </w:rPr>
        <w:t xml:space="preserve">  In </w:t>
      </w:r>
      <w:r w:rsidR="00EF5168" w:rsidRPr="00EF5168">
        <w:rPr>
          <w:rFonts w:ascii="Book Antiqua" w:hAnsi="Book Antiqua" w:cstheme="minorHAnsi"/>
          <w:sz w:val="24"/>
          <w:szCs w:val="24"/>
          <w:u w:val="single"/>
        </w:rPr>
        <w:t xml:space="preserve">NM and </w:t>
      </w:r>
      <w:proofErr w:type="spellStart"/>
      <w:r w:rsidR="00EF5168" w:rsidRPr="00EF5168">
        <w:rPr>
          <w:rFonts w:ascii="Book Antiqua" w:hAnsi="Book Antiqua" w:cstheme="minorHAnsi"/>
          <w:sz w:val="24"/>
          <w:szCs w:val="24"/>
          <w:u w:val="single"/>
        </w:rPr>
        <w:t>Ors</w:t>
      </w:r>
      <w:proofErr w:type="spellEnd"/>
      <w:r w:rsidR="00EF5168" w:rsidRPr="00EF5168">
        <w:rPr>
          <w:rFonts w:ascii="Book Antiqua" w:hAnsi="Book Antiqua" w:cstheme="minorHAnsi"/>
          <w:sz w:val="24"/>
          <w:szCs w:val="24"/>
          <w:u w:val="single"/>
        </w:rPr>
        <w:t xml:space="preserve"> (Lone woman – Ashraf) </w:t>
      </w:r>
      <w:r w:rsidR="00EF5168">
        <w:rPr>
          <w:rFonts w:ascii="Book Antiqua" w:hAnsi="Book Antiqua" w:cstheme="minorHAnsi"/>
          <w:sz w:val="24"/>
          <w:szCs w:val="24"/>
        </w:rPr>
        <w:t xml:space="preserve">Somalia CG [2005] UKIAT 00076 the panel found the starting point of its risk assessment to be that in general terms, members of minorities from southern Somalia (an area uncontrovertibly including Kismayo) were at risk of breaches of Article 3.    The First-tier Tribunal noted that none of these country guidance cases had been replaced or removed from the </w:t>
      </w:r>
      <w:r w:rsidR="009E5250">
        <w:rPr>
          <w:rFonts w:ascii="Book Antiqua" w:hAnsi="Book Antiqua" w:cstheme="minorHAnsi"/>
          <w:sz w:val="24"/>
          <w:szCs w:val="24"/>
        </w:rPr>
        <w:t xml:space="preserve">official Upper Tribunal </w:t>
      </w:r>
      <w:r w:rsidR="00EF5168">
        <w:rPr>
          <w:rFonts w:ascii="Book Antiqua" w:hAnsi="Book Antiqua" w:cstheme="minorHAnsi"/>
          <w:sz w:val="24"/>
          <w:szCs w:val="24"/>
        </w:rPr>
        <w:t xml:space="preserve">list. None were </w:t>
      </w:r>
      <w:proofErr w:type="spellStart"/>
      <w:r w:rsidR="00EF5168">
        <w:rPr>
          <w:rFonts w:ascii="Book Antiqua" w:hAnsi="Book Antiqua" w:cstheme="minorHAnsi"/>
          <w:sz w:val="24"/>
          <w:szCs w:val="24"/>
        </w:rPr>
        <w:t>superceded</w:t>
      </w:r>
      <w:proofErr w:type="spellEnd"/>
      <w:r w:rsidR="00EF5168">
        <w:rPr>
          <w:rFonts w:ascii="Book Antiqua" w:hAnsi="Book Antiqua" w:cstheme="minorHAnsi"/>
          <w:sz w:val="24"/>
          <w:szCs w:val="24"/>
        </w:rPr>
        <w:t xml:space="preserve"> by </w:t>
      </w:r>
      <w:r w:rsidR="00EF5168" w:rsidRPr="00EF5168">
        <w:rPr>
          <w:rFonts w:ascii="Book Antiqua" w:hAnsi="Book Antiqua" w:cstheme="minorHAnsi"/>
          <w:sz w:val="24"/>
          <w:szCs w:val="24"/>
          <w:u w:val="single"/>
        </w:rPr>
        <w:t xml:space="preserve">MOJ and </w:t>
      </w:r>
      <w:proofErr w:type="spellStart"/>
      <w:r w:rsidR="00EF5168" w:rsidRPr="00EF5168">
        <w:rPr>
          <w:rFonts w:ascii="Book Antiqua" w:hAnsi="Book Antiqua" w:cstheme="minorHAnsi"/>
          <w:sz w:val="24"/>
          <w:szCs w:val="24"/>
          <w:u w:val="single"/>
        </w:rPr>
        <w:t>Ors</w:t>
      </w:r>
      <w:proofErr w:type="spellEnd"/>
      <w:r w:rsidR="00EF5168" w:rsidRPr="00EF5168">
        <w:rPr>
          <w:rFonts w:ascii="Book Antiqua" w:hAnsi="Book Antiqua" w:cstheme="minorHAnsi"/>
          <w:sz w:val="24"/>
          <w:szCs w:val="24"/>
          <w:u w:val="single"/>
        </w:rPr>
        <w:t xml:space="preserve"> (Return to Mogadishu)</w:t>
      </w:r>
      <w:r w:rsidR="00EF5168">
        <w:rPr>
          <w:rFonts w:ascii="Book Antiqua" w:hAnsi="Book Antiqua" w:cstheme="minorHAnsi"/>
          <w:sz w:val="24"/>
          <w:szCs w:val="24"/>
        </w:rPr>
        <w:t xml:space="preserve"> Somalia CG [2014] UKUT 00442 (IAC) since that case was exclusively concerned with the position in the capital.  </w:t>
      </w:r>
      <w:r w:rsidR="009E5250">
        <w:rPr>
          <w:rFonts w:ascii="Book Antiqua" w:hAnsi="Book Antiqua" w:cstheme="minorHAnsi"/>
          <w:sz w:val="24"/>
          <w:szCs w:val="24"/>
        </w:rPr>
        <w:t xml:space="preserve">That being the case, the Tribunal was required to follow the cases mentioned, unless it found there to be strong grounds, supported by cogent evidence, not to do so. </w:t>
      </w:r>
      <w:r w:rsidR="00C22B6A">
        <w:rPr>
          <w:rFonts w:ascii="Book Antiqua" w:hAnsi="Book Antiqua" w:cstheme="minorHAnsi"/>
          <w:sz w:val="24"/>
          <w:szCs w:val="24"/>
        </w:rPr>
        <w:t xml:space="preserve">  </w:t>
      </w:r>
    </w:p>
    <w:p w14:paraId="2BD67EE6" w14:textId="77777777" w:rsidR="00976579" w:rsidRDefault="00976579" w:rsidP="00976579">
      <w:pPr>
        <w:tabs>
          <w:tab w:val="left" w:pos="567"/>
        </w:tabs>
        <w:spacing w:after="0" w:line="240" w:lineRule="auto"/>
        <w:ind w:left="567" w:right="567"/>
        <w:jc w:val="both"/>
        <w:rPr>
          <w:rFonts w:ascii="Book Antiqua" w:hAnsi="Book Antiqua" w:cstheme="minorHAnsi"/>
          <w:sz w:val="24"/>
          <w:szCs w:val="24"/>
        </w:rPr>
      </w:pPr>
    </w:p>
    <w:p w14:paraId="52029552" w14:textId="6AD92F88" w:rsidR="00176495" w:rsidRPr="00976579" w:rsidRDefault="00185481" w:rsidP="00976579">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It will be noted from my summary at [§</w:t>
      </w:r>
      <w:r w:rsidR="00976579">
        <w:rPr>
          <w:rFonts w:ascii="Book Antiqua" w:hAnsi="Book Antiqua" w:cstheme="minorHAnsi"/>
          <w:sz w:val="24"/>
          <w:szCs w:val="24"/>
        </w:rPr>
        <w:t>6</w:t>
      </w:r>
      <w:r>
        <w:rPr>
          <w:rFonts w:ascii="Book Antiqua" w:hAnsi="Book Antiqua" w:cstheme="minorHAnsi"/>
          <w:sz w:val="24"/>
          <w:szCs w:val="24"/>
        </w:rPr>
        <w:t xml:space="preserve"> above] that the Secretary of State had not alluded to an</w:t>
      </w:r>
      <w:r w:rsidR="00976579">
        <w:rPr>
          <w:rFonts w:ascii="Book Antiqua" w:hAnsi="Book Antiqua" w:cstheme="minorHAnsi"/>
          <w:sz w:val="24"/>
          <w:szCs w:val="24"/>
        </w:rPr>
        <w:t>y</w:t>
      </w:r>
      <w:r>
        <w:rPr>
          <w:rFonts w:ascii="Book Antiqua" w:hAnsi="Book Antiqua" w:cstheme="minorHAnsi"/>
          <w:sz w:val="24"/>
          <w:szCs w:val="24"/>
        </w:rPr>
        <w:t xml:space="preserve"> of this country guidance in her refusal letter</w:t>
      </w:r>
      <w:r w:rsidR="00976579">
        <w:rPr>
          <w:rFonts w:ascii="Book Antiqua" w:hAnsi="Book Antiqua" w:cstheme="minorHAnsi"/>
          <w:sz w:val="24"/>
          <w:szCs w:val="24"/>
        </w:rPr>
        <w:t xml:space="preserve">. </w:t>
      </w:r>
      <w:r w:rsidR="009E5250" w:rsidRPr="00976579">
        <w:rPr>
          <w:rFonts w:ascii="Book Antiqua" w:hAnsi="Book Antiqua" w:cstheme="minorHAnsi"/>
          <w:sz w:val="24"/>
          <w:szCs w:val="24"/>
        </w:rPr>
        <w:t xml:space="preserve">The Tribunal put this matter to the Home Office Presenting Officer on the day, a Mr </w:t>
      </w:r>
      <w:proofErr w:type="spellStart"/>
      <w:r w:rsidR="009E5250" w:rsidRPr="00976579">
        <w:rPr>
          <w:rFonts w:ascii="Book Antiqua" w:hAnsi="Book Antiqua" w:cstheme="minorHAnsi"/>
          <w:sz w:val="24"/>
          <w:szCs w:val="24"/>
        </w:rPr>
        <w:t>Grennan</w:t>
      </w:r>
      <w:proofErr w:type="spellEnd"/>
      <w:r w:rsidR="009E5250" w:rsidRPr="00976579">
        <w:rPr>
          <w:rFonts w:ascii="Book Antiqua" w:hAnsi="Book Antiqua" w:cstheme="minorHAnsi"/>
          <w:sz w:val="24"/>
          <w:szCs w:val="24"/>
        </w:rPr>
        <w:t>. His response is recorded at paragraph 46 of the decision:</w:t>
      </w:r>
    </w:p>
    <w:p w14:paraId="337EC874" w14:textId="21DCD7D8" w:rsidR="009E5250" w:rsidRDefault="009E5250" w:rsidP="009E5250">
      <w:pPr>
        <w:tabs>
          <w:tab w:val="left" w:pos="567"/>
        </w:tabs>
        <w:spacing w:after="0" w:line="240" w:lineRule="auto"/>
        <w:ind w:left="567" w:right="567"/>
        <w:jc w:val="both"/>
        <w:rPr>
          <w:rFonts w:ascii="Book Antiqua" w:hAnsi="Book Antiqua" w:cstheme="minorHAnsi"/>
          <w:sz w:val="24"/>
          <w:szCs w:val="24"/>
        </w:rPr>
      </w:pPr>
    </w:p>
    <w:p w14:paraId="30513ACF" w14:textId="6CD1C037" w:rsidR="009E5250" w:rsidRDefault="009E5250" w:rsidP="009E5250">
      <w:pPr>
        <w:tabs>
          <w:tab w:val="left" w:pos="567"/>
        </w:tabs>
        <w:spacing w:after="0" w:line="240" w:lineRule="auto"/>
        <w:ind w:left="1134" w:right="1134"/>
        <w:jc w:val="both"/>
        <w:rPr>
          <w:rFonts w:ascii="Book Antiqua" w:hAnsi="Book Antiqua" w:cstheme="minorHAnsi"/>
          <w:sz w:val="24"/>
          <w:szCs w:val="24"/>
        </w:rPr>
      </w:pPr>
      <w:r>
        <w:rPr>
          <w:rFonts w:ascii="Book Antiqua" w:hAnsi="Book Antiqua" w:cstheme="minorHAnsi"/>
          <w:sz w:val="24"/>
          <w:szCs w:val="24"/>
        </w:rPr>
        <w:t xml:space="preserve">“It seems to me that Mr </w:t>
      </w:r>
      <w:proofErr w:type="spellStart"/>
      <w:r>
        <w:rPr>
          <w:rFonts w:ascii="Book Antiqua" w:hAnsi="Book Antiqua" w:cstheme="minorHAnsi"/>
          <w:sz w:val="24"/>
          <w:szCs w:val="24"/>
        </w:rPr>
        <w:t>Toal’s</w:t>
      </w:r>
      <w:proofErr w:type="spellEnd"/>
      <w:r>
        <w:rPr>
          <w:rFonts w:ascii="Book Antiqua" w:hAnsi="Book Antiqua" w:cstheme="minorHAnsi"/>
          <w:sz w:val="24"/>
          <w:szCs w:val="24"/>
        </w:rPr>
        <w:t xml:space="preserve"> submissions are correct. When I put this point to Mr </w:t>
      </w:r>
      <w:proofErr w:type="spellStart"/>
      <w:r>
        <w:rPr>
          <w:rFonts w:ascii="Book Antiqua" w:hAnsi="Book Antiqua" w:cstheme="minorHAnsi"/>
          <w:sz w:val="24"/>
          <w:szCs w:val="24"/>
        </w:rPr>
        <w:t>Grennan</w:t>
      </w:r>
      <w:proofErr w:type="spellEnd"/>
      <w:r>
        <w:rPr>
          <w:rFonts w:ascii="Book Antiqua" w:hAnsi="Book Antiqua" w:cstheme="minorHAnsi"/>
          <w:sz w:val="24"/>
          <w:szCs w:val="24"/>
        </w:rPr>
        <w:t xml:space="preserve"> during his </w:t>
      </w:r>
      <w:proofErr w:type="gramStart"/>
      <w:r>
        <w:rPr>
          <w:rFonts w:ascii="Book Antiqua" w:hAnsi="Book Antiqua" w:cstheme="minorHAnsi"/>
          <w:sz w:val="24"/>
          <w:szCs w:val="24"/>
        </w:rPr>
        <w:t>submissions</w:t>
      </w:r>
      <w:proofErr w:type="gramEnd"/>
      <w:r>
        <w:rPr>
          <w:rFonts w:ascii="Book Antiqua" w:hAnsi="Book Antiqua" w:cstheme="minorHAnsi"/>
          <w:sz w:val="24"/>
          <w:szCs w:val="24"/>
        </w:rPr>
        <w:t xml:space="preserve"> he accepted that there was nothing which would cause me to depart from the current Country Guidance. He also accepted that Mr </w:t>
      </w:r>
      <w:proofErr w:type="spellStart"/>
      <w:r>
        <w:rPr>
          <w:rFonts w:ascii="Book Antiqua" w:hAnsi="Book Antiqua" w:cstheme="minorHAnsi"/>
          <w:sz w:val="24"/>
          <w:szCs w:val="24"/>
        </w:rPr>
        <w:t>Toal’s</w:t>
      </w:r>
      <w:proofErr w:type="spellEnd"/>
      <w:r>
        <w:rPr>
          <w:rFonts w:ascii="Book Antiqua" w:hAnsi="Book Antiqua" w:cstheme="minorHAnsi"/>
          <w:sz w:val="24"/>
          <w:szCs w:val="24"/>
        </w:rPr>
        <w:t xml:space="preserve"> skeleton correctly recorded the current Country Guidance. He was not seeking to dissuade me from following that Country Guidance”.</w:t>
      </w:r>
    </w:p>
    <w:p w14:paraId="05D99813" w14:textId="77777777" w:rsidR="00EF5168" w:rsidRDefault="00EF5168" w:rsidP="00EF5168">
      <w:pPr>
        <w:tabs>
          <w:tab w:val="left" w:pos="567"/>
        </w:tabs>
        <w:spacing w:after="0" w:line="240" w:lineRule="auto"/>
        <w:ind w:left="567" w:right="567"/>
        <w:jc w:val="both"/>
        <w:rPr>
          <w:rFonts w:ascii="Book Antiqua" w:hAnsi="Book Antiqua" w:cstheme="minorHAnsi"/>
          <w:sz w:val="24"/>
          <w:szCs w:val="24"/>
        </w:rPr>
      </w:pPr>
    </w:p>
    <w:p w14:paraId="0A34FC80" w14:textId="446A243D" w:rsidR="00EF5168" w:rsidRDefault="00241F32" w:rsidP="00081C5F">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The Tribunal went on at paragraphs 47 and 48:</w:t>
      </w:r>
    </w:p>
    <w:p w14:paraId="7856FDB0" w14:textId="3C4F4DDC" w:rsidR="00241F32" w:rsidRDefault="00241F32" w:rsidP="00241F32">
      <w:pPr>
        <w:tabs>
          <w:tab w:val="left" w:pos="567"/>
        </w:tabs>
        <w:spacing w:after="0" w:line="240" w:lineRule="auto"/>
        <w:ind w:left="567" w:right="567"/>
        <w:jc w:val="both"/>
        <w:rPr>
          <w:rFonts w:ascii="Book Antiqua" w:hAnsi="Book Antiqua" w:cstheme="minorHAnsi"/>
          <w:sz w:val="24"/>
          <w:szCs w:val="24"/>
        </w:rPr>
      </w:pPr>
    </w:p>
    <w:p w14:paraId="496AD3C1" w14:textId="36FD0423" w:rsidR="00241F32" w:rsidRDefault="00241F32" w:rsidP="00241F32">
      <w:pPr>
        <w:tabs>
          <w:tab w:val="left" w:pos="567"/>
        </w:tabs>
        <w:spacing w:after="0" w:line="240" w:lineRule="auto"/>
        <w:ind w:left="1134" w:right="1134"/>
        <w:jc w:val="both"/>
        <w:rPr>
          <w:rFonts w:ascii="Book Antiqua" w:hAnsi="Book Antiqua" w:cstheme="minorHAnsi"/>
          <w:sz w:val="24"/>
          <w:szCs w:val="24"/>
        </w:rPr>
      </w:pPr>
      <w:r>
        <w:rPr>
          <w:rFonts w:ascii="Book Antiqua" w:hAnsi="Book Antiqua" w:cstheme="minorHAnsi"/>
          <w:sz w:val="24"/>
          <w:szCs w:val="24"/>
        </w:rPr>
        <w:t xml:space="preserve">“Nor was any evidence put before me to suggest that there are features in the appellant’s background and circumstances which </w:t>
      </w:r>
      <w:r>
        <w:rPr>
          <w:rFonts w:ascii="Book Antiqua" w:hAnsi="Book Antiqua" w:cstheme="minorHAnsi"/>
          <w:sz w:val="24"/>
          <w:szCs w:val="24"/>
        </w:rPr>
        <w:lastRenderedPageBreak/>
        <w:t>indicate that the appellant is not in fact at the same risk as that faced generally by other clan members. Nor was it suggested to the appellant in cross examination that such was the case.</w:t>
      </w:r>
    </w:p>
    <w:p w14:paraId="23949399" w14:textId="15EF291B" w:rsidR="00241F32" w:rsidRDefault="00241F32" w:rsidP="00241F32">
      <w:pPr>
        <w:tabs>
          <w:tab w:val="left" w:pos="567"/>
        </w:tabs>
        <w:spacing w:after="0" w:line="240" w:lineRule="auto"/>
        <w:ind w:left="1134" w:right="1134"/>
        <w:jc w:val="both"/>
        <w:rPr>
          <w:rFonts w:ascii="Book Antiqua" w:hAnsi="Book Antiqua" w:cstheme="minorHAnsi"/>
          <w:sz w:val="24"/>
          <w:szCs w:val="24"/>
        </w:rPr>
      </w:pPr>
    </w:p>
    <w:p w14:paraId="1308A017" w14:textId="3D9D46B1" w:rsidR="00241F32" w:rsidRDefault="00241F32" w:rsidP="00241F32">
      <w:pPr>
        <w:tabs>
          <w:tab w:val="left" w:pos="567"/>
        </w:tabs>
        <w:spacing w:after="0" w:line="240" w:lineRule="auto"/>
        <w:ind w:left="1134" w:right="1134"/>
        <w:jc w:val="both"/>
        <w:rPr>
          <w:rFonts w:ascii="Book Antiqua" w:hAnsi="Book Antiqua" w:cstheme="minorHAnsi"/>
          <w:sz w:val="24"/>
          <w:szCs w:val="24"/>
        </w:rPr>
      </w:pPr>
      <w:r>
        <w:rPr>
          <w:rFonts w:ascii="Book Antiqua" w:hAnsi="Book Antiqua" w:cstheme="minorHAnsi"/>
          <w:sz w:val="24"/>
          <w:szCs w:val="24"/>
        </w:rPr>
        <w:t xml:space="preserve">In these circumstances I am driven to the conclusion that, simply because he is a </w:t>
      </w:r>
      <w:proofErr w:type="spellStart"/>
      <w:r>
        <w:rPr>
          <w:rFonts w:ascii="Book Antiqua" w:hAnsi="Book Antiqua" w:cstheme="minorHAnsi"/>
          <w:sz w:val="24"/>
          <w:szCs w:val="24"/>
        </w:rPr>
        <w:t>Bajuni</w:t>
      </w:r>
      <w:proofErr w:type="spellEnd"/>
      <w:r>
        <w:rPr>
          <w:rFonts w:ascii="Book Antiqua" w:hAnsi="Book Antiqua" w:cstheme="minorHAnsi"/>
          <w:sz w:val="24"/>
          <w:szCs w:val="24"/>
        </w:rPr>
        <w:t xml:space="preserve">, he will face a real risk of persecution for a Convention reason, or of other treatment contrary to Art. 3 if he returns to Kismayo.  The Respondent accepts that he cannot live safely in </w:t>
      </w:r>
      <w:r w:rsidR="000C014D">
        <w:rPr>
          <w:rFonts w:ascii="Book Antiqua" w:hAnsi="Book Antiqua" w:cstheme="minorHAnsi"/>
          <w:sz w:val="24"/>
          <w:szCs w:val="24"/>
        </w:rPr>
        <w:t>Mogadishu</w:t>
      </w:r>
      <w:r>
        <w:rPr>
          <w:rFonts w:ascii="Book Antiqua" w:hAnsi="Book Antiqua" w:cstheme="minorHAnsi"/>
          <w:sz w:val="24"/>
          <w:szCs w:val="24"/>
        </w:rPr>
        <w:t>. The Respondent has not suggested that there is any other part of the country to which he could return and live safely”.</w:t>
      </w:r>
    </w:p>
    <w:p w14:paraId="19DE59DD" w14:textId="77777777" w:rsidR="00241F32" w:rsidRDefault="00241F32" w:rsidP="00241F32">
      <w:pPr>
        <w:tabs>
          <w:tab w:val="left" w:pos="567"/>
        </w:tabs>
        <w:spacing w:after="0" w:line="240" w:lineRule="auto"/>
        <w:ind w:left="567" w:right="567"/>
        <w:jc w:val="both"/>
        <w:rPr>
          <w:rFonts w:ascii="Book Antiqua" w:hAnsi="Book Antiqua" w:cstheme="minorHAnsi"/>
          <w:sz w:val="24"/>
          <w:szCs w:val="24"/>
        </w:rPr>
      </w:pPr>
    </w:p>
    <w:p w14:paraId="40A87578" w14:textId="4C3E0454" w:rsidR="00241F32" w:rsidRPr="00081C5F" w:rsidRDefault="00241F32" w:rsidP="00081C5F">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The appeal was therefore allowed on Article 3 human rights grounds.</w:t>
      </w:r>
    </w:p>
    <w:p w14:paraId="5B258CA8" w14:textId="68AB637A" w:rsidR="001A6C43" w:rsidRDefault="001A6C43" w:rsidP="001A6C43">
      <w:pPr>
        <w:tabs>
          <w:tab w:val="left" w:pos="567"/>
        </w:tabs>
        <w:spacing w:after="0" w:line="240" w:lineRule="auto"/>
        <w:ind w:left="567" w:right="567"/>
        <w:jc w:val="both"/>
        <w:rPr>
          <w:rFonts w:ascii="Book Antiqua" w:hAnsi="Book Antiqua" w:cstheme="minorHAnsi"/>
          <w:sz w:val="24"/>
          <w:szCs w:val="24"/>
        </w:rPr>
      </w:pPr>
    </w:p>
    <w:p w14:paraId="1214364F" w14:textId="2C743943" w:rsidR="001A6C43" w:rsidRDefault="001A6C43" w:rsidP="001A6C43">
      <w:pPr>
        <w:tabs>
          <w:tab w:val="left" w:pos="567"/>
        </w:tabs>
        <w:spacing w:after="0" w:line="240" w:lineRule="auto"/>
        <w:ind w:left="567" w:right="567"/>
        <w:jc w:val="both"/>
        <w:rPr>
          <w:rFonts w:ascii="Book Antiqua" w:hAnsi="Book Antiqua" w:cstheme="minorHAnsi"/>
          <w:sz w:val="24"/>
          <w:szCs w:val="24"/>
        </w:rPr>
      </w:pPr>
    </w:p>
    <w:p w14:paraId="01C57A8A" w14:textId="3AC04A6A" w:rsidR="001A6C43" w:rsidRPr="001A6C43" w:rsidRDefault="001A6C43" w:rsidP="001A6C43">
      <w:pPr>
        <w:tabs>
          <w:tab w:val="left" w:pos="567"/>
        </w:tabs>
        <w:spacing w:after="0" w:line="240" w:lineRule="auto"/>
        <w:ind w:left="567" w:right="567"/>
        <w:jc w:val="both"/>
        <w:rPr>
          <w:rFonts w:ascii="Book Antiqua" w:hAnsi="Book Antiqua" w:cstheme="minorHAnsi"/>
          <w:b/>
          <w:bCs/>
          <w:sz w:val="24"/>
          <w:szCs w:val="24"/>
        </w:rPr>
      </w:pPr>
      <w:r w:rsidRPr="001A6C43">
        <w:rPr>
          <w:rFonts w:ascii="Book Antiqua" w:hAnsi="Book Antiqua" w:cstheme="minorHAnsi"/>
          <w:b/>
          <w:bCs/>
          <w:sz w:val="24"/>
          <w:szCs w:val="24"/>
        </w:rPr>
        <w:t>The Challenge</w:t>
      </w:r>
      <w:r>
        <w:rPr>
          <w:rFonts w:ascii="Book Antiqua" w:hAnsi="Book Antiqua" w:cstheme="minorHAnsi"/>
          <w:b/>
          <w:bCs/>
          <w:sz w:val="24"/>
          <w:szCs w:val="24"/>
        </w:rPr>
        <w:t>s</w:t>
      </w:r>
    </w:p>
    <w:p w14:paraId="76C33B21" w14:textId="77777777" w:rsidR="001A6C43" w:rsidRDefault="001A6C43" w:rsidP="001A6C43">
      <w:pPr>
        <w:tabs>
          <w:tab w:val="left" w:pos="567"/>
        </w:tabs>
        <w:spacing w:after="0" w:line="240" w:lineRule="auto"/>
        <w:ind w:left="567" w:right="567"/>
        <w:jc w:val="both"/>
        <w:rPr>
          <w:rFonts w:ascii="Book Antiqua" w:hAnsi="Book Antiqua" w:cstheme="minorHAnsi"/>
          <w:sz w:val="24"/>
          <w:szCs w:val="24"/>
        </w:rPr>
      </w:pPr>
    </w:p>
    <w:p w14:paraId="048D0DD4" w14:textId="381FD7A6" w:rsidR="00BE7574" w:rsidRPr="001444C5" w:rsidRDefault="001444C5" w:rsidP="001444C5">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 xml:space="preserve">Each party has been granted permission to appeal the decision of the First-tier Tribunal </w:t>
      </w:r>
      <w:r w:rsidRPr="001444C5">
        <w:rPr>
          <w:rFonts w:ascii="Book Antiqua" w:hAnsi="Book Antiqua" w:cstheme="minorHAnsi"/>
          <w:sz w:val="24"/>
          <w:szCs w:val="24"/>
        </w:rPr>
        <w:t xml:space="preserve">which went against them. </w:t>
      </w:r>
      <w:r w:rsidR="00BE7574" w:rsidRPr="001444C5">
        <w:rPr>
          <w:rFonts w:ascii="Book Antiqua" w:hAnsi="Book Antiqua" w:cstheme="minorHAnsi"/>
          <w:sz w:val="24"/>
          <w:szCs w:val="24"/>
        </w:rPr>
        <w:t xml:space="preserve">I deal first with the appeal lodged by the Secretary of State. </w:t>
      </w:r>
    </w:p>
    <w:p w14:paraId="7CA8FDDB" w14:textId="77777777" w:rsidR="00BE7574" w:rsidRDefault="00BE7574" w:rsidP="00BE7574">
      <w:pPr>
        <w:tabs>
          <w:tab w:val="left" w:pos="567"/>
        </w:tabs>
        <w:spacing w:after="0" w:line="240" w:lineRule="auto"/>
        <w:ind w:left="567" w:right="567"/>
        <w:jc w:val="both"/>
        <w:rPr>
          <w:rFonts w:ascii="Book Antiqua" w:hAnsi="Book Antiqua" w:cstheme="minorHAnsi"/>
          <w:sz w:val="24"/>
          <w:szCs w:val="24"/>
        </w:rPr>
      </w:pPr>
    </w:p>
    <w:p w14:paraId="5C12C2B1" w14:textId="7434C09C" w:rsidR="00BE7574" w:rsidRPr="00BE7574" w:rsidRDefault="00BE7574" w:rsidP="00BE7574">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sidRPr="00BE7574">
        <w:rPr>
          <w:rFonts w:ascii="Book Antiqua" w:hAnsi="Book Antiqua" w:cstheme="minorHAnsi"/>
          <w:sz w:val="24"/>
          <w:szCs w:val="24"/>
        </w:rPr>
        <w:t>Permission was granted by First-tier Tribunal Judge Beach on the 13</w:t>
      </w:r>
      <w:r w:rsidRPr="00BE7574">
        <w:rPr>
          <w:rFonts w:ascii="Book Antiqua" w:hAnsi="Book Antiqua" w:cstheme="minorHAnsi"/>
          <w:sz w:val="24"/>
          <w:szCs w:val="24"/>
          <w:vertAlign w:val="superscript"/>
        </w:rPr>
        <w:t>th</w:t>
      </w:r>
      <w:r w:rsidRPr="00BE7574">
        <w:rPr>
          <w:rFonts w:ascii="Book Antiqua" w:hAnsi="Book Antiqua" w:cstheme="minorHAnsi"/>
          <w:sz w:val="24"/>
          <w:szCs w:val="24"/>
        </w:rPr>
        <w:t xml:space="preserve"> July 2020. </w:t>
      </w:r>
      <w:r>
        <w:rPr>
          <w:rFonts w:ascii="Book Antiqua" w:hAnsi="Book Antiqua" w:cstheme="minorHAnsi"/>
          <w:sz w:val="24"/>
          <w:szCs w:val="24"/>
        </w:rPr>
        <w:t>The substance</w:t>
      </w:r>
      <w:r w:rsidRPr="00BE7574">
        <w:rPr>
          <w:rFonts w:ascii="Book Antiqua" w:hAnsi="Book Antiqua" w:cstheme="minorHAnsi"/>
          <w:sz w:val="24"/>
          <w:szCs w:val="24"/>
        </w:rPr>
        <w:t xml:space="preserve"> of the grounds</w:t>
      </w:r>
      <w:r>
        <w:rPr>
          <w:rFonts w:ascii="Book Antiqua" w:hAnsi="Book Antiqua" w:cstheme="minorHAnsi"/>
          <w:sz w:val="24"/>
          <w:szCs w:val="24"/>
        </w:rPr>
        <w:t xml:space="preserve"> (and indeed</w:t>
      </w:r>
      <w:r w:rsidRPr="00BE7574">
        <w:rPr>
          <w:rFonts w:ascii="Book Antiqua" w:hAnsi="Book Antiqua" w:cstheme="minorHAnsi"/>
          <w:sz w:val="24"/>
          <w:szCs w:val="24"/>
        </w:rPr>
        <w:t xml:space="preserve"> Judge Beach’s grant of permission</w:t>
      </w:r>
      <w:r>
        <w:rPr>
          <w:rFonts w:ascii="Book Antiqua" w:hAnsi="Book Antiqua" w:cstheme="minorHAnsi"/>
          <w:sz w:val="24"/>
          <w:szCs w:val="24"/>
        </w:rPr>
        <w:t>)</w:t>
      </w:r>
      <w:r w:rsidRPr="00BE7574">
        <w:rPr>
          <w:rFonts w:ascii="Book Antiqua" w:hAnsi="Book Antiqua" w:cstheme="minorHAnsi"/>
          <w:sz w:val="24"/>
          <w:szCs w:val="24"/>
        </w:rPr>
        <w:t xml:space="preserve"> are, curiously, concerned with findings that the Judge did not make:</w:t>
      </w:r>
    </w:p>
    <w:p w14:paraId="56C3DE2F" w14:textId="77777777" w:rsidR="00BE7574" w:rsidRDefault="00BE7574" w:rsidP="00BE7574">
      <w:pPr>
        <w:spacing w:after="0" w:line="240" w:lineRule="auto"/>
        <w:ind w:left="1134" w:right="1134"/>
        <w:jc w:val="both"/>
        <w:rPr>
          <w:rFonts w:ascii="Book Antiqua" w:hAnsi="Book Antiqua"/>
          <w:sz w:val="24"/>
          <w:szCs w:val="24"/>
        </w:rPr>
      </w:pPr>
    </w:p>
    <w:p w14:paraId="332FA1C4" w14:textId="77777777" w:rsidR="00BE7574" w:rsidRPr="00241F32" w:rsidRDefault="00BE7574" w:rsidP="00BE7574">
      <w:pPr>
        <w:spacing w:after="0" w:line="240" w:lineRule="auto"/>
        <w:ind w:left="1134" w:right="1134"/>
        <w:jc w:val="both"/>
        <w:rPr>
          <w:rFonts w:ascii="Book Antiqua" w:hAnsi="Book Antiqua"/>
          <w:sz w:val="24"/>
          <w:szCs w:val="24"/>
          <w:lang w:eastAsia="en-GB"/>
        </w:rPr>
      </w:pPr>
      <w:r w:rsidRPr="00241F32">
        <w:rPr>
          <w:rFonts w:ascii="Book Antiqua" w:hAnsi="Book Antiqua"/>
          <w:sz w:val="24"/>
          <w:szCs w:val="24"/>
        </w:rPr>
        <w:t xml:space="preserve">“There is no finding by the FTTJ that any factor, such as the appellant’s claimed mental health condition, precludes his employment in Somalia, nor than he would have no access to support from clan members, who as shown above are present in Mogadishu.  Furthermore, there is no finding that the appellant would have no alternative but to live in an IDP camp where conditions may breach the appellant’s Article 3 rights.  It is submitted that in making this finding that the FTTJ has failed to have regard to the established case law set out below, which has moved on from MOJ cited at [43-44] </w:t>
      </w:r>
      <w:r w:rsidRPr="00241F32">
        <w:rPr>
          <w:rFonts w:ascii="Book Antiqua" w:hAnsi="Book Antiqua" w:cs="Calibri"/>
          <w:i/>
          <w:iCs/>
          <w:sz w:val="24"/>
          <w:szCs w:val="24"/>
          <w:u w:val="single"/>
        </w:rPr>
        <w:t xml:space="preserve">Secretary of State for the Home Department v Said [2016] EWCA </w:t>
      </w:r>
      <w:proofErr w:type="spellStart"/>
      <w:r w:rsidRPr="00241F32">
        <w:rPr>
          <w:rFonts w:ascii="Book Antiqua" w:hAnsi="Book Antiqua" w:cs="Calibri"/>
          <w:i/>
          <w:iCs/>
          <w:sz w:val="24"/>
          <w:szCs w:val="24"/>
          <w:u w:val="single"/>
        </w:rPr>
        <w:t>Civ</w:t>
      </w:r>
      <w:proofErr w:type="spellEnd"/>
      <w:r w:rsidRPr="00241F32">
        <w:rPr>
          <w:rFonts w:ascii="Book Antiqua" w:hAnsi="Book Antiqua" w:cs="Calibri"/>
          <w:i/>
          <w:iCs/>
          <w:sz w:val="24"/>
          <w:szCs w:val="24"/>
          <w:u w:val="single"/>
        </w:rPr>
        <w:t xml:space="preserve"> 442 (06 May 2016</w:t>
      </w:r>
      <w:r w:rsidRPr="00241F32">
        <w:rPr>
          <w:rFonts w:ascii="Book Antiqua" w:hAnsi="Book Antiqua" w:cs="Calibri"/>
          <w:i/>
          <w:iCs/>
          <w:sz w:val="24"/>
          <w:szCs w:val="24"/>
        </w:rPr>
        <w:t>) </w:t>
      </w:r>
    </w:p>
    <w:p w14:paraId="11E73F96" w14:textId="26CE0F0B" w:rsidR="00BE7574" w:rsidRDefault="00BE7574" w:rsidP="00BE7574">
      <w:pPr>
        <w:tabs>
          <w:tab w:val="left" w:pos="567"/>
        </w:tabs>
        <w:spacing w:after="0" w:line="240" w:lineRule="auto"/>
        <w:ind w:left="567" w:right="567"/>
        <w:jc w:val="both"/>
        <w:rPr>
          <w:rFonts w:ascii="Book Antiqua" w:hAnsi="Book Antiqua" w:cstheme="minorHAnsi"/>
          <w:sz w:val="24"/>
          <w:szCs w:val="24"/>
        </w:rPr>
      </w:pPr>
    </w:p>
    <w:p w14:paraId="618A4895" w14:textId="1F722CFD" w:rsidR="006A34A1" w:rsidRDefault="00BE7574" w:rsidP="001A6C43">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 xml:space="preserve">None of that was relevant. The Judge made no findings about SOC’s mental health conditions, or support from clan members, or IDP camps because none of that was in issue. The Secretary of State had already </w:t>
      </w:r>
      <w:r w:rsidRPr="00496027">
        <w:rPr>
          <w:rFonts w:ascii="Book Antiqua" w:hAnsi="Book Antiqua" w:cstheme="minorHAnsi"/>
          <w:sz w:val="24"/>
          <w:szCs w:val="24"/>
          <w:u w:val="single"/>
        </w:rPr>
        <w:t>accepted</w:t>
      </w:r>
      <w:r>
        <w:rPr>
          <w:rFonts w:ascii="Book Antiqua" w:hAnsi="Book Antiqua" w:cstheme="minorHAnsi"/>
          <w:sz w:val="24"/>
          <w:szCs w:val="24"/>
        </w:rPr>
        <w:t xml:space="preserve"> </w:t>
      </w:r>
      <w:r w:rsidR="00496027">
        <w:rPr>
          <w:rFonts w:ascii="Book Antiqua" w:hAnsi="Book Antiqua" w:cstheme="minorHAnsi"/>
          <w:sz w:val="24"/>
          <w:szCs w:val="24"/>
        </w:rPr>
        <w:t xml:space="preserve">that this was an individual who could not remain in Mogadishu. It is true that her concession was couched at paragraph 93 of the refusal letter in the very phrase of </w:t>
      </w:r>
      <w:r w:rsidR="00496027" w:rsidRPr="00496027">
        <w:rPr>
          <w:rFonts w:ascii="Book Antiqua" w:hAnsi="Book Antiqua" w:cstheme="minorHAnsi"/>
          <w:sz w:val="24"/>
          <w:szCs w:val="24"/>
          <w:u w:val="single"/>
        </w:rPr>
        <w:t>MOJ</w:t>
      </w:r>
      <w:r w:rsidR="00496027">
        <w:rPr>
          <w:rFonts w:ascii="Book Antiqua" w:hAnsi="Book Antiqua" w:cstheme="minorHAnsi"/>
          <w:sz w:val="24"/>
          <w:szCs w:val="24"/>
        </w:rPr>
        <w:t xml:space="preserve"> that had concerned Burnett LJ in </w:t>
      </w:r>
      <w:proofErr w:type="spellStart"/>
      <w:r w:rsidR="00496027" w:rsidRPr="00496027">
        <w:rPr>
          <w:rFonts w:ascii="Book Antiqua" w:hAnsi="Book Antiqua" w:cstheme="minorHAnsi"/>
          <w:sz w:val="24"/>
          <w:szCs w:val="24"/>
          <w:u w:val="single"/>
        </w:rPr>
        <w:t>Sa’id</w:t>
      </w:r>
      <w:proofErr w:type="spellEnd"/>
      <w:r w:rsidR="00496027">
        <w:rPr>
          <w:rFonts w:ascii="Book Antiqua" w:hAnsi="Book Antiqua" w:cstheme="minorHAnsi"/>
          <w:sz w:val="24"/>
          <w:szCs w:val="24"/>
        </w:rPr>
        <w:t xml:space="preserve">: what are, </w:t>
      </w:r>
      <w:proofErr w:type="spellStart"/>
      <w:r w:rsidR="00496027">
        <w:rPr>
          <w:rFonts w:ascii="Book Antiqua" w:hAnsi="Book Antiqua" w:cstheme="minorHAnsi"/>
          <w:sz w:val="24"/>
          <w:szCs w:val="24"/>
        </w:rPr>
        <w:t>afterall</w:t>
      </w:r>
      <w:proofErr w:type="spellEnd"/>
      <w:r w:rsidR="00496027">
        <w:rPr>
          <w:rFonts w:ascii="Book Antiqua" w:hAnsi="Book Antiqua" w:cstheme="minorHAnsi"/>
          <w:sz w:val="24"/>
          <w:szCs w:val="24"/>
        </w:rPr>
        <w:t>, “acceptable humanitarian standards”?  But the refusal</w:t>
      </w:r>
      <w:r w:rsidR="00E250F7">
        <w:rPr>
          <w:rFonts w:ascii="Book Antiqua" w:hAnsi="Book Antiqua" w:cstheme="minorHAnsi"/>
          <w:sz w:val="24"/>
          <w:szCs w:val="24"/>
        </w:rPr>
        <w:t xml:space="preserve"> letter </w:t>
      </w:r>
      <w:r w:rsidR="008D3C6D">
        <w:rPr>
          <w:rFonts w:ascii="Book Antiqua" w:hAnsi="Book Antiqua" w:cstheme="minorHAnsi"/>
          <w:sz w:val="24"/>
          <w:szCs w:val="24"/>
        </w:rPr>
        <w:t>went</w:t>
      </w:r>
      <w:r w:rsidR="00496027">
        <w:rPr>
          <w:rFonts w:ascii="Book Antiqua" w:hAnsi="Book Antiqua" w:cstheme="minorHAnsi"/>
          <w:sz w:val="24"/>
          <w:szCs w:val="24"/>
        </w:rPr>
        <w:t xml:space="preserve"> on at paragraph 106 to </w:t>
      </w:r>
      <w:r w:rsidR="008D3C6D">
        <w:rPr>
          <w:rFonts w:ascii="Book Antiqua" w:hAnsi="Book Antiqua" w:cstheme="minorHAnsi"/>
          <w:sz w:val="24"/>
          <w:szCs w:val="24"/>
        </w:rPr>
        <w:t xml:space="preserve">expressly </w:t>
      </w:r>
      <w:r w:rsidR="00496027">
        <w:rPr>
          <w:rFonts w:ascii="Book Antiqua" w:hAnsi="Book Antiqua" w:cstheme="minorHAnsi"/>
          <w:sz w:val="24"/>
          <w:szCs w:val="24"/>
        </w:rPr>
        <w:t xml:space="preserve">accept, under the heading ‘Article 3 (Destitution)’ that SOC could not be expected to remain in Mogadishu. That </w:t>
      </w:r>
      <w:r w:rsidR="00496027">
        <w:rPr>
          <w:rFonts w:ascii="Book Antiqua" w:hAnsi="Book Antiqua" w:cstheme="minorHAnsi"/>
          <w:sz w:val="24"/>
          <w:szCs w:val="24"/>
        </w:rPr>
        <w:lastRenderedPageBreak/>
        <w:t>concession was neither qualified nor withdrawn by the HOPO before the First-tier Tribunal.  In fact</w:t>
      </w:r>
      <w:r w:rsidR="008D3C6D">
        <w:rPr>
          <w:rFonts w:ascii="Book Antiqua" w:hAnsi="Book Antiqua" w:cstheme="minorHAnsi"/>
          <w:sz w:val="24"/>
          <w:szCs w:val="24"/>
        </w:rPr>
        <w:t>,</w:t>
      </w:r>
      <w:r w:rsidR="00496027">
        <w:rPr>
          <w:rFonts w:ascii="Book Antiqua" w:hAnsi="Book Antiqua" w:cstheme="minorHAnsi"/>
          <w:sz w:val="24"/>
          <w:szCs w:val="24"/>
        </w:rPr>
        <w:t xml:space="preserve"> the concessions in the refusal letter are not even withdrawn in the grounds, which simply proceed on the basis that they were never made. They were, and there was absolutely no error of law in the Judge relying on them as he did. </w:t>
      </w:r>
      <w:r w:rsidR="001E0D46">
        <w:rPr>
          <w:rFonts w:ascii="Book Antiqua" w:hAnsi="Book Antiqua" w:cstheme="minorHAnsi"/>
          <w:sz w:val="24"/>
          <w:szCs w:val="24"/>
        </w:rPr>
        <w:t xml:space="preserve">  </w:t>
      </w:r>
    </w:p>
    <w:p w14:paraId="197AF90F" w14:textId="77777777" w:rsidR="006A34A1" w:rsidRDefault="006A34A1" w:rsidP="006A34A1">
      <w:pPr>
        <w:tabs>
          <w:tab w:val="left" w:pos="567"/>
        </w:tabs>
        <w:spacing w:after="0" w:line="240" w:lineRule="auto"/>
        <w:ind w:left="567" w:right="567"/>
        <w:jc w:val="both"/>
        <w:rPr>
          <w:rFonts w:ascii="Book Antiqua" w:hAnsi="Book Antiqua" w:cstheme="minorHAnsi"/>
          <w:sz w:val="24"/>
          <w:szCs w:val="24"/>
        </w:rPr>
      </w:pPr>
    </w:p>
    <w:p w14:paraId="5313EE03" w14:textId="55813ACE" w:rsidR="00496027" w:rsidRDefault="001E0D46" w:rsidP="00024332">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sidRPr="00C2683C">
        <w:rPr>
          <w:rFonts w:ascii="Book Antiqua" w:hAnsi="Book Antiqua" w:cstheme="minorHAnsi"/>
          <w:sz w:val="24"/>
          <w:szCs w:val="24"/>
        </w:rPr>
        <w:t xml:space="preserve">The </w:t>
      </w:r>
      <w:r w:rsidR="002F3494" w:rsidRPr="00C2683C">
        <w:rPr>
          <w:rFonts w:ascii="Book Antiqua" w:hAnsi="Book Antiqua" w:cstheme="minorHAnsi"/>
          <w:sz w:val="24"/>
          <w:szCs w:val="24"/>
        </w:rPr>
        <w:t>appeal was not allowed with reference to any of the matters raised in the grounds</w:t>
      </w:r>
      <w:r w:rsidR="006A34A1" w:rsidRPr="00C2683C">
        <w:rPr>
          <w:rFonts w:ascii="Book Antiqua" w:hAnsi="Book Antiqua" w:cstheme="minorHAnsi"/>
          <w:sz w:val="24"/>
          <w:szCs w:val="24"/>
        </w:rPr>
        <w:t>.</w:t>
      </w:r>
      <w:r w:rsidR="00457D0A" w:rsidRPr="00C2683C">
        <w:rPr>
          <w:rFonts w:ascii="Book Antiqua" w:hAnsi="Book Antiqua" w:cstheme="minorHAnsi"/>
          <w:sz w:val="24"/>
          <w:szCs w:val="24"/>
        </w:rPr>
        <w:t xml:space="preserve"> </w:t>
      </w:r>
      <w:r w:rsidR="006A34A1" w:rsidRPr="00C2683C">
        <w:rPr>
          <w:rFonts w:ascii="Book Antiqua" w:hAnsi="Book Antiqua" w:cstheme="minorHAnsi"/>
          <w:sz w:val="24"/>
          <w:szCs w:val="24"/>
        </w:rPr>
        <w:t>The grounds are entirely silent on the</w:t>
      </w:r>
      <w:r w:rsidR="00457D0A" w:rsidRPr="00C2683C">
        <w:rPr>
          <w:rFonts w:ascii="Book Antiqua" w:hAnsi="Book Antiqua" w:cstheme="minorHAnsi"/>
          <w:sz w:val="24"/>
          <w:szCs w:val="24"/>
        </w:rPr>
        <w:t xml:space="preserve"> true ratio of this decision: that as a </w:t>
      </w:r>
      <w:proofErr w:type="spellStart"/>
      <w:r w:rsidR="00457D0A" w:rsidRPr="00C2683C">
        <w:rPr>
          <w:rFonts w:ascii="Book Antiqua" w:hAnsi="Book Antiqua" w:cstheme="minorHAnsi"/>
          <w:sz w:val="24"/>
          <w:szCs w:val="24"/>
        </w:rPr>
        <w:t>Bajuni</w:t>
      </w:r>
      <w:proofErr w:type="spellEnd"/>
      <w:r w:rsidR="00457D0A" w:rsidRPr="00C2683C">
        <w:rPr>
          <w:rFonts w:ascii="Book Antiqua" w:hAnsi="Book Antiqua" w:cstheme="minorHAnsi"/>
          <w:sz w:val="24"/>
          <w:szCs w:val="24"/>
        </w:rPr>
        <w:t xml:space="preserve"> from Kismayo SOC remains at risk of serious harm</w:t>
      </w:r>
      <w:r w:rsidR="00335967" w:rsidRPr="00C2683C">
        <w:rPr>
          <w:rFonts w:ascii="Book Antiqua" w:hAnsi="Book Antiqua" w:cstheme="minorHAnsi"/>
          <w:sz w:val="24"/>
          <w:szCs w:val="24"/>
        </w:rPr>
        <w:t xml:space="preserve"> from violent militias.   That </w:t>
      </w:r>
      <w:r w:rsidR="00C2683C" w:rsidRPr="00C2683C">
        <w:rPr>
          <w:rFonts w:ascii="Book Antiqua" w:hAnsi="Book Antiqua" w:cstheme="minorHAnsi"/>
          <w:sz w:val="24"/>
          <w:szCs w:val="24"/>
        </w:rPr>
        <w:t xml:space="preserve">finding was made in compliance with the operative law, namely the three country guidance cases relied upon by Mr </w:t>
      </w:r>
      <w:proofErr w:type="spellStart"/>
      <w:r w:rsidR="00C2683C" w:rsidRPr="00C2683C">
        <w:rPr>
          <w:rFonts w:ascii="Book Antiqua" w:hAnsi="Book Antiqua" w:cstheme="minorHAnsi"/>
          <w:sz w:val="24"/>
          <w:szCs w:val="24"/>
        </w:rPr>
        <w:t>Toal</w:t>
      </w:r>
      <w:proofErr w:type="spellEnd"/>
      <w:r w:rsidR="00C2683C" w:rsidRPr="00C2683C">
        <w:rPr>
          <w:rFonts w:ascii="Book Antiqua" w:hAnsi="Book Antiqua" w:cstheme="minorHAnsi"/>
          <w:sz w:val="24"/>
          <w:szCs w:val="24"/>
        </w:rPr>
        <w:t xml:space="preserve">. </w:t>
      </w:r>
      <w:r w:rsidR="00C2683C">
        <w:rPr>
          <w:rFonts w:ascii="Book Antiqua" w:hAnsi="Book Antiqua" w:cstheme="minorHAnsi"/>
          <w:sz w:val="24"/>
          <w:szCs w:val="24"/>
        </w:rPr>
        <w:t xml:space="preserve"> </w:t>
      </w:r>
      <w:r w:rsidR="00496027" w:rsidRPr="00C2683C">
        <w:rPr>
          <w:rFonts w:ascii="Book Antiqua" w:hAnsi="Book Antiqua" w:cstheme="minorHAnsi"/>
          <w:sz w:val="24"/>
          <w:szCs w:val="24"/>
        </w:rPr>
        <w:t xml:space="preserve">As the Court of Appeal remind us in </w:t>
      </w:r>
      <w:r w:rsidR="00496027" w:rsidRPr="00C2683C">
        <w:rPr>
          <w:rFonts w:ascii="Book Antiqua" w:hAnsi="Book Antiqua" w:cstheme="minorHAnsi"/>
          <w:sz w:val="24"/>
          <w:szCs w:val="24"/>
          <w:u w:val="single"/>
        </w:rPr>
        <w:t>AM (Iran)</w:t>
      </w:r>
      <w:r w:rsidR="00496027" w:rsidRPr="00C2683C">
        <w:rPr>
          <w:rFonts w:ascii="Book Antiqua" w:hAnsi="Book Antiqua" w:cstheme="minorHAnsi"/>
          <w:sz w:val="24"/>
          <w:szCs w:val="24"/>
        </w:rPr>
        <w:t xml:space="preserve"> v Secretary of State for the Home Department [2018] EWCA </w:t>
      </w:r>
      <w:proofErr w:type="spellStart"/>
      <w:r w:rsidR="00496027" w:rsidRPr="00C2683C">
        <w:rPr>
          <w:rFonts w:ascii="Book Antiqua" w:hAnsi="Book Antiqua" w:cstheme="minorHAnsi"/>
          <w:sz w:val="24"/>
          <w:szCs w:val="24"/>
        </w:rPr>
        <w:t>Civ</w:t>
      </w:r>
      <w:proofErr w:type="spellEnd"/>
      <w:r w:rsidR="00496027" w:rsidRPr="00C2683C">
        <w:rPr>
          <w:rFonts w:ascii="Book Antiqua" w:hAnsi="Book Antiqua" w:cstheme="minorHAnsi"/>
          <w:sz w:val="24"/>
          <w:szCs w:val="24"/>
        </w:rPr>
        <w:t xml:space="preserve"> 2706,</w:t>
      </w:r>
      <w:r w:rsidR="008C0484">
        <w:rPr>
          <w:rFonts w:ascii="Book Antiqua" w:hAnsi="Book Antiqua" w:cstheme="minorHAnsi"/>
          <w:sz w:val="24"/>
          <w:szCs w:val="24"/>
        </w:rPr>
        <w:t xml:space="preserve"> </w:t>
      </w:r>
      <w:r w:rsidR="00496027" w:rsidRPr="00C2683C">
        <w:rPr>
          <w:rFonts w:ascii="Book Antiqua" w:hAnsi="Book Antiqua" w:cstheme="minorHAnsi"/>
          <w:sz w:val="24"/>
          <w:szCs w:val="24"/>
        </w:rPr>
        <w:t>country guidance remains country guidance</w:t>
      </w:r>
      <w:r w:rsidR="008C0484">
        <w:rPr>
          <w:rFonts w:ascii="Book Antiqua" w:hAnsi="Book Antiqua" w:cstheme="minorHAnsi"/>
          <w:sz w:val="24"/>
          <w:szCs w:val="24"/>
        </w:rPr>
        <w:t xml:space="preserve">, no matter how ancient, </w:t>
      </w:r>
      <w:r w:rsidR="00496027" w:rsidRPr="00C2683C">
        <w:rPr>
          <w:rFonts w:ascii="Book Antiqua" w:hAnsi="Book Antiqua" w:cstheme="minorHAnsi"/>
          <w:sz w:val="24"/>
          <w:szCs w:val="24"/>
        </w:rPr>
        <w:t>until it is withdrawn or overruled</w:t>
      </w:r>
      <w:r w:rsidR="001F68B7">
        <w:rPr>
          <w:rFonts w:ascii="Book Antiqua" w:hAnsi="Book Antiqua" w:cstheme="minorHAnsi"/>
          <w:sz w:val="24"/>
          <w:szCs w:val="24"/>
        </w:rPr>
        <w:t>.  A</w:t>
      </w:r>
      <w:r w:rsidR="00496027" w:rsidRPr="00C2683C">
        <w:rPr>
          <w:rFonts w:ascii="Book Antiqua" w:hAnsi="Book Antiqua" w:cstheme="minorHAnsi"/>
          <w:sz w:val="24"/>
          <w:szCs w:val="24"/>
        </w:rPr>
        <w:t xml:space="preserve">s a matter of </w:t>
      </w:r>
      <w:proofErr w:type="gramStart"/>
      <w:r w:rsidR="00496027" w:rsidRPr="00C2683C">
        <w:rPr>
          <w:rFonts w:ascii="Book Antiqua" w:hAnsi="Book Antiqua" w:cstheme="minorHAnsi"/>
          <w:sz w:val="24"/>
          <w:szCs w:val="24"/>
        </w:rPr>
        <w:t>law</w:t>
      </w:r>
      <w:proofErr w:type="gramEnd"/>
      <w:r w:rsidR="00496027" w:rsidRPr="00C2683C">
        <w:rPr>
          <w:rFonts w:ascii="Book Antiqua" w:hAnsi="Book Antiqua" w:cstheme="minorHAnsi"/>
          <w:sz w:val="24"/>
          <w:szCs w:val="24"/>
        </w:rPr>
        <w:t xml:space="preserve"> it is to be followed unless the test for departing from it is met. The HOPO in this instance </w:t>
      </w:r>
      <w:r w:rsidR="001444C5" w:rsidRPr="00C2683C">
        <w:rPr>
          <w:rFonts w:ascii="Book Antiqua" w:hAnsi="Book Antiqua" w:cstheme="minorHAnsi"/>
          <w:sz w:val="24"/>
          <w:szCs w:val="24"/>
        </w:rPr>
        <w:t>readily accepted that he had no basis upon which to ask the First-tier Tribunal to depart from that guidance and that being the case, the Tribunal were quite right to have applied it.</w:t>
      </w:r>
    </w:p>
    <w:p w14:paraId="72D62F38" w14:textId="77777777" w:rsidR="001F68B7" w:rsidRDefault="001F68B7" w:rsidP="001F68B7">
      <w:pPr>
        <w:tabs>
          <w:tab w:val="left" w:pos="567"/>
        </w:tabs>
        <w:spacing w:after="0" w:line="240" w:lineRule="auto"/>
        <w:ind w:left="567" w:right="567"/>
        <w:jc w:val="both"/>
        <w:rPr>
          <w:rFonts w:ascii="Book Antiqua" w:hAnsi="Book Antiqua" w:cstheme="minorHAnsi"/>
          <w:sz w:val="24"/>
          <w:szCs w:val="24"/>
        </w:rPr>
      </w:pPr>
    </w:p>
    <w:p w14:paraId="365B8337" w14:textId="77777777" w:rsidR="001F68B7" w:rsidRDefault="001F68B7" w:rsidP="001F68B7">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 xml:space="preserve">The Secretary of State’s appeal is dismissed. </w:t>
      </w:r>
    </w:p>
    <w:p w14:paraId="0B51817A" w14:textId="77777777" w:rsidR="001F68B7" w:rsidRDefault="001F68B7" w:rsidP="001F68B7">
      <w:pPr>
        <w:tabs>
          <w:tab w:val="left" w:pos="567"/>
        </w:tabs>
        <w:spacing w:after="0" w:line="240" w:lineRule="auto"/>
        <w:ind w:left="567" w:right="567"/>
        <w:jc w:val="both"/>
        <w:rPr>
          <w:rFonts w:ascii="Book Antiqua" w:hAnsi="Book Antiqua" w:cstheme="minorHAnsi"/>
          <w:sz w:val="24"/>
          <w:szCs w:val="24"/>
        </w:rPr>
      </w:pPr>
    </w:p>
    <w:p w14:paraId="253BFE3F" w14:textId="5286755E" w:rsidR="001444C5" w:rsidRPr="001F68B7" w:rsidRDefault="001444C5" w:rsidP="001F68B7">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sidRPr="001F68B7">
        <w:rPr>
          <w:rFonts w:ascii="Book Antiqua" w:hAnsi="Book Antiqua" w:cstheme="minorHAnsi"/>
          <w:sz w:val="24"/>
          <w:szCs w:val="24"/>
        </w:rPr>
        <w:t xml:space="preserve">I now turn to deal with the challenge mounted by SOC, which concerns the Judge’s finding that he failed to rebut the presumption in s72 Nationality, Immigration and Asylum Act 2002, and so was not entitled to refugee status.  </w:t>
      </w:r>
      <w:r w:rsidR="001A6C43" w:rsidRPr="001F68B7">
        <w:rPr>
          <w:rFonts w:ascii="Book Antiqua" w:hAnsi="Book Antiqua" w:cstheme="minorHAnsi"/>
          <w:sz w:val="24"/>
          <w:szCs w:val="24"/>
        </w:rPr>
        <w:t>SOC was refused permission to appeal by the First-tier Tribunal (Judge</w:t>
      </w:r>
      <w:r w:rsidR="0084172E" w:rsidRPr="001F68B7">
        <w:rPr>
          <w:rFonts w:ascii="Book Antiqua" w:hAnsi="Book Antiqua" w:cstheme="minorHAnsi"/>
          <w:sz w:val="24"/>
          <w:szCs w:val="24"/>
        </w:rPr>
        <w:t xml:space="preserve"> Beach</w:t>
      </w:r>
      <w:r w:rsidR="001A6C43" w:rsidRPr="001F68B7">
        <w:rPr>
          <w:rFonts w:ascii="Book Antiqua" w:hAnsi="Book Antiqua" w:cstheme="minorHAnsi"/>
          <w:sz w:val="24"/>
          <w:szCs w:val="24"/>
        </w:rPr>
        <w:t>) but was upon renewed application granted permission by Upper Tribunal Judge Finch on the 23</w:t>
      </w:r>
      <w:r w:rsidR="001A6C43" w:rsidRPr="001F68B7">
        <w:rPr>
          <w:rFonts w:ascii="Book Antiqua" w:hAnsi="Book Antiqua" w:cstheme="minorHAnsi"/>
          <w:sz w:val="24"/>
          <w:szCs w:val="24"/>
          <w:vertAlign w:val="superscript"/>
        </w:rPr>
        <w:t>rd</w:t>
      </w:r>
      <w:r w:rsidR="001A6C43" w:rsidRPr="001F68B7">
        <w:rPr>
          <w:rFonts w:ascii="Book Antiqua" w:hAnsi="Book Antiqua" w:cstheme="minorHAnsi"/>
          <w:sz w:val="24"/>
          <w:szCs w:val="24"/>
        </w:rPr>
        <w:t xml:space="preserve"> August 2020.  </w:t>
      </w:r>
    </w:p>
    <w:p w14:paraId="0995856A" w14:textId="77777777" w:rsidR="001444C5" w:rsidRDefault="001444C5" w:rsidP="001444C5">
      <w:pPr>
        <w:pStyle w:val="ListParagraph"/>
        <w:rPr>
          <w:rFonts w:ascii="Book Antiqua" w:hAnsi="Book Antiqua" w:cstheme="minorHAnsi"/>
          <w:sz w:val="24"/>
          <w:szCs w:val="24"/>
        </w:rPr>
      </w:pPr>
    </w:p>
    <w:p w14:paraId="1F1B7108" w14:textId="67419BB1" w:rsidR="00B94BF3" w:rsidRDefault="001A6C43" w:rsidP="000514ED">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sidRPr="001674EE">
        <w:rPr>
          <w:rFonts w:ascii="Book Antiqua" w:hAnsi="Book Antiqua" w:cstheme="minorHAnsi"/>
          <w:sz w:val="24"/>
          <w:szCs w:val="24"/>
        </w:rPr>
        <w:t xml:space="preserve">Judge Finch considered it arguable that </w:t>
      </w:r>
      <w:r w:rsidR="0084172E" w:rsidRPr="001674EE">
        <w:rPr>
          <w:rFonts w:ascii="Book Antiqua" w:hAnsi="Book Antiqua" w:cstheme="minorHAnsi"/>
          <w:sz w:val="24"/>
          <w:szCs w:val="24"/>
        </w:rPr>
        <w:t xml:space="preserve">the First-tier Tribunal had failed to give any, or any </w:t>
      </w:r>
      <w:proofErr w:type="gramStart"/>
      <w:r w:rsidR="0084172E" w:rsidRPr="001674EE">
        <w:rPr>
          <w:rFonts w:ascii="Book Antiqua" w:hAnsi="Book Antiqua" w:cstheme="minorHAnsi"/>
          <w:sz w:val="24"/>
          <w:szCs w:val="24"/>
        </w:rPr>
        <w:t>sufficient</w:t>
      </w:r>
      <w:proofErr w:type="gramEnd"/>
      <w:r w:rsidR="0084172E" w:rsidRPr="001674EE">
        <w:rPr>
          <w:rFonts w:ascii="Book Antiqua" w:hAnsi="Book Antiqua" w:cstheme="minorHAnsi"/>
          <w:sz w:val="24"/>
          <w:szCs w:val="24"/>
        </w:rPr>
        <w:t xml:space="preserve">, weight to the chronology in its assessment. The last serious offence had taken place in 2008 and </w:t>
      </w:r>
      <w:r w:rsidR="00273A84">
        <w:rPr>
          <w:rFonts w:ascii="Book Antiqua" w:hAnsi="Book Antiqua" w:cstheme="minorHAnsi"/>
          <w:sz w:val="24"/>
          <w:szCs w:val="24"/>
        </w:rPr>
        <w:t xml:space="preserve">it </w:t>
      </w:r>
      <w:r w:rsidR="0084172E" w:rsidRPr="001674EE">
        <w:rPr>
          <w:rFonts w:ascii="Book Antiqua" w:hAnsi="Book Antiqua" w:cstheme="minorHAnsi"/>
          <w:sz w:val="24"/>
          <w:szCs w:val="24"/>
        </w:rPr>
        <w:t>is arguable that the convictions in 2015 – for shoplifting and failing a drugs test – fell far short of showing that SOC presented an ongoing danger to the community</w:t>
      </w:r>
      <w:r w:rsidR="00C1332E" w:rsidRPr="001674EE">
        <w:rPr>
          <w:rFonts w:ascii="Book Antiqua" w:hAnsi="Book Antiqua" w:cstheme="minorHAnsi"/>
          <w:sz w:val="24"/>
          <w:szCs w:val="24"/>
        </w:rPr>
        <w:t>:</w:t>
      </w:r>
      <w:r w:rsidR="0084172E" w:rsidRPr="001674EE">
        <w:rPr>
          <w:rFonts w:ascii="Book Antiqua" w:hAnsi="Book Antiqua" w:cstheme="minorHAnsi"/>
          <w:sz w:val="24"/>
          <w:szCs w:val="24"/>
        </w:rPr>
        <w:t xml:space="preserve"> </w:t>
      </w:r>
      <w:r w:rsidR="00C1332E" w:rsidRPr="001674EE">
        <w:rPr>
          <w:rFonts w:ascii="Book Antiqua" w:hAnsi="Book Antiqua" w:cstheme="minorHAnsi"/>
          <w:sz w:val="24"/>
          <w:szCs w:val="24"/>
        </w:rPr>
        <w:t>i</w:t>
      </w:r>
      <w:r w:rsidR="0084172E" w:rsidRPr="001674EE">
        <w:rPr>
          <w:rFonts w:ascii="Book Antiqua" w:hAnsi="Book Antiqua" w:cstheme="minorHAnsi"/>
          <w:sz w:val="24"/>
          <w:szCs w:val="24"/>
        </w:rPr>
        <w:t>t</w:t>
      </w:r>
      <w:r w:rsidR="0084172E" w:rsidRPr="001444C5">
        <w:rPr>
          <w:rFonts w:ascii="Book Antiqua" w:hAnsi="Book Antiqua" w:cstheme="minorHAnsi"/>
          <w:sz w:val="24"/>
          <w:szCs w:val="24"/>
        </w:rPr>
        <w:t xml:space="preserve"> was not clear from the First-tier Tribunal’s decision that it had taken those matters into account.</w:t>
      </w:r>
      <w:r w:rsidR="00E13BE5">
        <w:rPr>
          <w:rFonts w:ascii="Book Antiqua" w:hAnsi="Book Antiqua" w:cstheme="minorHAnsi"/>
          <w:sz w:val="24"/>
          <w:szCs w:val="24"/>
        </w:rPr>
        <w:t xml:space="preserve">  Before me Mr </w:t>
      </w:r>
      <w:proofErr w:type="spellStart"/>
      <w:r w:rsidR="00E13BE5">
        <w:rPr>
          <w:rFonts w:ascii="Book Antiqua" w:hAnsi="Book Antiqua" w:cstheme="minorHAnsi"/>
          <w:sz w:val="24"/>
          <w:szCs w:val="24"/>
        </w:rPr>
        <w:t>Toal</w:t>
      </w:r>
      <w:proofErr w:type="spellEnd"/>
      <w:r w:rsidR="00E13BE5">
        <w:rPr>
          <w:rFonts w:ascii="Book Antiqua" w:hAnsi="Book Antiqua" w:cstheme="minorHAnsi"/>
          <w:sz w:val="24"/>
          <w:szCs w:val="24"/>
        </w:rPr>
        <w:t xml:space="preserve"> expanded on those points. The</w:t>
      </w:r>
      <w:r w:rsidR="00B94BF3">
        <w:rPr>
          <w:rFonts w:ascii="Book Antiqua" w:hAnsi="Book Antiqua" w:cstheme="minorHAnsi"/>
          <w:sz w:val="24"/>
          <w:szCs w:val="24"/>
        </w:rPr>
        <w:t xml:space="preserve"> hearing before the First-tier Tribunal took place in February 2020, </w:t>
      </w:r>
      <w:r w:rsidR="00E83A3F">
        <w:rPr>
          <w:rFonts w:ascii="Book Antiqua" w:hAnsi="Book Antiqua" w:cstheme="minorHAnsi"/>
          <w:sz w:val="24"/>
          <w:szCs w:val="24"/>
        </w:rPr>
        <w:t>almost 12 years since the convictions for the index offences</w:t>
      </w:r>
      <w:r w:rsidR="00CF3BE6">
        <w:rPr>
          <w:rFonts w:ascii="Book Antiqua" w:hAnsi="Book Antiqua" w:cstheme="minorHAnsi"/>
          <w:sz w:val="24"/>
          <w:szCs w:val="24"/>
        </w:rPr>
        <w:t>, and obviously even longer since the offences themselves</w:t>
      </w:r>
      <w:r w:rsidR="00E83A3F">
        <w:rPr>
          <w:rFonts w:ascii="Book Antiqua" w:hAnsi="Book Antiqua" w:cstheme="minorHAnsi"/>
          <w:sz w:val="24"/>
          <w:szCs w:val="24"/>
        </w:rPr>
        <w:t>.</w:t>
      </w:r>
      <w:r w:rsidR="00CF3BE6">
        <w:rPr>
          <w:rFonts w:ascii="Book Antiqua" w:hAnsi="Book Antiqua" w:cstheme="minorHAnsi"/>
          <w:sz w:val="24"/>
          <w:szCs w:val="24"/>
        </w:rPr>
        <w:t xml:space="preserve"> </w:t>
      </w:r>
      <w:r w:rsidR="00F24581">
        <w:rPr>
          <w:rFonts w:ascii="Book Antiqua" w:hAnsi="Book Antiqua" w:cstheme="minorHAnsi"/>
          <w:sz w:val="24"/>
          <w:szCs w:val="24"/>
        </w:rPr>
        <w:t xml:space="preserve">  It was submitted that the passage of time since then was a matter which </w:t>
      </w:r>
      <w:r w:rsidR="000243A6">
        <w:rPr>
          <w:rFonts w:ascii="Book Antiqua" w:hAnsi="Book Antiqua" w:cstheme="minorHAnsi"/>
          <w:sz w:val="24"/>
          <w:szCs w:val="24"/>
        </w:rPr>
        <w:t xml:space="preserve">should have </w:t>
      </w:r>
      <w:r w:rsidR="00F24581">
        <w:rPr>
          <w:rFonts w:ascii="Book Antiqua" w:hAnsi="Book Antiqua" w:cstheme="minorHAnsi"/>
          <w:sz w:val="24"/>
          <w:szCs w:val="24"/>
        </w:rPr>
        <w:t xml:space="preserve">attracted significant weight, and </w:t>
      </w:r>
      <w:r w:rsidR="000243A6">
        <w:rPr>
          <w:rFonts w:ascii="Book Antiqua" w:hAnsi="Book Antiqua" w:cstheme="minorHAnsi"/>
          <w:sz w:val="24"/>
          <w:szCs w:val="24"/>
        </w:rPr>
        <w:t xml:space="preserve">it was not clear from the decision that it had done so. </w:t>
      </w:r>
      <w:r w:rsidR="00CF3BE6">
        <w:rPr>
          <w:rFonts w:ascii="Book Antiqua" w:hAnsi="Book Antiqua" w:cstheme="minorHAnsi"/>
          <w:sz w:val="24"/>
          <w:szCs w:val="24"/>
        </w:rPr>
        <w:t xml:space="preserve"> </w:t>
      </w:r>
      <w:r w:rsidR="00FB439A">
        <w:rPr>
          <w:rFonts w:ascii="Book Antiqua" w:hAnsi="Book Antiqua" w:cstheme="minorHAnsi"/>
          <w:sz w:val="24"/>
          <w:szCs w:val="24"/>
        </w:rPr>
        <w:t xml:space="preserve">Mr </w:t>
      </w:r>
      <w:proofErr w:type="spellStart"/>
      <w:r w:rsidR="00FB439A">
        <w:rPr>
          <w:rFonts w:ascii="Book Antiqua" w:hAnsi="Book Antiqua" w:cstheme="minorHAnsi"/>
          <w:sz w:val="24"/>
          <w:szCs w:val="24"/>
        </w:rPr>
        <w:t>Toal</w:t>
      </w:r>
      <w:proofErr w:type="spellEnd"/>
      <w:r w:rsidR="00FB439A">
        <w:rPr>
          <w:rFonts w:ascii="Book Antiqua" w:hAnsi="Book Antiqua" w:cstheme="minorHAnsi"/>
          <w:sz w:val="24"/>
          <w:szCs w:val="24"/>
        </w:rPr>
        <w:t xml:space="preserve"> </w:t>
      </w:r>
      <w:r w:rsidR="000514ED">
        <w:rPr>
          <w:rFonts w:ascii="Book Antiqua" w:hAnsi="Book Antiqua" w:cstheme="minorHAnsi"/>
          <w:sz w:val="24"/>
          <w:szCs w:val="24"/>
        </w:rPr>
        <w:t xml:space="preserve">accepted that the Tribunal had been entitled to reject SOC’s evidence about the drug test, but that was peripheral to the </w:t>
      </w:r>
      <w:r w:rsidR="00740C22">
        <w:rPr>
          <w:rFonts w:ascii="Book Antiqua" w:hAnsi="Book Antiqua" w:cstheme="minorHAnsi"/>
          <w:sz w:val="24"/>
          <w:szCs w:val="24"/>
        </w:rPr>
        <w:t xml:space="preserve">matter in issue, </w:t>
      </w:r>
      <w:r w:rsidR="000514ED">
        <w:rPr>
          <w:rFonts w:ascii="Book Antiqua" w:hAnsi="Book Antiqua" w:cstheme="minorHAnsi"/>
          <w:sz w:val="24"/>
          <w:szCs w:val="24"/>
        </w:rPr>
        <w:t xml:space="preserve"> since </w:t>
      </w:r>
      <w:r w:rsidR="00740C22">
        <w:rPr>
          <w:rFonts w:ascii="Book Antiqua" w:hAnsi="Book Antiqua" w:cstheme="minorHAnsi"/>
          <w:sz w:val="24"/>
          <w:szCs w:val="24"/>
        </w:rPr>
        <w:t>o</w:t>
      </w:r>
      <w:r w:rsidR="000514ED" w:rsidRPr="000514ED">
        <w:rPr>
          <w:rFonts w:ascii="Book Antiqua" w:hAnsi="Book Antiqua" w:cstheme="minorHAnsi"/>
          <w:sz w:val="24"/>
          <w:szCs w:val="24"/>
        </w:rPr>
        <w:t>n no reasonable view could it be said that either of the 2015 convictions were capable of demonstrating that SOC presented a danger to the community.</w:t>
      </w:r>
      <w:r w:rsidR="00740C22">
        <w:rPr>
          <w:rFonts w:ascii="Book Antiqua" w:hAnsi="Book Antiqua" w:cstheme="minorHAnsi"/>
          <w:sz w:val="24"/>
          <w:szCs w:val="24"/>
        </w:rPr>
        <w:t xml:space="preserve">  </w:t>
      </w:r>
    </w:p>
    <w:p w14:paraId="62AEE428" w14:textId="77777777" w:rsidR="00F24581" w:rsidRDefault="00F24581" w:rsidP="00F24581">
      <w:pPr>
        <w:tabs>
          <w:tab w:val="left" w:pos="567"/>
        </w:tabs>
        <w:spacing w:after="0" w:line="240" w:lineRule="auto"/>
        <w:ind w:left="567" w:right="567"/>
        <w:jc w:val="both"/>
        <w:rPr>
          <w:rFonts w:ascii="Book Antiqua" w:hAnsi="Book Antiqua" w:cstheme="minorHAnsi"/>
          <w:sz w:val="24"/>
          <w:szCs w:val="24"/>
        </w:rPr>
      </w:pPr>
    </w:p>
    <w:p w14:paraId="67C558B8" w14:textId="2E192D34" w:rsidR="00416C72" w:rsidRDefault="00E227EA" w:rsidP="005A7A9D">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lastRenderedPageBreak/>
        <w:t xml:space="preserve">I am not satisfied that the chronology was lost on the Tribunal. </w:t>
      </w:r>
      <w:r w:rsidR="00D4696F">
        <w:rPr>
          <w:rFonts w:ascii="Book Antiqua" w:hAnsi="Book Antiqua" w:cstheme="minorHAnsi"/>
          <w:sz w:val="24"/>
          <w:szCs w:val="24"/>
        </w:rPr>
        <w:t xml:space="preserve">  It obviously understood when the index offences took place</w:t>
      </w:r>
      <w:r w:rsidR="00F25EB1">
        <w:rPr>
          <w:rFonts w:ascii="Book Antiqua" w:hAnsi="Book Antiqua" w:cstheme="minorHAnsi"/>
          <w:sz w:val="24"/>
          <w:szCs w:val="24"/>
        </w:rPr>
        <w:t xml:space="preserve"> and the date upon which it was making its decision.</w:t>
      </w:r>
      <w:r w:rsidR="000243A6">
        <w:rPr>
          <w:rFonts w:ascii="Book Antiqua" w:hAnsi="Book Antiqua" w:cstheme="minorHAnsi"/>
          <w:sz w:val="24"/>
          <w:szCs w:val="24"/>
        </w:rPr>
        <w:t xml:space="preserve">  </w:t>
      </w:r>
      <w:r w:rsidR="00416C72">
        <w:rPr>
          <w:rFonts w:ascii="Book Antiqua" w:hAnsi="Book Antiqua" w:cstheme="minorHAnsi"/>
          <w:sz w:val="24"/>
          <w:szCs w:val="24"/>
        </w:rPr>
        <w:t xml:space="preserve">Nor do I </w:t>
      </w:r>
      <w:r w:rsidR="00F55FFD">
        <w:rPr>
          <w:rFonts w:ascii="Book Antiqua" w:hAnsi="Book Antiqua" w:cstheme="minorHAnsi"/>
          <w:sz w:val="24"/>
          <w:szCs w:val="24"/>
        </w:rPr>
        <w:t xml:space="preserve">think it right to assume that the passage of time will automatically rebut </w:t>
      </w:r>
      <w:r w:rsidR="00416C72">
        <w:rPr>
          <w:rFonts w:ascii="Book Antiqua" w:hAnsi="Book Antiqua" w:cstheme="minorHAnsi"/>
          <w:sz w:val="24"/>
          <w:szCs w:val="24"/>
        </w:rPr>
        <w:t xml:space="preserve">the </w:t>
      </w:r>
      <w:r w:rsidR="007E799E">
        <w:rPr>
          <w:rFonts w:ascii="Book Antiqua" w:hAnsi="Book Antiqua" w:cstheme="minorHAnsi"/>
          <w:sz w:val="24"/>
          <w:szCs w:val="24"/>
        </w:rPr>
        <w:t xml:space="preserve">statutory </w:t>
      </w:r>
      <w:r w:rsidR="00416C72">
        <w:rPr>
          <w:rFonts w:ascii="Book Antiqua" w:hAnsi="Book Antiqua" w:cstheme="minorHAnsi"/>
          <w:sz w:val="24"/>
          <w:szCs w:val="24"/>
        </w:rPr>
        <w:t>presumption</w:t>
      </w:r>
      <w:r w:rsidR="003C7EF0">
        <w:rPr>
          <w:rFonts w:ascii="Book Antiqua" w:hAnsi="Book Antiqua" w:cstheme="minorHAnsi"/>
          <w:sz w:val="24"/>
          <w:szCs w:val="24"/>
        </w:rPr>
        <w:t xml:space="preserve">. A long period of </w:t>
      </w:r>
      <w:r w:rsidR="00B857E4">
        <w:rPr>
          <w:rFonts w:ascii="Book Antiqua" w:hAnsi="Book Antiqua" w:cstheme="minorHAnsi"/>
          <w:sz w:val="24"/>
          <w:szCs w:val="24"/>
        </w:rPr>
        <w:t xml:space="preserve">abiding by the law will </w:t>
      </w:r>
      <w:r w:rsidR="002032F0">
        <w:rPr>
          <w:rFonts w:ascii="Book Antiqua" w:hAnsi="Book Antiqua" w:cstheme="minorHAnsi"/>
          <w:sz w:val="24"/>
          <w:szCs w:val="24"/>
        </w:rPr>
        <w:t>always</w:t>
      </w:r>
      <w:r w:rsidR="00B857E4">
        <w:rPr>
          <w:rFonts w:ascii="Book Antiqua" w:hAnsi="Book Antiqua" w:cstheme="minorHAnsi"/>
          <w:sz w:val="24"/>
          <w:szCs w:val="24"/>
        </w:rPr>
        <w:t xml:space="preserve"> be relevant to the enquiry, but</w:t>
      </w:r>
      <w:r w:rsidR="002460A7">
        <w:rPr>
          <w:rFonts w:ascii="Book Antiqua" w:hAnsi="Book Antiqua" w:cstheme="minorHAnsi"/>
          <w:sz w:val="24"/>
          <w:szCs w:val="24"/>
        </w:rPr>
        <w:t xml:space="preserve"> it is of course the case here that the appellant ha</w:t>
      </w:r>
      <w:r w:rsidR="002124EE">
        <w:rPr>
          <w:rFonts w:ascii="Book Antiqua" w:hAnsi="Book Antiqua" w:cstheme="minorHAnsi"/>
          <w:sz w:val="24"/>
          <w:szCs w:val="24"/>
        </w:rPr>
        <w:t xml:space="preserve">d incurred further convictions so could not be </w:t>
      </w:r>
      <w:r w:rsidR="003523F0">
        <w:rPr>
          <w:rFonts w:ascii="Book Antiqua" w:hAnsi="Book Antiqua" w:cstheme="minorHAnsi"/>
          <w:sz w:val="24"/>
          <w:szCs w:val="24"/>
        </w:rPr>
        <w:t xml:space="preserve">said to be entirely rehabilitated. I accept Mr </w:t>
      </w:r>
      <w:proofErr w:type="spellStart"/>
      <w:r w:rsidR="003523F0">
        <w:rPr>
          <w:rFonts w:ascii="Book Antiqua" w:hAnsi="Book Antiqua" w:cstheme="minorHAnsi"/>
          <w:sz w:val="24"/>
          <w:szCs w:val="24"/>
        </w:rPr>
        <w:t>Toal’s</w:t>
      </w:r>
      <w:proofErr w:type="spellEnd"/>
      <w:r w:rsidR="003523F0">
        <w:rPr>
          <w:rFonts w:ascii="Book Antiqua" w:hAnsi="Book Antiqua" w:cstheme="minorHAnsi"/>
          <w:sz w:val="24"/>
          <w:szCs w:val="24"/>
        </w:rPr>
        <w:t xml:space="preserve"> characterisation of those offences as relatively minor, but it was not the convictions themselves which caused the Tribunal concern: it was what they revealed about the life being led by SOC.</w:t>
      </w:r>
      <w:r w:rsidR="00416C72">
        <w:rPr>
          <w:rFonts w:ascii="Book Antiqua" w:hAnsi="Book Antiqua" w:cstheme="minorHAnsi"/>
          <w:sz w:val="24"/>
          <w:szCs w:val="24"/>
        </w:rPr>
        <w:t xml:space="preserve"> </w:t>
      </w:r>
      <w:r w:rsidR="000243A6">
        <w:rPr>
          <w:rFonts w:ascii="Book Antiqua" w:hAnsi="Book Antiqua" w:cstheme="minorHAnsi"/>
          <w:sz w:val="24"/>
          <w:szCs w:val="24"/>
        </w:rPr>
        <w:t xml:space="preserve"> </w:t>
      </w:r>
    </w:p>
    <w:p w14:paraId="32DA0AA9" w14:textId="77777777" w:rsidR="003523F0" w:rsidRDefault="003523F0" w:rsidP="003523F0">
      <w:pPr>
        <w:tabs>
          <w:tab w:val="left" w:pos="567"/>
        </w:tabs>
        <w:spacing w:after="0" w:line="240" w:lineRule="auto"/>
        <w:ind w:left="567" w:right="567"/>
        <w:jc w:val="both"/>
        <w:rPr>
          <w:rFonts w:ascii="Book Antiqua" w:hAnsi="Book Antiqua" w:cstheme="minorHAnsi"/>
          <w:sz w:val="24"/>
          <w:szCs w:val="24"/>
        </w:rPr>
      </w:pPr>
    </w:p>
    <w:p w14:paraId="4733AEB6" w14:textId="50341807" w:rsidR="001A6C43" w:rsidRDefault="00D40A3D" w:rsidP="004C5B0D">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 xml:space="preserve">On his own evidence, SOC’s involvement with street dealing arose from his own addiction to </w:t>
      </w:r>
      <w:r w:rsidR="00A43A3E">
        <w:rPr>
          <w:rFonts w:ascii="Book Antiqua" w:hAnsi="Book Antiqua" w:cstheme="minorHAnsi"/>
          <w:sz w:val="24"/>
          <w:szCs w:val="24"/>
        </w:rPr>
        <w:t xml:space="preserve">crack cocaine and heroin. </w:t>
      </w:r>
      <w:r w:rsidR="00227295">
        <w:rPr>
          <w:rFonts w:ascii="Book Antiqua" w:hAnsi="Book Antiqua" w:cstheme="minorHAnsi"/>
          <w:sz w:val="24"/>
          <w:szCs w:val="24"/>
        </w:rPr>
        <w:t xml:space="preserve"> </w:t>
      </w:r>
      <w:r w:rsidR="00513DF5">
        <w:rPr>
          <w:rFonts w:ascii="Book Antiqua" w:hAnsi="Book Antiqua" w:cstheme="minorHAnsi"/>
          <w:sz w:val="24"/>
          <w:szCs w:val="24"/>
        </w:rPr>
        <w:t xml:space="preserve">Just as he squarely framed his criminality by his drug dependency, he framed his rehabilitation by his recovery. At paragraph </w:t>
      </w:r>
      <w:r w:rsidR="00FD6EBF">
        <w:rPr>
          <w:rFonts w:ascii="Book Antiqua" w:hAnsi="Book Antiqua" w:cstheme="minorHAnsi"/>
          <w:sz w:val="24"/>
          <w:szCs w:val="24"/>
        </w:rPr>
        <w:t xml:space="preserve">18 of his witness statement SOC says “going to prison </w:t>
      </w:r>
      <w:r w:rsidR="001171F9">
        <w:rPr>
          <w:rFonts w:ascii="Book Antiqua" w:hAnsi="Book Antiqua" w:cstheme="minorHAnsi"/>
          <w:sz w:val="24"/>
          <w:szCs w:val="24"/>
        </w:rPr>
        <w:t>gave me the opportunity to turn my life around because I was able to get off the drugs”.</w:t>
      </w:r>
      <w:r w:rsidR="0023277A">
        <w:rPr>
          <w:rFonts w:ascii="Book Antiqua" w:hAnsi="Book Antiqua" w:cstheme="minorHAnsi"/>
          <w:sz w:val="24"/>
          <w:szCs w:val="24"/>
        </w:rPr>
        <w:t xml:space="preserve"> He did a medical detox whilst in prison and says of this: “I hav</w:t>
      </w:r>
      <w:r w:rsidR="00E1532F">
        <w:rPr>
          <w:rFonts w:ascii="Book Antiqua" w:hAnsi="Book Antiqua" w:cstheme="minorHAnsi"/>
          <w:sz w:val="24"/>
          <w:szCs w:val="24"/>
        </w:rPr>
        <w:t>e</w:t>
      </w:r>
      <w:r w:rsidR="0023277A">
        <w:rPr>
          <w:rFonts w:ascii="Book Antiqua" w:hAnsi="Book Antiqua" w:cstheme="minorHAnsi"/>
          <w:sz w:val="24"/>
          <w:szCs w:val="24"/>
        </w:rPr>
        <w:t xml:space="preserve">n’t used either of those drugs since then, I managed to stay clean”. That evidence was </w:t>
      </w:r>
      <w:r w:rsidR="00537636">
        <w:rPr>
          <w:rFonts w:ascii="Book Antiqua" w:hAnsi="Book Antiqua" w:cstheme="minorHAnsi"/>
          <w:sz w:val="24"/>
          <w:szCs w:val="24"/>
        </w:rPr>
        <w:t>rejected</w:t>
      </w:r>
      <w:r w:rsidR="0023277A">
        <w:rPr>
          <w:rFonts w:ascii="Book Antiqua" w:hAnsi="Book Antiqua" w:cstheme="minorHAnsi"/>
          <w:sz w:val="24"/>
          <w:szCs w:val="24"/>
        </w:rPr>
        <w:t xml:space="preserve"> by the Tribunal flatly contradicted </w:t>
      </w:r>
      <w:r w:rsidR="00537636">
        <w:rPr>
          <w:rFonts w:ascii="Book Antiqua" w:hAnsi="Book Antiqua" w:cstheme="minorHAnsi"/>
          <w:sz w:val="24"/>
          <w:szCs w:val="24"/>
        </w:rPr>
        <w:t xml:space="preserve">as it was </w:t>
      </w:r>
      <w:r w:rsidR="0023277A">
        <w:rPr>
          <w:rFonts w:ascii="Book Antiqua" w:hAnsi="Book Antiqua" w:cstheme="minorHAnsi"/>
          <w:sz w:val="24"/>
          <w:szCs w:val="24"/>
        </w:rPr>
        <w:t xml:space="preserve">by </w:t>
      </w:r>
      <w:r w:rsidR="0068245E">
        <w:rPr>
          <w:rFonts w:ascii="Book Antiqua" w:hAnsi="Book Antiqua" w:cstheme="minorHAnsi"/>
          <w:sz w:val="24"/>
          <w:szCs w:val="24"/>
        </w:rPr>
        <w:t>the evidence</w:t>
      </w:r>
      <w:r w:rsidR="00537636">
        <w:rPr>
          <w:rFonts w:ascii="Book Antiqua" w:hAnsi="Book Antiqua" w:cstheme="minorHAnsi"/>
          <w:sz w:val="24"/>
          <w:szCs w:val="24"/>
        </w:rPr>
        <w:t xml:space="preserve">: SOC tested positive for heroin in 2015, and the court had at that time seen fit to impose a </w:t>
      </w:r>
      <w:r w:rsidR="002A6F51">
        <w:rPr>
          <w:rFonts w:ascii="Book Antiqua" w:hAnsi="Book Antiqua" w:cstheme="minorHAnsi"/>
          <w:sz w:val="24"/>
          <w:szCs w:val="24"/>
        </w:rPr>
        <w:t>Drug Rehabilitation Requirement. Of this the Tribunal found:</w:t>
      </w:r>
    </w:p>
    <w:p w14:paraId="1903D2FA" w14:textId="77777777" w:rsidR="002A6F51" w:rsidRDefault="002A6F51" w:rsidP="002A6F51">
      <w:pPr>
        <w:tabs>
          <w:tab w:val="left" w:pos="567"/>
        </w:tabs>
        <w:spacing w:after="0" w:line="240" w:lineRule="auto"/>
        <w:ind w:left="567" w:right="567"/>
        <w:jc w:val="both"/>
        <w:rPr>
          <w:rFonts w:ascii="Book Antiqua" w:hAnsi="Book Antiqua" w:cstheme="minorHAnsi"/>
          <w:sz w:val="24"/>
          <w:szCs w:val="24"/>
        </w:rPr>
      </w:pPr>
    </w:p>
    <w:p w14:paraId="584634E7" w14:textId="77777777" w:rsidR="00A21085" w:rsidRDefault="002A6F51" w:rsidP="00564D48">
      <w:pPr>
        <w:tabs>
          <w:tab w:val="left" w:pos="567"/>
        </w:tabs>
        <w:spacing w:after="0" w:line="240" w:lineRule="auto"/>
        <w:ind w:left="1134" w:right="1134"/>
        <w:jc w:val="both"/>
        <w:rPr>
          <w:rFonts w:ascii="Book Antiqua" w:hAnsi="Book Antiqua" w:cstheme="minorHAnsi"/>
          <w:sz w:val="24"/>
          <w:szCs w:val="24"/>
        </w:rPr>
      </w:pPr>
      <w:r>
        <w:rPr>
          <w:rFonts w:ascii="Book Antiqua" w:hAnsi="Book Antiqua" w:cstheme="minorHAnsi"/>
          <w:sz w:val="24"/>
          <w:szCs w:val="24"/>
        </w:rPr>
        <w:t>“</w:t>
      </w:r>
      <w:r w:rsidR="000D2D50">
        <w:rPr>
          <w:rFonts w:ascii="Book Antiqua" w:hAnsi="Book Antiqua" w:cstheme="minorHAnsi"/>
          <w:sz w:val="24"/>
          <w:szCs w:val="24"/>
        </w:rPr>
        <w:t xml:space="preserve">I also do not consider that, if he had told the Probation Officer, and the Court, that this was the one and only occasion in the last eight years that he had consumed </w:t>
      </w:r>
      <w:r w:rsidR="003F11B3">
        <w:rPr>
          <w:rFonts w:ascii="Book Antiqua" w:hAnsi="Book Antiqua" w:cstheme="minorHAnsi"/>
          <w:sz w:val="24"/>
          <w:szCs w:val="24"/>
        </w:rPr>
        <w:t>(inadvertently) class A drugs, and this had been accepted, he would have been, as part of the sentence</w:t>
      </w:r>
      <w:r w:rsidR="000D7851">
        <w:rPr>
          <w:rFonts w:ascii="Book Antiqua" w:hAnsi="Book Antiqua" w:cstheme="minorHAnsi"/>
          <w:sz w:val="24"/>
          <w:szCs w:val="24"/>
        </w:rPr>
        <w:t xml:space="preserve">, required to undertake a Drug Rehabilitation Requirement. From my own, </w:t>
      </w:r>
      <w:proofErr w:type="gramStart"/>
      <w:r w:rsidR="000D7851">
        <w:rPr>
          <w:rFonts w:ascii="Book Antiqua" w:hAnsi="Book Antiqua" w:cstheme="minorHAnsi"/>
          <w:sz w:val="24"/>
          <w:szCs w:val="24"/>
        </w:rPr>
        <w:t>fairly extensive</w:t>
      </w:r>
      <w:proofErr w:type="gramEnd"/>
      <w:r w:rsidR="000D7851">
        <w:rPr>
          <w:rFonts w:ascii="Book Antiqua" w:hAnsi="Book Antiqua" w:cstheme="minorHAnsi"/>
          <w:sz w:val="24"/>
          <w:szCs w:val="24"/>
        </w:rPr>
        <w:t>, experience of sitting as a Recorder in the Crown Court</w:t>
      </w:r>
      <w:r w:rsidR="00B04B13">
        <w:rPr>
          <w:rFonts w:ascii="Book Antiqua" w:hAnsi="Book Antiqua" w:cstheme="minorHAnsi"/>
          <w:sz w:val="24"/>
          <w:szCs w:val="24"/>
        </w:rPr>
        <w:t xml:space="preserve">, such resources are rare and reserved for those cases in which substance abuse is considered to </w:t>
      </w:r>
      <w:r w:rsidR="00D82C6A">
        <w:rPr>
          <w:rFonts w:ascii="Book Antiqua" w:hAnsi="Book Antiqua" w:cstheme="minorHAnsi"/>
          <w:sz w:val="24"/>
          <w:szCs w:val="24"/>
        </w:rPr>
        <w:t>have played a significant role in the commission of the offence</w:t>
      </w:r>
      <w:r w:rsidR="00A21085">
        <w:rPr>
          <w:rFonts w:ascii="Book Antiqua" w:hAnsi="Book Antiqua" w:cstheme="minorHAnsi"/>
          <w:sz w:val="24"/>
          <w:szCs w:val="24"/>
        </w:rPr>
        <w:t>.</w:t>
      </w:r>
    </w:p>
    <w:p w14:paraId="79AE4F74" w14:textId="77777777" w:rsidR="00A21085" w:rsidRDefault="00A21085" w:rsidP="00564D48">
      <w:pPr>
        <w:tabs>
          <w:tab w:val="left" w:pos="567"/>
        </w:tabs>
        <w:spacing w:after="0" w:line="240" w:lineRule="auto"/>
        <w:ind w:left="1134" w:right="1134"/>
        <w:jc w:val="both"/>
        <w:rPr>
          <w:rFonts w:ascii="Book Antiqua" w:hAnsi="Book Antiqua" w:cstheme="minorHAnsi"/>
          <w:sz w:val="24"/>
          <w:szCs w:val="24"/>
        </w:rPr>
      </w:pPr>
    </w:p>
    <w:p w14:paraId="49540A6D" w14:textId="798A983C" w:rsidR="002A6F51" w:rsidRDefault="00A21085" w:rsidP="00564D48">
      <w:pPr>
        <w:tabs>
          <w:tab w:val="left" w:pos="567"/>
        </w:tabs>
        <w:spacing w:after="0" w:line="240" w:lineRule="auto"/>
        <w:ind w:left="1134" w:right="1134"/>
        <w:jc w:val="both"/>
        <w:rPr>
          <w:rFonts w:ascii="Book Antiqua" w:hAnsi="Book Antiqua" w:cstheme="minorHAnsi"/>
          <w:sz w:val="24"/>
          <w:szCs w:val="24"/>
        </w:rPr>
      </w:pPr>
      <w:r>
        <w:rPr>
          <w:rFonts w:ascii="Book Antiqua" w:hAnsi="Book Antiqua" w:cstheme="minorHAnsi"/>
          <w:sz w:val="24"/>
          <w:szCs w:val="24"/>
        </w:rPr>
        <w:t>The fact that he failed to attend part of the DRR reinforces my conclusion</w:t>
      </w:r>
      <w:r w:rsidR="00180904">
        <w:rPr>
          <w:rFonts w:ascii="Book Antiqua" w:hAnsi="Book Antiqua" w:cstheme="minorHAnsi"/>
          <w:sz w:val="24"/>
          <w:szCs w:val="24"/>
        </w:rPr>
        <w:t xml:space="preserve"> that in 2015 </w:t>
      </w:r>
      <w:r w:rsidR="00564D48">
        <w:rPr>
          <w:rFonts w:ascii="Book Antiqua" w:hAnsi="Book Antiqua" w:cstheme="minorHAnsi"/>
          <w:sz w:val="24"/>
          <w:szCs w:val="24"/>
        </w:rPr>
        <w:t>his drug use was not simply a one-off and inadvertent laced cigarette</w:t>
      </w:r>
      <w:r>
        <w:rPr>
          <w:rFonts w:ascii="Book Antiqua" w:hAnsi="Book Antiqua" w:cstheme="minorHAnsi"/>
          <w:sz w:val="24"/>
          <w:szCs w:val="24"/>
        </w:rPr>
        <w:t>”</w:t>
      </w:r>
    </w:p>
    <w:p w14:paraId="54DEF746" w14:textId="77777777" w:rsidR="008269BC" w:rsidRDefault="008269BC" w:rsidP="008269BC">
      <w:pPr>
        <w:tabs>
          <w:tab w:val="left" w:pos="567"/>
        </w:tabs>
        <w:spacing w:after="0" w:line="240" w:lineRule="auto"/>
        <w:ind w:left="567" w:right="567"/>
        <w:jc w:val="both"/>
        <w:rPr>
          <w:rFonts w:ascii="Book Antiqua" w:hAnsi="Book Antiqua" w:cstheme="minorHAnsi"/>
          <w:sz w:val="24"/>
          <w:szCs w:val="24"/>
        </w:rPr>
      </w:pPr>
    </w:p>
    <w:p w14:paraId="3AE0E6CC" w14:textId="5D2956C9" w:rsidR="003A23CB" w:rsidRDefault="008269BC" w:rsidP="003A23CB">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 xml:space="preserve">The </w:t>
      </w:r>
      <w:r w:rsidR="0062499C">
        <w:rPr>
          <w:rFonts w:ascii="Book Antiqua" w:hAnsi="Book Antiqua" w:cstheme="minorHAnsi"/>
          <w:sz w:val="24"/>
          <w:szCs w:val="24"/>
        </w:rPr>
        <w:t xml:space="preserve">Tribunal went on </w:t>
      </w:r>
      <w:r w:rsidR="00995991">
        <w:rPr>
          <w:rFonts w:ascii="Book Antiqua" w:hAnsi="Book Antiqua" w:cstheme="minorHAnsi"/>
          <w:sz w:val="24"/>
          <w:szCs w:val="24"/>
        </w:rPr>
        <w:t>to note that SOC</w:t>
      </w:r>
      <w:r w:rsidR="003C208A">
        <w:rPr>
          <w:rFonts w:ascii="Book Antiqua" w:hAnsi="Book Antiqua" w:cstheme="minorHAnsi"/>
          <w:sz w:val="24"/>
          <w:szCs w:val="24"/>
        </w:rPr>
        <w:t>’</w:t>
      </w:r>
      <w:r w:rsidR="00995991">
        <w:rPr>
          <w:rFonts w:ascii="Book Antiqua" w:hAnsi="Book Antiqua" w:cstheme="minorHAnsi"/>
          <w:sz w:val="24"/>
          <w:szCs w:val="24"/>
        </w:rPr>
        <w:t xml:space="preserve">s claim to be completely free of drugs since he left prison </w:t>
      </w:r>
      <w:proofErr w:type="gramStart"/>
      <w:r w:rsidR="00995991">
        <w:rPr>
          <w:rFonts w:ascii="Book Antiqua" w:hAnsi="Book Antiqua" w:cstheme="minorHAnsi"/>
          <w:sz w:val="24"/>
          <w:szCs w:val="24"/>
        </w:rPr>
        <w:t xml:space="preserve">is </w:t>
      </w:r>
      <w:r w:rsidR="002B1B45">
        <w:rPr>
          <w:rFonts w:ascii="Book Antiqua" w:hAnsi="Book Antiqua" w:cstheme="minorHAnsi"/>
          <w:sz w:val="24"/>
          <w:szCs w:val="24"/>
        </w:rPr>
        <w:t>in contrast to</w:t>
      </w:r>
      <w:proofErr w:type="gramEnd"/>
      <w:r w:rsidR="002B1B45">
        <w:rPr>
          <w:rFonts w:ascii="Book Antiqua" w:hAnsi="Book Antiqua" w:cstheme="minorHAnsi"/>
          <w:sz w:val="24"/>
          <w:szCs w:val="24"/>
        </w:rPr>
        <w:t xml:space="preserve"> the tests undertaken by “the expert”. This rather unhelpful </w:t>
      </w:r>
      <w:r w:rsidR="00097FAC">
        <w:rPr>
          <w:rFonts w:ascii="Book Antiqua" w:hAnsi="Book Antiqua" w:cstheme="minorHAnsi"/>
          <w:sz w:val="24"/>
          <w:szCs w:val="24"/>
        </w:rPr>
        <w:t xml:space="preserve">reference is to </w:t>
      </w:r>
      <w:r w:rsidR="003C53CD">
        <w:rPr>
          <w:rFonts w:ascii="Book Antiqua" w:hAnsi="Book Antiqua" w:cstheme="minorHAnsi"/>
          <w:sz w:val="24"/>
          <w:szCs w:val="24"/>
        </w:rPr>
        <w:t xml:space="preserve">a </w:t>
      </w:r>
      <w:r w:rsidR="00097FAC">
        <w:rPr>
          <w:rFonts w:ascii="Book Antiqua" w:hAnsi="Book Antiqua" w:cstheme="minorHAnsi"/>
          <w:sz w:val="24"/>
          <w:szCs w:val="24"/>
        </w:rPr>
        <w:t xml:space="preserve">Dr John </w:t>
      </w:r>
      <w:proofErr w:type="spellStart"/>
      <w:r w:rsidR="00097FAC">
        <w:rPr>
          <w:rFonts w:ascii="Book Antiqua" w:hAnsi="Book Antiqua" w:cstheme="minorHAnsi"/>
          <w:sz w:val="24"/>
          <w:szCs w:val="24"/>
        </w:rPr>
        <w:t>Cordwell</w:t>
      </w:r>
      <w:proofErr w:type="spellEnd"/>
      <w:r w:rsidR="00B10C3A">
        <w:rPr>
          <w:rFonts w:ascii="Book Antiqua" w:hAnsi="Book Antiqua" w:cstheme="minorHAnsi"/>
          <w:sz w:val="24"/>
          <w:szCs w:val="24"/>
        </w:rPr>
        <w:t>, a Chartered Forensic Psychologist who undertook a detailed assessment of SOC</w:t>
      </w:r>
      <w:r w:rsidR="00461A17">
        <w:rPr>
          <w:rFonts w:ascii="Book Antiqua" w:hAnsi="Book Antiqua" w:cstheme="minorHAnsi"/>
          <w:sz w:val="24"/>
          <w:szCs w:val="24"/>
        </w:rPr>
        <w:t xml:space="preserve"> in 2019.   </w:t>
      </w:r>
      <w:r w:rsidR="00F365E3">
        <w:rPr>
          <w:rFonts w:ascii="Book Antiqua" w:hAnsi="Book Antiqua" w:cstheme="minorHAnsi"/>
          <w:sz w:val="24"/>
          <w:szCs w:val="24"/>
        </w:rPr>
        <w:t>B</w:t>
      </w:r>
      <w:r w:rsidR="00461A17">
        <w:rPr>
          <w:rFonts w:ascii="Book Antiqua" w:hAnsi="Book Antiqua" w:cstheme="minorHAnsi"/>
          <w:sz w:val="24"/>
          <w:szCs w:val="24"/>
        </w:rPr>
        <w:t>y “tests” the Tribunal mean</w:t>
      </w:r>
      <w:r w:rsidR="00F9178D">
        <w:rPr>
          <w:rFonts w:ascii="Book Antiqua" w:hAnsi="Book Antiqua" w:cstheme="minorHAnsi"/>
          <w:sz w:val="24"/>
          <w:szCs w:val="24"/>
        </w:rPr>
        <w:t>s</w:t>
      </w:r>
      <w:r w:rsidR="00461A17">
        <w:rPr>
          <w:rFonts w:ascii="Book Antiqua" w:hAnsi="Book Antiqua" w:cstheme="minorHAnsi"/>
          <w:sz w:val="24"/>
          <w:szCs w:val="24"/>
        </w:rPr>
        <w:t xml:space="preserve"> the psychological questionnaires adminis</w:t>
      </w:r>
      <w:r w:rsidR="00F9178D">
        <w:rPr>
          <w:rFonts w:ascii="Book Antiqua" w:hAnsi="Book Antiqua" w:cstheme="minorHAnsi"/>
          <w:sz w:val="24"/>
          <w:szCs w:val="24"/>
        </w:rPr>
        <w:t xml:space="preserve">tered by Dr </w:t>
      </w:r>
      <w:proofErr w:type="spellStart"/>
      <w:r w:rsidR="00F9178D">
        <w:rPr>
          <w:rFonts w:ascii="Book Antiqua" w:hAnsi="Book Antiqua" w:cstheme="minorHAnsi"/>
          <w:sz w:val="24"/>
          <w:szCs w:val="24"/>
        </w:rPr>
        <w:t>Cordwell</w:t>
      </w:r>
      <w:proofErr w:type="spellEnd"/>
      <w:r w:rsidR="00F9178D">
        <w:rPr>
          <w:rFonts w:ascii="Book Antiqua" w:hAnsi="Book Antiqua" w:cstheme="minorHAnsi"/>
          <w:sz w:val="24"/>
          <w:szCs w:val="24"/>
        </w:rPr>
        <w:t xml:space="preserve"> as opposed to physical drug tests. Those </w:t>
      </w:r>
      <w:r w:rsidR="00EE6CFF">
        <w:rPr>
          <w:rFonts w:ascii="Book Antiqua" w:hAnsi="Book Antiqua" w:cstheme="minorHAnsi"/>
          <w:sz w:val="24"/>
          <w:szCs w:val="24"/>
        </w:rPr>
        <w:t>questionnaires</w:t>
      </w:r>
      <w:r w:rsidR="00E515DB">
        <w:rPr>
          <w:rFonts w:ascii="Book Antiqua" w:hAnsi="Book Antiqua" w:cstheme="minorHAnsi"/>
          <w:sz w:val="24"/>
          <w:szCs w:val="24"/>
        </w:rPr>
        <w:t xml:space="preserve"> led </w:t>
      </w:r>
      <w:r w:rsidR="00927553">
        <w:rPr>
          <w:rFonts w:ascii="Book Antiqua" w:hAnsi="Book Antiqua" w:cstheme="minorHAnsi"/>
          <w:sz w:val="24"/>
          <w:szCs w:val="24"/>
        </w:rPr>
        <w:t xml:space="preserve">Dr </w:t>
      </w:r>
      <w:proofErr w:type="spellStart"/>
      <w:r w:rsidR="00927553">
        <w:rPr>
          <w:rFonts w:ascii="Book Antiqua" w:hAnsi="Book Antiqua" w:cstheme="minorHAnsi"/>
          <w:sz w:val="24"/>
          <w:szCs w:val="24"/>
        </w:rPr>
        <w:t>Cordwell</w:t>
      </w:r>
      <w:proofErr w:type="spellEnd"/>
      <w:r w:rsidR="00927553">
        <w:rPr>
          <w:rFonts w:ascii="Book Antiqua" w:hAnsi="Book Antiqua" w:cstheme="minorHAnsi"/>
          <w:sz w:val="24"/>
          <w:szCs w:val="24"/>
        </w:rPr>
        <w:t xml:space="preserve"> to find “a low level of drug use in the past 12 months</w:t>
      </w:r>
      <w:r w:rsidR="00973B96">
        <w:rPr>
          <w:rFonts w:ascii="Book Antiqua" w:hAnsi="Book Antiqua" w:cstheme="minorHAnsi"/>
          <w:sz w:val="24"/>
          <w:szCs w:val="24"/>
        </w:rPr>
        <w:t>”</w:t>
      </w:r>
      <w:r w:rsidR="00320AE2">
        <w:rPr>
          <w:rFonts w:ascii="Book Antiqua" w:hAnsi="Book Antiqua" w:cstheme="minorHAnsi"/>
          <w:sz w:val="24"/>
          <w:szCs w:val="24"/>
        </w:rPr>
        <w:t xml:space="preserve">, </w:t>
      </w:r>
      <w:r w:rsidR="00973B96">
        <w:rPr>
          <w:rFonts w:ascii="Book Antiqua" w:hAnsi="Book Antiqua" w:cstheme="minorHAnsi"/>
          <w:sz w:val="24"/>
          <w:szCs w:val="24"/>
        </w:rPr>
        <w:t xml:space="preserve">the import of this being some, as opposed to no, </w:t>
      </w:r>
      <w:r w:rsidR="00320AE2">
        <w:rPr>
          <w:rFonts w:ascii="Book Antiqua" w:hAnsi="Book Antiqua" w:cstheme="minorHAnsi"/>
          <w:sz w:val="24"/>
          <w:szCs w:val="24"/>
        </w:rPr>
        <w:t xml:space="preserve">drug use continuing post-2015.  </w:t>
      </w:r>
      <w:r w:rsidR="005C0831">
        <w:rPr>
          <w:rFonts w:ascii="Book Antiqua" w:hAnsi="Book Antiqua" w:cstheme="minorHAnsi"/>
          <w:sz w:val="24"/>
          <w:szCs w:val="24"/>
        </w:rPr>
        <w:t>D</w:t>
      </w:r>
      <w:r w:rsidR="00320AE2">
        <w:rPr>
          <w:rFonts w:ascii="Book Antiqua" w:hAnsi="Book Antiqua" w:cstheme="minorHAnsi"/>
          <w:sz w:val="24"/>
          <w:szCs w:val="24"/>
        </w:rPr>
        <w:t xml:space="preserve">r </w:t>
      </w:r>
      <w:proofErr w:type="spellStart"/>
      <w:r w:rsidR="00320AE2">
        <w:rPr>
          <w:rFonts w:ascii="Book Antiqua" w:hAnsi="Book Antiqua" w:cstheme="minorHAnsi"/>
          <w:sz w:val="24"/>
          <w:szCs w:val="24"/>
        </w:rPr>
        <w:t>Cordwell</w:t>
      </w:r>
      <w:proofErr w:type="spellEnd"/>
      <w:r w:rsidR="00320AE2">
        <w:rPr>
          <w:rFonts w:ascii="Book Antiqua" w:hAnsi="Book Antiqua" w:cstheme="minorHAnsi"/>
          <w:sz w:val="24"/>
          <w:szCs w:val="24"/>
        </w:rPr>
        <w:t xml:space="preserve"> concluded from this: </w:t>
      </w:r>
      <w:r w:rsidR="005C0831">
        <w:rPr>
          <w:rFonts w:ascii="Book Antiqua" w:hAnsi="Book Antiqua" w:cstheme="minorHAnsi"/>
          <w:sz w:val="24"/>
          <w:szCs w:val="24"/>
        </w:rPr>
        <w:t xml:space="preserve">“given </w:t>
      </w:r>
      <w:r w:rsidR="005C0831">
        <w:rPr>
          <w:rFonts w:ascii="Book Antiqua" w:hAnsi="Book Antiqua" w:cstheme="minorHAnsi"/>
          <w:sz w:val="24"/>
          <w:szCs w:val="24"/>
        </w:rPr>
        <w:lastRenderedPageBreak/>
        <w:t>substance use has been a significant difficulty he has experienced in his life, it is suggested that this remains both relevant to his needs</w:t>
      </w:r>
      <w:r w:rsidR="003C208A">
        <w:rPr>
          <w:rFonts w:ascii="Book Antiqua" w:hAnsi="Book Antiqua" w:cstheme="minorHAnsi"/>
          <w:sz w:val="24"/>
          <w:szCs w:val="24"/>
        </w:rPr>
        <w:t xml:space="preserve"> and needs further monitoring”.</w:t>
      </w:r>
      <w:r w:rsidR="005C0831">
        <w:rPr>
          <w:rFonts w:ascii="Book Antiqua" w:hAnsi="Book Antiqua" w:cstheme="minorHAnsi"/>
          <w:sz w:val="24"/>
          <w:szCs w:val="24"/>
        </w:rPr>
        <w:t xml:space="preserve"> </w:t>
      </w:r>
      <w:r w:rsidR="00DD131E">
        <w:rPr>
          <w:rFonts w:ascii="Book Antiqua" w:hAnsi="Book Antiqua" w:cstheme="minorHAnsi"/>
          <w:sz w:val="24"/>
          <w:szCs w:val="24"/>
        </w:rPr>
        <w:t xml:space="preserve">  Dr </w:t>
      </w:r>
      <w:proofErr w:type="spellStart"/>
      <w:r w:rsidR="00DD131E">
        <w:rPr>
          <w:rFonts w:ascii="Book Antiqua" w:hAnsi="Book Antiqua" w:cstheme="minorHAnsi"/>
          <w:sz w:val="24"/>
          <w:szCs w:val="24"/>
        </w:rPr>
        <w:t>Cordwell’s</w:t>
      </w:r>
      <w:proofErr w:type="spellEnd"/>
      <w:r w:rsidR="00DD131E">
        <w:rPr>
          <w:rFonts w:ascii="Book Antiqua" w:hAnsi="Book Antiqua" w:cstheme="minorHAnsi"/>
          <w:sz w:val="24"/>
          <w:szCs w:val="24"/>
        </w:rPr>
        <w:t xml:space="preserve"> findings on SOC’s substance use fed directly into his conclusion that </w:t>
      </w:r>
      <w:r w:rsidR="00FC0983">
        <w:rPr>
          <w:rFonts w:ascii="Book Antiqua" w:hAnsi="Book Antiqua" w:cstheme="minorHAnsi"/>
          <w:sz w:val="24"/>
          <w:szCs w:val="24"/>
        </w:rPr>
        <w:t>SOC continues to present a medium risk of offending</w:t>
      </w:r>
      <w:r w:rsidR="00DE1A98">
        <w:rPr>
          <w:rFonts w:ascii="Book Antiqua" w:hAnsi="Book Antiqua" w:cstheme="minorHAnsi"/>
          <w:sz w:val="24"/>
          <w:szCs w:val="24"/>
        </w:rPr>
        <w:t>, particularly acquisitive and drug-related offences</w:t>
      </w:r>
      <w:r w:rsidR="007C3FD8">
        <w:rPr>
          <w:rFonts w:ascii="Book Antiqua" w:hAnsi="Book Antiqua" w:cstheme="minorHAnsi"/>
          <w:sz w:val="24"/>
          <w:szCs w:val="24"/>
        </w:rPr>
        <w:t xml:space="preserve">, a conclusion to which the Tribunal </w:t>
      </w:r>
      <w:r w:rsidR="00383191">
        <w:rPr>
          <w:rFonts w:ascii="Book Antiqua" w:hAnsi="Book Antiqua" w:cstheme="minorHAnsi"/>
          <w:sz w:val="24"/>
          <w:szCs w:val="24"/>
        </w:rPr>
        <w:t>specifically referred in its reasoning.</w:t>
      </w:r>
    </w:p>
    <w:p w14:paraId="088EE1E1" w14:textId="77777777" w:rsidR="00620FB2" w:rsidRDefault="00620FB2" w:rsidP="00620FB2">
      <w:pPr>
        <w:tabs>
          <w:tab w:val="left" w:pos="567"/>
        </w:tabs>
        <w:spacing w:after="0" w:line="240" w:lineRule="auto"/>
        <w:ind w:left="567" w:right="567"/>
        <w:jc w:val="both"/>
        <w:rPr>
          <w:rFonts w:ascii="Book Antiqua" w:hAnsi="Book Antiqua" w:cstheme="minorHAnsi"/>
          <w:sz w:val="24"/>
          <w:szCs w:val="24"/>
        </w:rPr>
      </w:pPr>
    </w:p>
    <w:p w14:paraId="7A0BFC95" w14:textId="48CBF286" w:rsidR="005D0E35" w:rsidRDefault="00803BD6" w:rsidP="002F532B">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sidRPr="005D0E35">
        <w:rPr>
          <w:rFonts w:ascii="Book Antiqua" w:hAnsi="Book Antiqua" w:cstheme="minorHAnsi"/>
          <w:sz w:val="24"/>
          <w:szCs w:val="24"/>
        </w:rPr>
        <w:t xml:space="preserve">The difficulty for SOC is </w:t>
      </w:r>
      <w:r w:rsidR="006974C6" w:rsidRPr="005D0E35">
        <w:rPr>
          <w:rFonts w:ascii="Book Antiqua" w:hAnsi="Book Antiqua" w:cstheme="minorHAnsi"/>
          <w:sz w:val="24"/>
          <w:szCs w:val="24"/>
        </w:rPr>
        <w:t>this. T</w:t>
      </w:r>
      <w:r w:rsidRPr="005D0E35">
        <w:rPr>
          <w:rFonts w:ascii="Book Antiqua" w:hAnsi="Book Antiqua" w:cstheme="minorHAnsi"/>
          <w:sz w:val="24"/>
          <w:szCs w:val="24"/>
        </w:rPr>
        <w:t xml:space="preserve">he question for the Tribunal was not whether the offences in 2015 revealed him to be a danger to the community. The question for the Tribunal was whether SOC had successfully rebutted the statutory presumption that he </w:t>
      </w:r>
      <w:r w:rsidRPr="005D0E35">
        <w:rPr>
          <w:rFonts w:ascii="Book Antiqua" w:hAnsi="Book Antiqua" w:cstheme="minorHAnsi"/>
          <w:i/>
          <w:iCs/>
          <w:sz w:val="24"/>
          <w:szCs w:val="24"/>
        </w:rPr>
        <w:t>was</w:t>
      </w:r>
      <w:r w:rsidRPr="005D0E35">
        <w:rPr>
          <w:rFonts w:ascii="Book Antiqua" w:hAnsi="Book Antiqua" w:cstheme="minorHAnsi"/>
          <w:sz w:val="24"/>
          <w:szCs w:val="24"/>
        </w:rPr>
        <w:t xml:space="preserve">. </w:t>
      </w:r>
      <w:r w:rsidR="00DF0C3E" w:rsidRPr="005D0E35">
        <w:rPr>
          <w:rFonts w:ascii="Book Antiqua" w:hAnsi="Book Antiqua" w:cstheme="minorHAnsi"/>
          <w:sz w:val="24"/>
          <w:szCs w:val="24"/>
        </w:rPr>
        <w:t xml:space="preserve">SOC’s case </w:t>
      </w:r>
      <w:r w:rsidR="009B3B4B" w:rsidRPr="005D0E35">
        <w:rPr>
          <w:rFonts w:ascii="Book Antiqua" w:hAnsi="Book Antiqua" w:cstheme="minorHAnsi"/>
          <w:sz w:val="24"/>
          <w:szCs w:val="24"/>
        </w:rPr>
        <w:t xml:space="preserve">was that he could do so </w:t>
      </w:r>
      <w:r w:rsidR="000F71B0">
        <w:rPr>
          <w:rFonts w:ascii="Book Antiqua" w:hAnsi="Book Antiqua" w:cstheme="minorHAnsi"/>
          <w:sz w:val="24"/>
          <w:szCs w:val="24"/>
        </w:rPr>
        <w:t xml:space="preserve">not only </w:t>
      </w:r>
      <w:r w:rsidR="009B3B4B" w:rsidRPr="005D0E35">
        <w:rPr>
          <w:rFonts w:ascii="Book Antiqua" w:hAnsi="Book Antiqua" w:cstheme="minorHAnsi"/>
          <w:sz w:val="24"/>
          <w:szCs w:val="24"/>
        </w:rPr>
        <w:t xml:space="preserve">by reference to his relative lack of criminality, but to </w:t>
      </w:r>
      <w:r w:rsidR="005D0E35" w:rsidRPr="005D0E35">
        <w:rPr>
          <w:rFonts w:ascii="Book Antiqua" w:hAnsi="Book Antiqua" w:cstheme="minorHAnsi"/>
          <w:sz w:val="24"/>
          <w:szCs w:val="24"/>
        </w:rPr>
        <w:t>his success in staying clean</w:t>
      </w:r>
      <w:r w:rsidR="00457183">
        <w:rPr>
          <w:rFonts w:ascii="Book Antiqua" w:hAnsi="Book Antiqua" w:cstheme="minorHAnsi"/>
          <w:sz w:val="24"/>
          <w:szCs w:val="24"/>
        </w:rPr>
        <w:t>:</w:t>
      </w:r>
      <w:r w:rsidR="000B2BB5">
        <w:rPr>
          <w:rFonts w:ascii="Book Antiqua" w:hAnsi="Book Antiqua" w:cstheme="minorHAnsi"/>
          <w:sz w:val="24"/>
          <w:szCs w:val="24"/>
        </w:rPr>
        <w:t xml:space="preserve"> </w:t>
      </w:r>
      <w:r w:rsidR="00457183">
        <w:rPr>
          <w:rFonts w:ascii="Book Antiqua" w:hAnsi="Book Antiqua" w:cstheme="minorHAnsi"/>
          <w:sz w:val="24"/>
          <w:szCs w:val="24"/>
        </w:rPr>
        <w:t>this</w:t>
      </w:r>
      <w:r w:rsidR="000B2BB5">
        <w:rPr>
          <w:rFonts w:ascii="Book Antiqua" w:hAnsi="Book Antiqua" w:cstheme="minorHAnsi"/>
          <w:sz w:val="24"/>
          <w:szCs w:val="24"/>
        </w:rPr>
        <w:t xml:space="preserve"> factual premise </w:t>
      </w:r>
      <w:r w:rsidR="00457183">
        <w:rPr>
          <w:rFonts w:ascii="Book Antiqua" w:hAnsi="Book Antiqua" w:cstheme="minorHAnsi"/>
          <w:sz w:val="24"/>
          <w:szCs w:val="24"/>
        </w:rPr>
        <w:t xml:space="preserve">was </w:t>
      </w:r>
      <w:r w:rsidR="000B2BB5">
        <w:rPr>
          <w:rFonts w:ascii="Book Antiqua" w:hAnsi="Book Antiqua" w:cstheme="minorHAnsi"/>
          <w:sz w:val="24"/>
          <w:szCs w:val="24"/>
        </w:rPr>
        <w:t xml:space="preserve">rejected outright by the Tribunal, in findings which Mr </w:t>
      </w:r>
      <w:proofErr w:type="spellStart"/>
      <w:r w:rsidR="000B2BB5">
        <w:rPr>
          <w:rFonts w:ascii="Book Antiqua" w:hAnsi="Book Antiqua" w:cstheme="minorHAnsi"/>
          <w:sz w:val="24"/>
          <w:szCs w:val="24"/>
        </w:rPr>
        <w:t>Toal</w:t>
      </w:r>
      <w:proofErr w:type="spellEnd"/>
      <w:r w:rsidR="000B2BB5">
        <w:rPr>
          <w:rFonts w:ascii="Book Antiqua" w:hAnsi="Book Antiqua" w:cstheme="minorHAnsi"/>
          <w:sz w:val="24"/>
          <w:szCs w:val="24"/>
        </w:rPr>
        <w:t xml:space="preserve"> acknowledges were open to it on the evidence.</w:t>
      </w:r>
    </w:p>
    <w:p w14:paraId="20B7BDAE" w14:textId="77777777" w:rsidR="00F2797B" w:rsidRDefault="00F2797B" w:rsidP="00F2797B">
      <w:pPr>
        <w:pStyle w:val="ListParagraph"/>
        <w:rPr>
          <w:rFonts w:ascii="Book Antiqua" w:hAnsi="Book Antiqua" w:cstheme="minorHAnsi"/>
          <w:sz w:val="24"/>
          <w:szCs w:val="24"/>
        </w:rPr>
      </w:pPr>
    </w:p>
    <w:p w14:paraId="5323D539" w14:textId="232C0F3D" w:rsidR="00F2797B" w:rsidRDefault="00F2797B" w:rsidP="002F532B">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It is of course the case that the First-tier Tribunal could on these facts quite legitimately have concluded that SOC was no longer a danger to the community.   Even if he has continued to use class A drugs</w:t>
      </w:r>
      <w:r w:rsidR="0009007C">
        <w:rPr>
          <w:rFonts w:ascii="Book Antiqua" w:hAnsi="Book Antiqua" w:cstheme="minorHAnsi"/>
          <w:sz w:val="24"/>
          <w:szCs w:val="24"/>
        </w:rPr>
        <w:t>, an argument could be mounted to the effect that this harmed no-one but himself</w:t>
      </w:r>
      <w:r w:rsidR="00154FB1">
        <w:rPr>
          <w:rFonts w:ascii="Book Antiqua" w:hAnsi="Book Antiqua" w:cstheme="minorHAnsi"/>
          <w:sz w:val="24"/>
          <w:szCs w:val="24"/>
        </w:rPr>
        <w:t xml:space="preserve">. But this was not the </w:t>
      </w:r>
      <w:r w:rsidR="00012475">
        <w:rPr>
          <w:rFonts w:ascii="Book Antiqua" w:hAnsi="Book Antiqua" w:cstheme="minorHAnsi"/>
          <w:sz w:val="24"/>
          <w:szCs w:val="24"/>
        </w:rPr>
        <w:t>finding</w:t>
      </w:r>
      <w:r w:rsidR="00154FB1">
        <w:rPr>
          <w:rFonts w:ascii="Book Antiqua" w:hAnsi="Book Antiqua" w:cstheme="minorHAnsi"/>
          <w:sz w:val="24"/>
          <w:szCs w:val="24"/>
        </w:rPr>
        <w:t xml:space="preserve"> of the First-tier Tribunal, which instead drew </w:t>
      </w:r>
      <w:r w:rsidR="004E681F">
        <w:rPr>
          <w:rFonts w:ascii="Book Antiqua" w:hAnsi="Book Antiqua" w:cstheme="minorHAnsi"/>
          <w:sz w:val="24"/>
          <w:szCs w:val="24"/>
        </w:rPr>
        <w:t>two different conclusions from the facts as found</w:t>
      </w:r>
      <w:r w:rsidR="000D547A">
        <w:rPr>
          <w:rFonts w:ascii="Book Antiqua" w:hAnsi="Book Antiqua" w:cstheme="minorHAnsi"/>
          <w:sz w:val="24"/>
          <w:szCs w:val="24"/>
        </w:rPr>
        <w:t>. These were that</w:t>
      </w:r>
      <w:r w:rsidR="004E681F">
        <w:rPr>
          <w:rFonts w:ascii="Book Antiqua" w:hAnsi="Book Antiqua" w:cstheme="minorHAnsi"/>
          <w:sz w:val="24"/>
          <w:szCs w:val="24"/>
        </w:rPr>
        <w:t xml:space="preserve"> SOC’s continued use of drugs underpin</w:t>
      </w:r>
      <w:r w:rsidR="000D547A">
        <w:rPr>
          <w:rFonts w:ascii="Book Antiqua" w:hAnsi="Book Antiqua" w:cstheme="minorHAnsi"/>
          <w:sz w:val="24"/>
          <w:szCs w:val="24"/>
        </w:rPr>
        <w:t>ned</w:t>
      </w:r>
      <w:r w:rsidR="004E681F">
        <w:rPr>
          <w:rFonts w:ascii="Book Antiqua" w:hAnsi="Book Antiqua" w:cstheme="minorHAnsi"/>
          <w:sz w:val="24"/>
          <w:szCs w:val="24"/>
        </w:rPr>
        <w:t xml:space="preserve"> his ongoing </w:t>
      </w:r>
      <w:r w:rsidR="006C3469">
        <w:rPr>
          <w:rFonts w:ascii="Book Antiqua" w:hAnsi="Book Antiqua" w:cstheme="minorHAnsi"/>
          <w:sz w:val="24"/>
          <w:szCs w:val="24"/>
        </w:rPr>
        <w:t xml:space="preserve">risk of re-offending, and even if that “medium risk” was only of “acquisitive and drug-related offences” this </w:t>
      </w:r>
      <w:r w:rsidR="00387D17">
        <w:rPr>
          <w:rFonts w:ascii="Book Antiqua" w:hAnsi="Book Antiqua" w:cstheme="minorHAnsi"/>
          <w:sz w:val="24"/>
          <w:szCs w:val="24"/>
        </w:rPr>
        <w:t>remained a risk to society</w:t>
      </w:r>
      <w:r w:rsidR="000D547A">
        <w:rPr>
          <w:rFonts w:ascii="Book Antiqua" w:hAnsi="Book Antiqua" w:cstheme="minorHAnsi"/>
          <w:sz w:val="24"/>
          <w:szCs w:val="24"/>
        </w:rPr>
        <w:t>:</w:t>
      </w:r>
    </w:p>
    <w:p w14:paraId="0ABB9B6C" w14:textId="5A463A67" w:rsidR="000D547A" w:rsidRDefault="000D547A" w:rsidP="000D547A">
      <w:pPr>
        <w:pStyle w:val="ListParagraph"/>
        <w:rPr>
          <w:rFonts w:ascii="Book Antiqua" w:hAnsi="Book Antiqua" w:cstheme="minorHAnsi"/>
          <w:sz w:val="24"/>
          <w:szCs w:val="24"/>
        </w:rPr>
      </w:pPr>
    </w:p>
    <w:p w14:paraId="3EB64476" w14:textId="77777777" w:rsidR="009355AE" w:rsidRDefault="000D547A" w:rsidP="009355AE">
      <w:pPr>
        <w:pStyle w:val="ListParagraph"/>
        <w:ind w:left="1134" w:right="1134"/>
        <w:rPr>
          <w:rFonts w:ascii="Book Antiqua" w:hAnsi="Book Antiqua" w:cstheme="minorHAnsi"/>
          <w:sz w:val="24"/>
          <w:szCs w:val="24"/>
        </w:rPr>
      </w:pPr>
      <w:r>
        <w:rPr>
          <w:rFonts w:ascii="Book Antiqua" w:hAnsi="Book Antiqua" w:cstheme="minorHAnsi"/>
          <w:sz w:val="24"/>
          <w:szCs w:val="24"/>
        </w:rPr>
        <w:t>“The reason why sentences for dealing in drugs are high is because of the real and serious harm that such behaviour does to society in general. Lack of violent behaviour does not equate to a lack of harm”</w:t>
      </w:r>
      <w:r w:rsidR="009355AE">
        <w:rPr>
          <w:rFonts w:ascii="Book Antiqua" w:hAnsi="Book Antiqua" w:cstheme="minorHAnsi"/>
          <w:sz w:val="24"/>
          <w:szCs w:val="24"/>
        </w:rPr>
        <w:t xml:space="preserve"> </w:t>
      </w:r>
    </w:p>
    <w:p w14:paraId="070C59F0" w14:textId="77777777" w:rsidR="009355AE" w:rsidRDefault="009355AE" w:rsidP="000D547A">
      <w:pPr>
        <w:pStyle w:val="ListParagraph"/>
        <w:rPr>
          <w:rFonts w:ascii="Book Antiqua" w:hAnsi="Book Antiqua" w:cstheme="minorHAnsi"/>
          <w:sz w:val="24"/>
          <w:szCs w:val="24"/>
        </w:rPr>
      </w:pPr>
    </w:p>
    <w:p w14:paraId="533B55C9" w14:textId="7FE3031B" w:rsidR="000D547A" w:rsidRDefault="009355AE" w:rsidP="000D547A">
      <w:pPr>
        <w:pStyle w:val="ListParagraph"/>
        <w:rPr>
          <w:rFonts w:ascii="Book Antiqua" w:hAnsi="Book Antiqua" w:cstheme="minorHAnsi"/>
          <w:sz w:val="24"/>
          <w:szCs w:val="24"/>
        </w:rPr>
      </w:pPr>
      <w:r>
        <w:rPr>
          <w:rFonts w:ascii="Book Antiqua" w:hAnsi="Book Antiqua" w:cstheme="minorHAnsi"/>
          <w:sz w:val="24"/>
          <w:szCs w:val="24"/>
        </w:rPr>
        <w:t>[at FTT §35].</w:t>
      </w:r>
    </w:p>
    <w:p w14:paraId="2AACD067" w14:textId="77777777" w:rsidR="00406980" w:rsidRDefault="00406980" w:rsidP="00406980">
      <w:pPr>
        <w:tabs>
          <w:tab w:val="left" w:pos="567"/>
        </w:tabs>
        <w:spacing w:after="0" w:line="240" w:lineRule="auto"/>
        <w:ind w:left="567" w:right="567"/>
        <w:jc w:val="both"/>
        <w:rPr>
          <w:rFonts w:ascii="Book Antiqua" w:hAnsi="Book Antiqua" w:cstheme="minorHAnsi"/>
          <w:sz w:val="24"/>
          <w:szCs w:val="24"/>
        </w:rPr>
      </w:pPr>
    </w:p>
    <w:p w14:paraId="464CC8AE" w14:textId="5F463ADD" w:rsidR="000D547A" w:rsidRDefault="00406980" w:rsidP="002F532B">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 xml:space="preserve">I am unable to find legal fault with this reasoning. </w:t>
      </w:r>
      <w:r w:rsidR="00620E2A">
        <w:rPr>
          <w:rFonts w:ascii="Book Antiqua" w:hAnsi="Book Antiqua" w:cstheme="minorHAnsi"/>
          <w:sz w:val="24"/>
          <w:szCs w:val="24"/>
        </w:rPr>
        <w:t xml:space="preserve">  The passage of time since the index offence was only relevant to establishing that SOC </w:t>
      </w:r>
      <w:r w:rsidR="00D94DBE">
        <w:rPr>
          <w:rFonts w:ascii="Book Antiqua" w:hAnsi="Book Antiqua" w:cstheme="minorHAnsi"/>
          <w:sz w:val="24"/>
          <w:szCs w:val="24"/>
        </w:rPr>
        <w:t xml:space="preserve">today </w:t>
      </w:r>
      <w:r w:rsidR="00620E2A">
        <w:rPr>
          <w:rFonts w:ascii="Book Antiqua" w:hAnsi="Book Antiqua" w:cstheme="minorHAnsi"/>
          <w:sz w:val="24"/>
          <w:szCs w:val="24"/>
        </w:rPr>
        <w:t>f</w:t>
      </w:r>
      <w:r w:rsidR="00D94DBE">
        <w:rPr>
          <w:rFonts w:ascii="Book Antiqua" w:hAnsi="Book Antiqua" w:cstheme="minorHAnsi"/>
          <w:sz w:val="24"/>
          <w:szCs w:val="24"/>
        </w:rPr>
        <w:t>in</w:t>
      </w:r>
      <w:r w:rsidR="00620E2A">
        <w:rPr>
          <w:rFonts w:ascii="Book Antiqua" w:hAnsi="Book Antiqua" w:cstheme="minorHAnsi"/>
          <w:sz w:val="24"/>
          <w:szCs w:val="24"/>
        </w:rPr>
        <w:t>d</w:t>
      </w:r>
      <w:r w:rsidR="00D94DBE">
        <w:rPr>
          <w:rFonts w:ascii="Book Antiqua" w:hAnsi="Book Antiqua" w:cstheme="minorHAnsi"/>
          <w:sz w:val="24"/>
          <w:szCs w:val="24"/>
        </w:rPr>
        <w:t>s</w:t>
      </w:r>
      <w:r w:rsidR="00620E2A">
        <w:rPr>
          <w:rFonts w:ascii="Book Antiqua" w:hAnsi="Book Antiqua" w:cstheme="minorHAnsi"/>
          <w:sz w:val="24"/>
          <w:szCs w:val="24"/>
        </w:rPr>
        <w:t xml:space="preserve"> himself in materially different circumstances to those he was in when he committed the index offences. As the report of Dr </w:t>
      </w:r>
      <w:proofErr w:type="spellStart"/>
      <w:r w:rsidR="00620E2A">
        <w:rPr>
          <w:rFonts w:ascii="Book Antiqua" w:hAnsi="Book Antiqua" w:cstheme="minorHAnsi"/>
          <w:sz w:val="24"/>
          <w:szCs w:val="24"/>
        </w:rPr>
        <w:t>Cordwell</w:t>
      </w:r>
      <w:proofErr w:type="spellEnd"/>
      <w:r w:rsidR="00620E2A">
        <w:rPr>
          <w:rFonts w:ascii="Book Antiqua" w:hAnsi="Book Antiqua" w:cstheme="minorHAnsi"/>
          <w:sz w:val="24"/>
          <w:szCs w:val="24"/>
        </w:rPr>
        <w:t xml:space="preserve"> makes clear, the sad fact of the matter is that he is not. He </w:t>
      </w:r>
      <w:r w:rsidR="0062796D">
        <w:rPr>
          <w:rFonts w:ascii="Book Antiqua" w:hAnsi="Book Antiqua" w:cstheme="minorHAnsi"/>
          <w:sz w:val="24"/>
          <w:szCs w:val="24"/>
        </w:rPr>
        <w:t>remains traumatised by his life experiences; his position is precarious</w:t>
      </w:r>
      <w:r w:rsidR="00BF43B7">
        <w:rPr>
          <w:rFonts w:ascii="Book Antiqua" w:hAnsi="Book Antiqua" w:cstheme="minorHAnsi"/>
          <w:sz w:val="24"/>
          <w:szCs w:val="24"/>
        </w:rPr>
        <w:t>; he faces significant physical health challenges; he feels depressed</w:t>
      </w:r>
      <w:r w:rsidR="001E7C2D">
        <w:rPr>
          <w:rFonts w:ascii="Book Antiqua" w:hAnsi="Book Antiqua" w:cstheme="minorHAnsi"/>
          <w:sz w:val="24"/>
          <w:szCs w:val="24"/>
        </w:rPr>
        <w:t>, lonely</w:t>
      </w:r>
      <w:r w:rsidR="00BF43B7">
        <w:rPr>
          <w:rFonts w:ascii="Book Antiqua" w:hAnsi="Book Antiqua" w:cstheme="minorHAnsi"/>
          <w:sz w:val="24"/>
          <w:szCs w:val="24"/>
        </w:rPr>
        <w:t xml:space="preserve"> and anxious; he has failed to </w:t>
      </w:r>
      <w:r w:rsidR="00897F09">
        <w:rPr>
          <w:rFonts w:ascii="Book Antiqua" w:hAnsi="Book Antiqua" w:cstheme="minorHAnsi"/>
          <w:sz w:val="24"/>
          <w:szCs w:val="24"/>
        </w:rPr>
        <w:t>show that he is drug free.</w:t>
      </w:r>
      <w:r>
        <w:rPr>
          <w:rFonts w:ascii="Book Antiqua" w:hAnsi="Book Antiqua" w:cstheme="minorHAnsi"/>
          <w:sz w:val="24"/>
          <w:szCs w:val="24"/>
        </w:rPr>
        <w:t xml:space="preserve"> </w:t>
      </w:r>
      <w:r w:rsidR="00C737AF">
        <w:rPr>
          <w:rFonts w:ascii="Book Antiqua" w:hAnsi="Book Antiqua" w:cstheme="minorHAnsi"/>
          <w:sz w:val="24"/>
          <w:szCs w:val="24"/>
        </w:rPr>
        <w:t xml:space="preserve"> </w:t>
      </w:r>
      <w:r w:rsidR="0063564A">
        <w:rPr>
          <w:rFonts w:ascii="Book Antiqua" w:hAnsi="Book Antiqua" w:cstheme="minorHAnsi"/>
          <w:sz w:val="24"/>
          <w:szCs w:val="24"/>
        </w:rPr>
        <w:t xml:space="preserve">That was what led Dr </w:t>
      </w:r>
      <w:proofErr w:type="spellStart"/>
      <w:r w:rsidR="0063564A">
        <w:rPr>
          <w:rFonts w:ascii="Book Antiqua" w:hAnsi="Book Antiqua" w:cstheme="minorHAnsi"/>
          <w:sz w:val="24"/>
          <w:szCs w:val="24"/>
        </w:rPr>
        <w:t>Cordwell</w:t>
      </w:r>
      <w:proofErr w:type="spellEnd"/>
      <w:r w:rsidR="0063564A">
        <w:rPr>
          <w:rFonts w:ascii="Book Antiqua" w:hAnsi="Book Antiqua" w:cstheme="minorHAnsi"/>
          <w:sz w:val="24"/>
          <w:szCs w:val="24"/>
        </w:rPr>
        <w:t xml:space="preserve"> to conclude that SOC continues to present a medium risk of offending, a finding that the Tribunal was plainly entitled to attach weight to in reaching its conclusions. I find no error in its approach.</w:t>
      </w:r>
    </w:p>
    <w:p w14:paraId="7410FA51" w14:textId="77777777" w:rsidR="002A5E33" w:rsidRDefault="002A5E33" w:rsidP="001F2B40">
      <w:pPr>
        <w:tabs>
          <w:tab w:val="left" w:pos="567"/>
        </w:tabs>
        <w:spacing w:after="0" w:line="240" w:lineRule="auto"/>
        <w:ind w:left="567" w:right="567"/>
        <w:jc w:val="both"/>
        <w:rPr>
          <w:rFonts w:ascii="Book Antiqua" w:hAnsi="Book Antiqua" w:cstheme="minorHAnsi"/>
          <w:b/>
          <w:bCs/>
          <w:sz w:val="24"/>
          <w:szCs w:val="24"/>
        </w:rPr>
      </w:pPr>
    </w:p>
    <w:p w14:paraId="245FC729" w14:textId="0C8F648C" w:rsidR="001F2B40" w:rsidRPr="001A4A09" w:rsidRDefault="001F2B40" w:rsidP="001F2B40">
      <w:pPr>
        <w:tabs>
          <w:tab w:val="left" w:pos="567"/>
        </w:tabs>
        <w:spacing w:after="0" w:line="240" w:lineRule="auto"/>
        <w:ind w:left="567" w:right="567"/>
        <w:jc w:val="both"/>
        <w:rPr>
          <w:rFonts w:ascii="Book Antiqua" w:hAnsi="Book Antiqua" w:cstheme="minorHAnsi"/>
          <w:b/>
          <w:bCs/>
          <w:sz w:val="24"/>
          <w:szCs w:val="24"/>
        </w:rPr>
      </w:pPr>
      <w:r w:rsidRPr="001A4A09">
        <w:rPr>
          <w:rFonts w:ascii="Book Antiqua" w:hAnsi="Book Antiqua" w:cstheme="minorHAnsi"/>
          <w:b/>
          <w:bCs/>
          <w:sz w:val="24"/>
          <w:szCs w:val="24"/>
        </w:rPr>
        <w:t>Decisions</w:t>
      </w:r>
    </w:p>
    <w:p w14:paraId="7E71BF07" w14:textId="77777777" w:rsidR="001F2B40" w:rsidRDefault="001F2B40" w:rsidP="001F2B40">
      <w:pPr>
        <w:tabs>
          <w:tab w:val="left" w:pos="567"/>
        </w:tabs>
        <w:spacing w:after="0" w:line="240" w:lineRule="auto"/>
        <w:ind w:left="567" w:right="567"/>
        <w:jc w:val="both"/>
        <w:rPr>
          <w:rFonts w:ascii="Book Antiqua" w:hAnsi="Book Antiqua" w:cstheme="minorHAnsi"/>
          <w:sz w:val="24"/>
          <w:szCs w:val="24"/>
        </w:rPr>
      </w:pPr>
    </w:p>
    <w:p w14:paraId="0C43F700" w14:textId="04124DA6" w:rsidR="001C4FC3" w:rsidRPr="002A5E33" w:rsidRDefault="00547866" w:rsidP="001F2B40">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sidRPr="001F2B40">
        <w:rPr>
          <w:rFonts w:ascii="Book Antiqua" w:hAnsi="Book Antiqua" w:cs="Arial"/>
          <w:sz w:val="24"/>
          <w:szCs w:val="24"/>
        </w:rPr>
        <w:lastRenderedPageBreak/>
        <w:t xml:space="preserve">The determination of the First-tier Tribunal contains </w:t>
      </w:r>
      <w:r w:rsidR="002A5E33">
        <w:rPr>
          <w:rFonts w:ascii="Book Antiqua" w:hAnsi="Book Antiqua" w:cs="Arial"/>
          <w:sz w:val="24"/>
          <w:szCs w:val="24"/>
        </w:rPr>
        <w:t xml:space="preserve">no </w:t>
      </w:r>
      <w:r w:rsidRPr="001F2B40">
        <w:rPr>
          <w:rFonts w:ascii="Book Antiqua" w:hAnsi="Book Antiqua" w:cs="Arial"/>
          <w:sz w:val="24"/>
          <w:szCs w:val="24"/>
        </w:rPr>
        <w:t>error of law and it is</w:t>
      </w:r>
      <w:r w:rsidR="002A5E33">
        <w:rPr>
          <w:rFonts w:ascii="Book Antiqua" w:hAnsi="Book Antiqua" w:cs="Arial"/>
          <w:sz w:val="24"/>
          <w:szCs w:val="24"/>
        </w:rPr>
        <w:t xml:space="preserve"> upheld.</w:t>
      </w:r>
    </w:p>
    <w:p w14:paraId="6642ED63" w14:textId="77777777" w:rsidR="002A5E33" w:rsidRPr="002A5E33" w:rsidRDefault="002A5E33" w:rsidP="002A5E33">
      <w:pPr>
        <w:tabs>
          <w:tab w:val="left" w:pos="567"/>
        </w:tabs>
        <w:spacing w:after="0" w:line="240" w:lineRule="auto"/>
        <w:ind w:left="567" w:right="567"/>
        <w:jc w:val="both"/>
        <w:rPr>
          <w:rFonts w:ascii="Book Antiqua" w:hAnsi="Book Antiqua" w:cstheme="minorHAnsi"/>
          <w:sz w:val="24"/>
          <w:szCs w:val="24"/>
        </w:rPr>
      </w:pPr>
    </w:p>
    <w:p w14:paraId="4D399941" w14:textId="54C95ABB" w:rsidR="002A5E33" w:rsidRPr="002A5E33" w:rsidRDefault="002A5E33" w:rsidP="001F2B40">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Arial"/>
          <w:sz w:val="24"/>
          <w:szCs w:val="24"/>
        </w:rPr>
        <w:t xml:space="preserve">The appeal of SOC, and the cross appeal of the Secretary of State, are both dismissed.  </w:t>
      </w:r>
    </w:p>
    <w:p w14:paraId="51368BD9" w14:textId="77777777" w:rsidR="001A4A09" w:rsidRPr="001A4A09" w:rsidRDefault="001A4A09" w:rsidP="001A4A09">
      <w:pPr>
        <w:tabs>
          <w:tab w:val="left" w:pos="567"/>
        </w:tabs>
        <w:spacing w:after="0" w:line="240" w:lineRule="auto"/>
        <w:ind w:left="567" w:right="567"/>
        <w:jc w:val="both"/>
        <w:rPr>
          <w:rFonts w:ascii="Book Antiqua" w:hAnsi="Book Antiqua" w:cstheme="minorHAnsi"/>
          <w:sz w:val="24"/>
          <w:szCs w:val="24"/>
        </w:rPr>
      </w:pPr>
    </w:p>
    <w:p w14:paraId="6E62C9EC" w14:textId="11A337FB" w:rsidR="001A4A09" w:rsidRPr="001A4A09" w:rsidRDefault="001A4A09" w:rsidP="001A4A09">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sidRPr="001A4A09">
        <w:rPr>
          <w:rFonts w:ascii="Book Antiqua" w:hAnsi="Book Antiqua" w:cs="Arial"/>
          <w:sz w:val="24"/>
          <w:szCs w:val="24"/>
        </w:rPr>
        <w:t>This appeal concerns a claim for protection</w:t>
      </w:r>
      <w:r w:rsidR="002C2478">
        <w:rPr>
          <w:rFonts w:ascii="Book Antiqua" w:hAnsi="Book Antiqua" w:cs="Arial"/>
          <w:sz w:val="24"/>
          <w:szCs w:val="24"/>
        </w:rPr>
        <w:t>, and my decision reveals matters relating to the health of SOC</w:t>
      </w:r>
      <w:r w:rsidRPr="001A4A09">
        <w:rPr>
          <w:rFonts w:ascii="Book Antiqua" w:hAnsi="Book Antiqua" w:cs="Arial"/>
          <w:sz w:val="24"/>
          <w:szCs w:val="24"/>
        </w:rPr>
        <w:t xml:space="preserve">.  Having had regard to Rule 14 of the Tribunal Procedure (Upper Tribunal) Rules 2008 and the Presidential Guidance Note No 1 of 2013: Anonymity Orders I therefore consider it appropriate to make an order in the following terms: </w:t>
      </w:r>
    </w:p>
    <w:p w14:paraId="5EE94D48" w14:textId="77777777" w:rsidR="001A4A09" w:rsidRPr="001A4A09" w:rsidRDefault="001A4A09" w:rsidP="009E5250">
      <w:pPr>
        <w:ind w:left="1080" w:right="1134"/>
        <w:jc w:val="both"/>
        <w:rPr>
          <w:rFonts w:ascii="Book Antiqua" w:hAnsi="Book Antiqua" w:cs="Arial"/>
          <w:sz w:val="24"/>
          <w:szCs w:val="24"/>
        </w:rPr>
      </w:pPr>
    </w:p>
    <w:p w14:paraId="3746A863" w14:textId="77777777" w:rsidR="001A4A09" w:rsidRPr="001A4A09" w:rsidRDefault="001A4A09" w:rsidP="009E5250">
      <w:pPr>
        <w:ind w:left="1080" w:right="1134"/>
        <w:jc w:val="both"/>
        <w:rPr>
          <w:rFonts w:ascii="Book Antiqua" w:hAnsi="Book Antiqua"/>
          <w:sz w:val="24"/>
          <w:szCs w:val="24"/>
        </w:rPr>
      </w:pPr>
      <w:r w:rsidRPr="001A4A09">
        <w:rPr>
          <w:rFonts w:ascii="Book Antiqua" w:hAnsi="Book Antiqua"/>
          <w:sz w:val="24"/>
          <w:szCs w:val="24"/>
        </w:rPr>
        <w:t xml:space="preserve"> “Unless and until a tribunal or court directs otherwise, the Appellant is granted anonymity.  No report of these proceedings shall directly or indirectly identify him or any member of his family.  This direction applies to, amongst others, both the Appellant and the Respondent.  Failure to comply with this direction could lead to contempt of court proceedings”</w:t>
      </w:r>
    </w:p>
    <w:p w14:paraId="42104A86" w14:textId="2BFA8B25" w:rsidR="001A4A09" w:rsidRDefault="001A4A09" w:rsidP="001A4A09">
      <w:pPr>
        <w:tabs>
          <w:tab w:val="left" w:pos="567"/>
        </w:tabs>
        <w:spacing w:after="0" w:line="240" w:lineRule="auto"/>
        <w:ind w:left="567" w:right="567"/>
        <w:jc w:val="both"/>
        <w:rPr>
          <w:rFonts w:ascii="Book Antiqua" w:hAnsi="Book Antiqua" w:cstheme="minorHAnsi"/>
          <w:sz w:val="24"/>
          <w:szCs w:val="24"/>
        </w:rPr>
      </w:pPr>
    </w:p>
    <w:p w14:paraId="0D4DAFF6" w14:textId="77777777" w:rsidR="004D1F2B" w:rsidRDefault="004D1F2B" w:rsidP="002C2478">
      <w:pPr>
        <w:spacing w:before="240" w:after="100" w:afterAutospacing="1"/>
        <w:jc w:val="right"/>
        <w:rPr>
          <w:rFonts w:ascii="Book Antiqua" w:hAnsi="Book Antiqua" w:cs="Arial"/>
        </w:rPr>
      </w:pPr>
    </w:p>
    <w:p w14:paraId="5331693D" w14:textId="734DDE15" w:rsidR="004C72E6" w:rsidRPr="00E1532F" w:rsidRDefault="004C72E6" w:rsidP="004C72E6">
      <w:pPr>
        <w:spacing w:before="240" w:after="100" w:afterAutospacing="1"/>
        <w:jc w:val="right"/>
        <w:rPr>
          <w:rFonts w:ascii="Book Antiqua" w:hAnsi="Book Antiqua" w:cs="Arial"/>
          <w:sz w:val="24"/>
          <w:szCs w:val="24"/>
        </w:rPr>
      </w:pPr>
      <w:r w:rsidRPr="00E1532F">
        <w:rPr>
          <w:rFonts w:ascii="Book Antiqua" w:hAnsi="Book Antiqua" w:cs="Arial"/>
          <w:sz w:val="24"/>
          <w:szCs w:val="24"/>
        </w:rPr>
        <w:t>Upper Tribunal Judge Bruce</w:t>
      </w:r>
    </w:p>
    <w:p w14:paraId="2A97A694" w14:textId="5AF8AB43" w:rsidR="00E32B11" w:rsidRPr="00E1532F" w:rsidRDefault="002C2478" w:rsidP="002C2478">
      <w:pPr>
        <w:spacing w:before="240" w:after="100" w:afterAutospacing="1"/>
        <w:jc w:val="right"/>
        <w:rPr>
          <w:rFonts w:ascii="Book Antiqua" w:hAnsi="Book Antiqua" w:cs="Arial"/>
          <w:sz w:val="24"/>
          <w:szCs w:val="24"/>
        </w:rPr>
      </w:pPr>
      <w:r w:rsidRPr="00E1532F">
        <w:rPr>
          <w:rFonts w:ascii="Book Antiqua" w:hAnsi="Book Antiqua" w:cs="Arial"/>
          <w:sz w:val="24"/>
          <w:szCs w:val="24"/>
        </w:rPr>
        <w:t>20</w:t>
      </w:r>
      <w:r w:rsidR="00E32B11" w:rsidRPr="00E1532F">
        <w:rPr>
          <w:rFonts w:ascii="Book Antiqua" w:hAnsi="Book Antiqua" w:cs="Arial"/>
          <w:sz w:val="24"/>
          <w:szCs w:val="24"/>
          <w:vertAlign w:val="superscript"/>
        </w:rPr>
        <w:t>th</w:t>
      </w:r>
      <w:r w:rsidR="00E32B11" w:rsidRPr="00E1532F">
        <w:rPr>
          <w:rFonts w:ascii="Book Antiqua" w:hAnsi="Book Antiqua" w:cs="Arial"/>
          <w:sz w:val="24"/>
          <w:szCs w:val="24"/>
        </w:rPr>
        <w:t xml:space="preserve"> November 2020</w:t>
      </w:r>
    </w:p>
    <w:p w14:paraId="5DEEB1A6" w14:textId="7DDD21F7" w:rsidR="004C72E6" w:rsidRPr="002A71E1" w:rsidRDefault="004C72E6" w:rsidP="004C72E6">
      <w:pPr>
        <w:spacing w:before="240" w:after="100" w:afterAutospacing="1"/>
        <w:jc w:val="right"/>
        <w:rPr>
          <w:rFonts w:ascii="Book Antiqua" w:hAnsi="Book Antiqua"/>
          <w:sz w:val="24"/>
          <w:szCs w:val="24"/>
        </w:rPr>
      </w:pPr>
      <w:r>
        <w:rPr>
          <w:rFonts w:ascii="Book Antiqua" w:hAnsi="Book Antiqua" w:cs="Arial"/>
        </w:rPr>
        <w:t xml:space="preserve"> </w:t>
      </w:r>
    </w:p>
    <w:p w14:paraId="59340D6A" w14:textId="37518386" w:rsidR="002A71E1" w:rsidRPr="002A71E1" w:rsidRDefault="002A71E1" w:rsidP="00111846">
      <w:pPr>
        <w:tabs>
          <w:tab w:val="left" w:pos="567"/>
        </w:tabs>
        <w:ind w:left="720"/>
        <w:jc w:val="center"/>
        <w:rPr>
          <w:rFonts w:ascii="Book Antiqua" w:hAnsi="Book Antiqua"/>
          <w:sz w:val="24"/>
          <w:szCs w:val="24"/>
        </w:rPr>
      </w:pPr>
    </w:p>
    <w:sectPr w:rsidR="002A71E1" w:rsidRPr="002A71E1" w:rsidSect="00E91E78">
      <w:headerReference w:type="default" r:id="rId9"/>
      <w:footerReference w:type="default" r:id="rId10"/>
      <w:footerReference w:type="first" r:id="rId11"/>
      <w:pgSz w:w="11906" w:h="16838"/>
      <w:pgMar w:top="851"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3FB9A" w14:textId="77777777" w:rsidR="000E364D" w:rsidRDefault="000E364D" w:rsidP="00146FC3">
      <w:pPr>
        <w:spacing w:after="0" w:line="240" w:lineRule="auto"/>
      </w:pPr>
      <w:r>
        <w:separator/>
      </w:r>
    </w:p>
  </w:endnote>
  <w:endnote w:type="continuationSeparator" w:id="0">
    <w:p w14:paraId="1D0E7F27" w14:textId="77777777" w:rsidR="000E364D" w:rsidRDefault="000E364D" w:rsidP="00146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altName w:val="Lucida Grande"/>
    <w:charset w:val="00"/>
    <w:family w:val="auto"/>
    <w:pitch w:val="variable"/>
    <w:sig w:usb0="00000000" w:usb1="5000A1FF" w:usb2="00000000" w:usb3="00000000" w:csb0="000001BF" w:csb1="00000000"/>
  </w:font>
  <w:font w:name="MS ??">
    <w:altName w:val="Arial Unicode MS"/>
    <w:panose1 w:val="00000000000000000000"/>
    <w:charset w:val="80"/>
    <w:family w:val="auto"/>
    <w:notTrueType/>
    <w:pitch w:val="variable"/>
    <w:sig w:usb0="00000001" w:usb1="08070000" w:usb2="00000010" w:usb3="00000000" w:csb0="00020000" w:csb1="00000000"/>
  </w:font>
  <w:font w:name="Times">
    <w:altName w:val="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4"/>
        <w:szCs w:val="24"/>
      </w:rPr>
      <w:id w:val="-476531638"/>
      <w:docPartObj>
        <w:docPartGallery w:val="Page Numbers (Bottom of Page)"/>
        <w:docPartUnique/>
      </w:docPartObj>
    </w:sdtPr>
    <w:sdtEndPr>
      <w:rPr>
        <w:noProof/>
      </w:rPr>
    </w:sdtEndPr>
    <w:sdtContent>
      <w:p w14:paraId="27EF6084" w14:textId="012E8C66" w:rsidR="00E91E78" w:rsidRPr="00E1532F" w:rsidRDefault="00E91E78">
        <w:pPr>
          <w:pStyle w:val="Footer"/>
          <w:jc w:val="center"/>
          <w:rPr>
            <w:rFonts w:ascii="Book Antiqua" w:hAnsi="Book Antiqua"/>
            <w:sz w:val="24"/>
            <w:szCs w:val="24"/>
          </w:rPr>
        </w:pPr>
        <w:r w:rsidRPr="00E1532F">
          <w:rPr>
            <w:rFonts w:ascii="Book Antiqua" w:hAnsi="Book Antiqua"/>
            <w:sz w:val="24"/>
            <w:szCs w:val="24"/>
          </w:rPr>
          <w:fldChar w:fldCharType="begin"/>
        </w:r>
        <w:r w:rsidRPr="00E1532F">
          <w:rPr>
            <w:rFonts w:ascii="Book Antiqua" w:hAnsi="Book Antiqua"/>
            <w:sz w:val="24"/>
            <w:szCs w:val="24"/>
          </w:rPr>
          <w:instrText xml:space="preserve"> PAGE   \* MERGEFORMAT </w:instrText>
        </w:r>
        <w:r w:rsidRPr="00E1532F">
          <w:rPr>
            <w:rFonts w:ascii="Book Antiqua" w:hAnsi="Book Antiqua"/>
            <w:sz w:val="24"/>
            <w:szCs w:val="24"/>
          </w:rPr>
          <w:fldChar w:fldCharType="separate"/>
        </w:r>
        <w:r w:rsidRPr="00E1532F">
          <w:rPr>
            <w:rFonts w:ascii="Book Antiqua" w:hAnsi="Book Antiqua"/>
            <w:noProof/>
            <w:sz w:val="24"/>
            <w:szCs w:val="24"/>
          </w:rPr>
          <w:t>2</w:t>
        </w:r>
        <w:r w:rsidRPr="00E1532F">
          <w:rPr>
            <w:rFonts w:ascii="Book Antiqua" w:hAnsi="Book Antiqua"/>
            <w:noProof/>
            <w:sz w:val="24"/>
            <w:szCs w:val="24"/>
          </w:rPr>
          <w:fldChar w:fldCharType="end"/>
        </w:r>
      </w:p>
    </w:sdtContent>
  </w:sdt>
  <w:p w14:paraId="1779AB76" w14:textId="39310090" w:rsidR="008E0BE1" w:rsidRPr="00E91E78" w:rsidRDefault="008E0BE1" w:rsidP="00E91E78">
    <w:pPr>
      <w:pStyle w:val="Footer"/>
      <w:tabs>
        <w:tab w:val="clear" w:pos="4513"/>
        <w:tab w:val="clear" w:pos="9026"/>
        <w:tab w:val="left" w:pos="5130"/>
      </w:tabs>
      <w:jc w:val="center"/>
      <w:rPr>
        <w:rFonts w:ascii="Book Antiqua" w:hAnsi="Book Antiqua"/>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41FDB" w14:textId="73216415" w:rsidR="00E91E78" w:rsidRPr="00E1532F" w:rsidRDefault="00E91E78" w:rsidP="00E91E78">
    <w:pPr>
      <w:pStyle w:val="Footer"/>
      <w:jc w:val="center"/>
      <w:rPr>
        <w:rFonts w:ascii="Book Antiqua" w:hAnsi="Book Antiqua"/>
        <w:b/>
        <w:sz w:val="24"/>
        <w:szCs w:val="24"/>
      </w:rPr>
    </w:pPr>
    <w:r w:rsidRPr="00E1532F">
      <w:rPr>
        <w:rFonts w:ascii="Book Antiqua" w:hAnsi="Book Antiqua" w:cs="Calibri"/>
        <w:b/>
        <w:sz w:val="24"/>
        <w:szCs w:val="24"/>
      </w:rPr>
      <w:t>©</w:t>
    </w:r>
    <w:r w:rsidRPr="00E1532F">
      <w:rPr>
        <w:rFonts w:ascii="Book Antiqua" w:hAnsi="Book Antiqua"/>
        <w:b/>
        <w:sz w:val="24"/>
        <w:szCs w:val="24"/>
      </w:rPr>
      <w:t>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021A7" w14:textId="77777777" w:rsidR="000E364D" w:rsidRDefault="000E364D" w:rsidP="00146FC3">
      <w:pPr>
        <w:spacing w:after="0" w:line="240" w:lineRule="auto"/>
      </w:pPr>
      <w:r>
        <w:separator/>
      </w:r>
    </w:p>
  </w:footnote>
  <w:footnote w:type="continuationSeparator" w:id="0">
    <w:p w14:paraId="6E8C03CA" w14:textId="77777777" w:rsidR="000E364D" w:rsidRDefault="000E364D" w:rsidP="00146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1280F" w14:textId="082AC3C1" w:rsidR="009E5250" w:rsidRDefault="00E1532F" w:rsidP="008E0BE1">
    <w:pPr>
      <w:pStyle w:val="Header"/>
      <w:jc w:val="right"/>
      <w:rPr>
        <w:rFonts w:ascii="Book Antiqua" w:hAnsi="Book Antiqua"/>
        <w:sz w:val="16"/>
        <w:szCs w:val="16"/>
      </w:rPr>
    </w:pPr>
    <w:r>
      <w:rPr>
        <w:rFonts w:ascii="Book Antiqua" w:hAnsi="Book Antiqua"/>
        <w:sz w:val="16"/>
        <w:szCs w:val="16"/>
      </w:rPr>
      <w:t xml:space="preserve">Appeal Number: </w:t>
    </w:r>
    <w:r w:rsidR="008E0BE1" w:rsidRPr="00E1532F">
      <w:rPr>
        <w:rFonts w:ascii="Book Antiqua" w:hAnsi="Book Antiqua"/>
        <w:sz w:val="16"/>
        <w:szCs w:val="16"/>
      </w:rPr>
      <w:t>PA/10727/2019</w:t>
    </w:r>
  </w:p>
  <w:p w14:paraId="6BA48739" w14:textId="77777777" w:rsidR="00E1532F" w:rsidRPr="00E1532F" w:rsidRDefault="00E1532F" w:rsidP="008E0BE1">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24E"/>
    <w:multiLevelType w:val="hybridMultilevel"/>
    <w:tmpl w:val="1FAC8690"/>
    <w:lvl w:ilvl="0" w:tplc="9478559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1FE13A3"/>
    <w:multiLevelType w:val="hybridMultilevel"/>
    <w:tmpl w:val="80DE359E"/>
    <w:lvl w:ilvl="0" w:tplc="9346740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05113A"/>
    <w:multiLevelType w:val="hybridMultilevel"/>
    <w:tmpl w:val="5E427FE0"/>
    <w:lvl w:ilvl="0" w:tplc="DA883A84">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3" w15:restartNumberingAfterBreak="0">
    <w:nsid w:val="188B5007"/>
    <w:multiLevelType w:val="hybridMultilevel"/>
    <w:tmpl w:val="3322F0E8"/>
    <w:lvl w:ilvl="0" w:tplc="A46AE6A6">
      <w:start w:val="1"/>
      <w:numFmt w:val="lowerRoman"/>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4" w15:restartNumberingAfterBreak="0">
    <w:nsid w:val="1B136C2A"/>
    <w:multiLevelType w:val="hybridMultilevel"/>
    <w:tmpl w:val="52C0FB1C"/>
    <w:lvl w:ilvl="0" w:tplc="D9E2459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DB6047A"/>
    <w:multiLevelType w:val="hybridMultilevel"/>
    <w:tmpl w:val="5AFA880A"/>
    <w:lvl w:ilvl="0" w:tplc="DE3EA3C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6" w15:restartNumberingAfterBreak="0">
    <w:nsid w:val="20B45A65"/>
    <w:multiLevelType w:val="hybridMultilevel"/>
    <w:tmpl w:val="4DB6C0F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7" w15:restartNumberingAfterBreak="0">
    <w:nsid w:val="253061D3"/>
    <w:multiLevelType w:val="hybridMultilevel"/>
    <w:tmpl w:val="49B4F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24D031F"/>
    <w:multiLevelType w:val="hybridMultilevel"/>
    <w:tmpl w:val="C7886150"/>
    <w:lvl w:ilvl="0" w:tplc="32427C7A">
      <w:start w:val="1"/>
      <w:numFmt w:val="lowerRoman"/>
      <w:lvlText w:val="%1)"/>
      <w:lvlJc w:val="left"/>
      <w:pPr>
        <w:ind w:left="2007" w:hanging="72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0" w15:restartNumberingAfterBreak="0">
    <w:nsid w:val="33F926BE"/>
    <w:multiLevelType w:val="hybridMultilevel"/>
    <w:tmpl w:val="6CA2FB30"/>
    <w:lvl w:ilvl="0" w:tplc="A1E2F6A2">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38763595"/>
    <w:multiLevelType w:val="hybridMultilevel"/>
    <w:tmpl w:val="C5746BA4"/>
    <w:lvl w:ilvl="0" w:tplc="EE7489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D9F5097"/>
    <w:multiLevelType w:val="hybridMultilevel"/>
    <w:tmpl w:val="1D00FAFC"/>
    <w:lvl w:ilvl="0" w:tplc="865C1ED4">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3" w15:restartNumberingAfterBreak="0">
    <w:nsid w:val="3EEC11CA"/>
    <w:multiLevelType w:val="hybridMultilevel"/>
    <w:tmpl w:val="86EEE5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42463FF3"/>
    <w:multiLevelType w:val="hybridMultilevel"/>
    <w:tmpl w:val="D220D388"/>
    <w:lvl w:ilvl="0" w:tplc="E9921026">
      <w:start w:val="1"/>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 w15:restartNumberingAfterBreak="0">
    <w:nsid w:val="4A7810E7"/>
    <w:multiLevelType w:val="hybridMultilevel"/>
    <w:tmpl w:val="82F2F056"/>
    <w:lvl w:ilvl="0" w:tplc="3E0A949A">
      <w:start w:val="1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50E3574C"/>
    <w:multiLevelType w:val="hybridMultilevel"/>
    <w:tmpl w:val="71B6E310"/>
    <w:lvl w:ilvl="0" w:tplc="29E21A2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7" w15:restartNumberingAfterBreak="0">
    <w:nsid w:val="564023F7"/>
    <w:multiLevelType w:val="hybridMultilevel"/>
    <w:tmpl w:val="86968848"/>
    <w:lvl w:ilvl="0" w:tplc="6604FC38">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8" w15:restartNumberingAfterBreak="0">
    <w:nsid w:val="5D1A7227"/>
    <w:multiLevelType w:val="hybridMultilevel"/>
    <w:tmpl w:val="C94294C4"/>
    <w:lvl w:ilvl="0" w:tplc="98DA55C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616F2F5D"/>
    <w:multiLevelType w:val="hybridMultilevel"/>
    <w:tmpl w:val="F1DADF04"/>
    <w:lvl w:ilvl="0" w:tplc="9C22576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0" w15:restartNumberingAfterBreak="0">
    <w:nsid w:val="69FF1D12"/>
    <w:multiLevelType w:val="hybridMultilevel"/>
    <w:tmpl w:val="F7D8A20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6C0D0868"/>
    <w:multiLevelType w:val="hybridMultilevel"/>
    <w:tmpl w:val="EE8032AA"/>
    <w:lvl w:ilvl="0" w:tplc="945AAED0">
      <w:start w:val="60"/>
      <w:numFmt w:val="decimal"/>
      <w:lvlText w:val="%1."/>
      <w:lvlJc w:val="left"/>
      <w:pPr>
        <w:ind w:left="1854" w:hanging="360"/>
      </w:pPr>
      <w:rPr>
        <w:rFonts w:cs="Arial"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2" w15:restartNumberingAfterBreak="0">
    <w:nsid w:val="6E074C16"/>
    <w:multiLevelType w:val="hybridMultilevel"/>
    <w:tmpl w:val="E4EE0A76"/>
    <w:lvl w:ilvl="0" w:tplc="15AA82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3694543"/>
    <w:multiLevelType w:val="hybridMultilevel"/>
    <w:tmpl w:val="C02A99E0"/>
    <w:lvl w:ilvl="0" w:tplc="940289A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4261DC3"/>
    <w:multiLevelType w:val="hybridMultilevel"/>
    <w:tmpl w:val="464C3CCA"/>
    <w:lvl w:ilvl="0" w:tplc="31EA451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5" w15:restartNumberingAfterBreak="0">
    <w:nsid w:val="74327556"/>
    <w:multiLevelType w:val="hybridMultilevel"/>
    <w:tmpl w:val="26D2B4EA"/>
    <w:lvl w:ilvl="0" w:tplc="7A22FD2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754D6A60"/>
    <w:multiLevelType w:val="hybridMultilevel"/>
    <w:tmpl w:val="DE3E9E00"/>
    <w:lvl w:ilvl="0" w:tplc="D528F06C">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7" w15:restartNumberingAfterBreak="0">
    <w:nsid w:val="75F87406"/>
    <w:multiLevelType w:val="hybridMultilevel"/>
    <w:tmpl w:val="B86464E6"/>
    <w:lvl w:ilvl="0" w:tplc="DA220AC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8" w15:restartNumberingAfterBreak="0">
    <w:nsid w:val="78AE0CFC"/>
    <w:multiLevelType w:val="hybridMultilevel"/>
    <w:tmpl w:val="B94E654A"/>
    <w:lvl w:ilvl="0" w:tplc="BB82F73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78D1460A"/>
    <w:multiLevelType w:val="hybridMultilevel"/>
    <w:tmpl w:val="D6C618E0"/>
    <w:lvl w:ilvl="0" w:tplc="471096E8">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30" w15:restartNumberingAfterBreak="0">
    <w:nsid w:val="7F496802"/>
    <w:multiLevelType w:val="hybridMultilevel"/>
    <w:tmpl w:val="874627BE"/>
    <w:lvl w:ilvl="0" w:tplc="05FC1554">
      <w:start w:val="431"/>
      <w:numFmt w:val="decimal"/>
      <w:lvlText w:val="%1."/>
      <w:lvlJc w:val="left"/>
      <w:pPr>
        <w:ind w:left="951" w:hanging="384"/>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7"/>
  </w:num>
  <w:num w:numId="2">
    <w:abstractNumId w:val="22"/>
  </w:num>
  <w:num w:numId="3">
    <w:abstractNumId w:val="1"/>
  </w:num>
  <w:num w:numId="4">
    <w:abstractNumId w:val="23"/>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3"/>
  </w:num>
  <w:num w:numId="8">
    <w:abstractNumId w:val="15"/>
  </w:num>
  <w:num w:numId="9">
    <w:abstractNumId w:val="8"/>
  </w:num>
  <w:num w:numId="10">
    <w:abstractNumId w:val="21"/>
  </w:num>
  <w:num w:numId="11">
    <w:abstractNumId w:val="29"/>
  </w:num>
  <w:num w:numId="12">
    <w:abstractNumId w:val="12"/>
  </w:num>
  <w:num w:numId="13">
    <w:abstractNumId w:val="17"/>
  </w:num>
  <w:num w:numId="14">
    <w:abstractNumId w:val="11"/>
  </w:num>
  <w:num w:numId="15">
    <w:abstractNumId w:val="14"/>
  </w:num>
  <w:num w:numId="16">
    <w:abstractNumId w:val="9"/>
  </w:num>
  <w:num w:numId="17">
    <w:abstractNumId w:val="16"/>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6"/>
  </w:num>
  <w:num w:numId="21">
    <w:abstractNumId w:val="0"/>
  </w:num>
  <w:num w:numId="22">
    <w:abstractNumId w:val="4"/>
  </w:num>
  <w:num w:numId="23">
    <w:abstractNumId w:val="10"/>
  </w:num>
  <w:num w:numId="24">
    <w:abstractNumId w:val="18"/>
  </w:num>
  <w:num w:numId="25">
    <w:abstractNumId w:val="5"/>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28"/>
  </w:num>
  <w:num w:numId="29">
    <w:abstractNumId w:val="2"/>
  </w:num>
  <w:num w:numId="30">
    <w:abstractNumId w:val="27"/>
  </w:num>
  <w:num w:numId="31">
    <w:abstractNumId w:val="19"/>
  </w:num>
  <w:num w:numId="32">
    <w:abstractNumId w:val="24"/>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CAE"/>
    <w:rsid w:val="0000168D"/>
    <w:rsid w:val="00002C36"/>
    <w:rsid w:val="00007216"/>
    <w:rsid w:val="0001182A"/>
    <w:rsid w:val="00012475"/>
    <w:rsid w:val="00012D42"/>
    <w:rsid w:val="00014CD4"/>
    <w:rsid w:val="0002317A"/>
    <w:rsid w:val="000241AA"/>
    <w:rsid w:val="000243A6"/>
    <w:rsid w:val="00025A53"/>
    <w:rsid w:val="00026ABE"/>
    <w:rsid w:val="00030871"/>
    <w:rsid w:val="00033484"/>
    <w:rsid w:val="00036B79"/>
    <w:rsid w:val="0004019E"/>
    <w:rsid w:val="000410AD"/>
    <w:rsid w:val="00043CE2"/>
    <w:rsid w:val="00044BF6"/>
    <w:rsid w:val="000469FF"/>
    <w:rsid w:val="00046FAA"/>
    <w:rsid w:val="000514ED"/>
    <w:rsid w:val="00051A7E"/>
    <w:rsid w:val="0005337D"/>
    <w:rsid w:val="000557D8"/>
    <w:rsid w:val="000561D4"/>
    <w:rsid w:val="00057E3C"/>
    <w:rsid w:val="0006433D"/>
    <w:rsid w:val="0007103F"/>
    <w:rsid w:val="000715D0"/>
    <w:rsid w:val="000730EC"/>
    <w:rsid w:val="000741DD"/>
    <w:rsid w:val="00081BC1"/>
    <w:rsid w:val="00081C5F"/>
    <w:rsid w:val="000854F9"/>
    <w:rsid w:val="00085884"/>
    <w:rsid w:val="00087837"/>
    <w:rsid w:val="0009007C"/>
    <w:rsid w:val="00092106"/>
    <w:rsid w:val="0009248B"/>
    <w:rsid w:val="00094D40"/>
    <w:rsid w:val="00097058"/>
    <w:rsid w:val="00097FAC"/>
    <w:rsid w:val="000A47C3"/>
    <w:rsid w:val="000A7CC3"/>
    <w:rsid w:val="000B0077"/>
    <w:rsid w:val="000B1E79"/>
    <w:rsid w:val="000B2BB5"/>
    <w:rsid w:val="000B5DE4"/>
    <w:rsid w:val="000B643C"/>
    <w:rsid w:val="000C014D"/>
    <w:rsid w:val="000C1942"/>
    <w:rsid w:val="000C6187"/>
    <w:rsid w:val="000D0F92"/>
    <w:rsid w:val="000D12E3"/>
    <w:rsid w:val="000D244F"/>
    <w:rsid w:val="000D2D50"/>
    <w:rsid w:val="000D547A"/>
    <w:rsid w:val="000D5D8D"/>
    <w:rsid w:val="000D66DC"/>
    <w:rsid w:val="000D712D"/>
    <w:rsid w:val="000D7851"/>
    <w:rsid w:val="000E364D"/>
    <w:rsid w:val="000E690E"/>
    <w:rsid w:val="000E725E"/>
    <w:rsid w:val="000F06D3"/>
    <w:rsid w:val="000F1D6C"/>
    <w:rsid w:val="000F6F6E"/>
    <w:rsid w:val="000F71B0"/>
    <w:rsid w:val="001013F7"/>
    <w:rsid w:val="001019CB"/>
    <w:rsid w:val="00110AD5"/>
    <w:rsid w:val="00111846"/>
    <w:rsid w:val="001132CF"/>
    <w:rsid w:val="00113F3A"/>
    <w:rsid w:val="001171F9"/>
    <w:rsid w:val="00122AFC"/>
    <w:rsid w:val="00130CA0"/>
    <w:rsid w:val="001339F3"/>
    <w:rsid w:val="0013672F"/>
    <w:rsid w:val="001416E1"/>
    <w:rsid w:val="001444C5"/>
    <w:rsid w:val="0014545C"/>
    <w:rsid w:val="00146FC3"/>
    <w:rsid w:val="00150E45"/>
    <w:rsid w:val="00150F44"/>
    <w:rsid w:val="00153CF1"/>
    <w:rsid w:val="001549F4"/>
    <w:rsid w:val="00154FB1"/>
    <w:rsid w:val="00155E93"/>
    <w:rsid w:val="00155F27"/>
    <w:rsid w:val="001606FF"/>
    <w:rsid w:val="001614F5"/>
    <w:rsid w:val="001625CC"/>
    <w:rsid w:val="0016643D"/>
    <w:rsid w:val="00166914"/>
    <w:rsid w:val="001674EE"/>
    <w:rsid w:val="00167DE4"/>
    <w:rsid w:val="00170065"/>
    <w:rsid w:val="00171DCD"/>
    <w:rsid w:val="0017206A"/>
    <w:rsid w:val="0017646D"/>
    <w:rsid w:val="00176495"/>
    <w:rsid w:val="00177E60"/>
    <w:rsid w:val="00180826"/>
    <w:rsid w:val="00180904"/>
    <w:rsid w:val="00180ADF"/>
    <w:rsid w:val="001811D5"/>
    <w:rsid w:val="00181A96"/>
    <w:rsid w:val="00185481"/>
    <w:rsid w:val="00185962"/>
    <w:rsid w:val="00185D07"/>
    <w:rsid w:val="00190ECD"/>
    <w:rsid w:val="00191BBE"/>
    <w:rsid w:val="00193FF1"/>
    <w:rsid w:val="00194DB7"/>
    <w:rsid w:val="00194F67"/>
    <w:rsid w:val="00195E85"/>
    <w:rsid w:val="001A4110"/>
    <w:rsid w:val="001A4A09"/>
    <w:rsid w:val="001A5109"/>
    <w:rsid w:val="001A5609"/>
    <w:rsid w:val="001A6C43"/>
    <w:rsid w:val="001B28EB"/>
    <w:rsid w:val="001B3B9E"/>
    <w:rsid w:val="001B447A"/>
    <w:rsid w:val="001B4983"/>
    <w:rsid w:val="001B4BFF"/>
    <w:rsid w:val="001B79E9"/>
    <w:rsid w:val="001C3A01"/>
    <w:rsid w:val="001C4FC3"/>
    <w:rsid w:val="001C6692"/>
    <w:rsid w:val="001D171F"/>
    <w:rsid w:val="001D1F23"/>
    <w:rsid w:val="001D3546"/>
    <w:rsid w:val="001D596A"/>
    <w:rsid w:val="001E0D46"/>
    <w:rsid w:val="001E1353"/>
    <w:rsid w:val="001E2F27"/>
    <w:rsid w:val="001E37EA"/>
    <w:rsid w:val="001E4020"/>
    <w:rsid w:val="001E566C"/>
    <w:rsid w:val="001E7C2D"/>
    <w:rsid w:val="001F1933"/>
    <w:rsid w:val="001F2B40"/>
    <w:rsid w:val="001F3FB0"/>
    <w:rsid w:val="001F5011"/>
    <w:rsid w:val="001F5122"/>
    <w:rsid w:val="001F68B7"/>
    <w:rsid w:val="001F72BF"/>
    <w:rsid w:val="00200F53"/>
    <w:rsid w:val="002032F0"/>
    <w:rsid w:val="00205963"/>
    <w:rsid w:val="002064DF"/>
    <w:rsid w:val="0020664C"/>
    <w:rsid w:val="0020675E"/>
    <w:rsid w:val="00207BE5"/>
    <w:rsid w:val="002124EE"/>
    <w:rsid w:val="00213187"/>
    <w:rsid w:val="00222A01"/>
    <w:rsid w:val="00224FC7"/>
    <w:rsid w:val="00227295"/>
    <w:rsid w:val="00231DD0"/>
    <w:rsid w:val="0023277A"/>
    <w:rsid w:val="00241F32"/>
    <w:rsid w:val="002460A7"/>
    <w:rsid w:val="00247D7D"/>
    <w:rsid w:val="002504A3"/>
    <w:rsid w:val="002507E5"/>
    <w:rsid w:val="00253011"/>
    <w:rsid w:val="00255132"/>
    <w:rsid w:val="00256D48"/>
    <w:rsid w:val="00260330"/>
    <w:rsid w:val="002612D2"/>
    <w:rsid w:val="00262833"/>
    <w:rsid w:val="002639A1"/>
    <w:rsid w:val="002650EA"/>
    <w:rsid w:val="002667F8"/>
    <w:rsid w:val="002673F8"/>
    <w:rsid w:val="00267DC2"/>
    <w:rsid w:val="00271E42"/>
    <w:rsid w:val="00273A84"/>
    <w:rsid w:val="00275746"/>
    <w:rsid w:val="00282390"/>
    <w:rsid w:val="00282774"/>
    <w:rsid w:val="00284A82"/>
    <w:rsid w:val="00284B67"/>
    <w:rsid w:val="00291767"/>
    <w:rsid w:val="00293B40"/>
    <w:rsid w:val="0029657E"/>
    <w:rsid w:val="002A159F"/>
    <w:rsid w:val="002A1E5C"/>
    <w:rsid w:val="002A2E1D"/>
    <w:rsid w:val="002A2EC2"/>
    <w:rsid w:val="002A4A2A"/>
    <w:rsid w:val="002A5014"/>
    <w:rsid w:val="002A5E33"/>
    <w:rsid w:val="002A6F51"/>
    <w:rsid w:val="002A71E1"/>
    <w:rsid w:val="002A7C80"/>
    <w:rsid w:val="002B1B45"/>
    <w:rsid w:val="002B6430"/>
    <w:rsid w:val="002B6931"/>
    <w:rsid w:val="002C0895"/>
    <w:rsid w:val="002C2478"/>
    <w:rsid w:val="002C46DF"/>
    <w:rsid w:val="002C644D"/>
    <w:rsid w:val="002D72FF"/>
    <w:rsid w:val="002E2257"/>
    <w:rsid w:val="002E5277"/>
    <w:rsid w:val="002F27E8"/>
    <w:rsid w:val="002F2B4D"/>
    <w:rsid w:val="002F3494"/>
    <w:rsid w:val="002F645E"/>
    <w:rsid w:val="002F6CB0"/>
    <w:rsid w:val="002F7EC7"/>
    <w:rsid w:val="003010D0"/>
    <w:rsid w:val="00301474"/>
    <w:rsid w:val="00301593"/>
    <w:rsid w:val="00303E3A"/>
    <w:rsid w:val="00304115"/>
    <w:rsid w:val="00307CA8"/>
    <w:rsid w:val="00313CCD"/>
    <w:rsid w:val="00317752"/>
    <w:rsid w:val="00320AE2"/>
    <w:rsid w:val="003254AA"/>
    <w:rsid w:val="00330387"/>
    <w:rsid w:val="00333695"/>
    <w:rsid w:val="00333C85"/>
    <w:rsid w:val="00333EB0"/>
    <w:rsid w:val="0033487E"/>
    <w:rsid w:val="00335967"/>
    <w:rsid w:val="00336002"/>
    <w:rsid w:val="00340773"/>
    <w:rsid w:val="0034290E"/>
    <w:rsid w:val="00347227"/>
    <w:rsid w:val="00351045"/>
    <w:rsid w:val="003515DC"/>
    <w:rsid w:val="003523F0"/>
    <w:rsid w:val="003534E0"/>
    <w:rsid w:val="003558F9"/>
    <w:rsid w:val="00361F29"/>
    <w:rsid w:val="00363CAE"/>
    <w:rsid w:val="00363F4F"/>
    <w:rsid w:val="003652C0"/>
    <w:rsid w:val="003706FD"/>
    <w:rsid w:val="00371511"/>
    <w:rsid w:val="00371FAC"/>
    <w:rsid w:val="00373384"/>
    <w:rsid w:val="00375D09"/>
    <w:rsid w:val="00383191"/>
    <w:rsid w:val="00385650"/>
    <w:rsid w:val="00385983"/>
    <w:rsid w:val="00385E06"/>
    <w:rsid w:val="00385F6A"/>
    <w:rsid w:val="00387974"/>
    <w:rsid w:val="00387D17"/>
    <w:rsid w:val="00387D26"/>
    <w:rsid w:val="00387DA2"/>
    <w:rsid w:val="00391D4D"/>
    <w:rsid w:val="003933BC"/>
    <w:rsid w:val="00394D77"/>
    <w:rsid w:val="003A14BF"/>
    <w:rsid w:val="003A23CB"/>
    <w:rsid w:val="003A5BB0"/>
    <w:rsid w:val="003B677D"/>
    <w:rsid w:val="003C0215"/>
    <w:rsid w:val="003C208A"/>
    <w:rsid w:val="003C2AE8"/>
    <w:rsid w:val="003C53CD"/>
    <w:rsid w:val="003C7EF0"/>
    <w:rsid w:val="003D114B"/>
    <w:rsid w:val="003D3165"/>
    <w:rsid w:val="003E1CC1"/>
    <w:rsid w:val="003E4A00"/>
    <w:rsid w:val="003E4CC6"/>
    <w:rsid w:val="003E5118"/>
    <w:rsid w:val="003F11B3"/>
    <w:rsid w:val="003F1357"/>
    <w:rsid w:val="003F250E"/>
    <w:rsid w:val="003F25C8"/>
    <w:rsid w:val="003F41AB"/>
    <w:rsid w:val="003F5970"/>
    <w:rsid w:val="004045AE"/>
    <w:rsid w:val="00404DFD"/>
    <w:rsid w:val="00406980"/>
    <w:rsid w:val="004076AA"/>
    <w:rsid w:val="00407FD2"/>
    <w:rsid w:val="00412704"/>
    <w:rsid w:val="00412E42"/>
    <w:rsid w:val="004153D5"/>
    <w:rsid w:val="0041663A"/>
    <w:rsid w:val="00416C72"/>
    <w:rsid w:val="004216D0"/>
    <w:rsid w:val="00422EC3"/>
    <w:rsid w:val="004233D0"/>
    <w:rsid w:val="004321AF"/>
    <w:rsid w:val="004344BF"/>
    <w:rsid w:val="00436F12"/>
    <w:rsid w:val="00437CEB"/>
    <w:rsid w:val="00440A38"/>
    <w:rsid w:val="00440FBE"/>
    <w:rsid w:val="00441E8F"/>
    <w:rsid w:val="00450DE0"/>
    <w:rsid w:val="004513EA"/>
    <w:rsid w:val="004521F0"/>
    <w:rsid w:val="0045320D"/>
    <w:rsid w:val="0045574C"/>
    <w:rsid w:val="004559B3"/>
    <w:rsid w:val="00455DD9"/>
    <w:rsid w:val="00456990"/>
    <w:rsid w:val="00456AA2"/>
    <w:rsid w:val="00457183"/>
    <w:rsid w:val="004572E2"/>
    <w:rsid w:val="00457D0A"/>
    <w:rsid w:val="004615A7"/>
    <w:rsid w:val="00461A17"/>
    <w:rsid w:val="00462035"/>
    <w:rsid w:val="004632DE"/>
    <w:rsid w:val="00463A0E"/>
    <w:rsid w:val="0046411D"/>
    <w:rsid w:val="00467E6B"/>
    <w:rsid w:val="00473D8A"/>
    <w:rsid w:val="00473E76"/>
    <w:rsid w:val="00475C4C"/>
    <w:rsid w:val="00482F3D"/>
    <w:rsid w:val="0048377C"/>
    <w:rsid w:val="00490835"/>
    <w:rsid w:val="00491D79"/>
    <w:rsid w:val="00494388"/>
    <w:rsid w:val="00495372"/>
    <w:rsid w:val="00496027"/>
    <w:rsid w:val="004A1997"/>
    <w:rsid w:val="004B01F8"/>
    <w:rsid w:val="004B6BC9"/>
    <w:rsid w:val="004B6F75"/>
    <w:rsid w:val="004C0B21"/>
    <w:rsid w:val="004C2298"/>
    <w:rsid w:val="004C50F5"/>
    <w:rsid w:val="004C5B0D"/>
    <w:rsid w:val="004C72E6"/>
    <w:rsid w:val="004D095E"/>
    <w:rsid w:val="004D1394"/>
    <w:rsid w:val="004D1F2B"/>
    <w:rsid w:val="004D22E2"/>
    <w:rsid w:val="004D38C2"/>
    <w:rsid w:val="004D5DAA"/>
    <w:rsid w:val="004D627E"/>
    <w:rsid w:val="004E0115"/>
    <w:rsid w:val="004E2A20"/>
    <w:rsid w:val="004E2C2F"/>
    <w:rsid w:val="004E44CC"/>
    <w:rsid w:val="004E4A24"/>
    <w:rsid w:val="004E681F"/>
    <w:rsid w:val="004E6FDB"/>
    <w:rsid w:val="004F06ED"/>
    <w:rsid w:val="004F35C0"/>
    <w:rsid w:val="004F4434"/>
    <w:rsid w:val="004F70A6"/>
    <w:rsid w:val="004F7422"/>
    <w:rsid w:val="005021DC"/>
    <w:rsid w:val="00502BEC"/>
    <w:rsid w:val="00510036"/>
    <w:rsid w:val="00513DF5"/>
    <w:rsid w:val="00513E2F"/>
    <w:rsid w:val="00514DF9"/>
    <w:rsid w:val="00515CBF"/>
    <w:rsid w:val="00515CFD"/>
    <w:rsid w:val="00516A2E"/>
    <w:rsid w:val="005175D9"/>
    <w:rsid w:val="00517A4E"/>
    <w:rsid w:val="00521002"/>
    <w:rsid w:val="00523E14"/>
    <w:rsid w:val="00524126"/>
    <w:rsid w:val="00527150"/>
    <w:rsid w:val="00530497"/>
    <w:rsid w:val="00535713"/>
    <w:rsid w:val="005358CB"/>
    <w:rsid w:val="00537636"/>
    <w:rsid w:val="005402B6"/>
    <w:rsid w:val="005410E9"/>
    <w:rsid w:val="00545B45"/>
    <w:rsid w:val="00547866"/>
    <w:rsid w:val="0055100E"/>
    <w:rsid w:val="005511DD"/>
    <w:rsid w:val="00551738"/>
    <w:rsid w:val="00553DF7"/>
    <w:rsid w:val="00557745"/>
    <w:rsid w:val="0055787E"/>
    <w:rsid w:val="0056070D"/>
    <w:rsid w:val="00564D48"/>
    <w:rsid w:val="005665A5"/>
    <w:rsid w:val="005710CD"/>
    <w:rsid w:val="005800D5"/>
    <w:rsid w:val="00580780"/>
    <w:rsid w:val="0058124D"/>
    <w:rsid w:val="00582A6F"/>
    <w:rsid w:val="00590F26"/>
    <w:rsid w:val="00592719"/>
    <w:rsid w:val="00592ECD"/>
    <w:rsid w:val="0059362D"/>
    <w:rsid w:val="00593D3B"/>
    <w:rsid w:val="00594672"/>
    <w:rsid w:val="005A2C8F"/>
    <w:rsid w:val="005A7A9D"/>
    <w:rsid w:val="005B06D6"/>
    <w:rsid w:val="005B3BC4"/>
    <w:rsid w:val="005C03E2"/>
    <w:rsid w:val="005C0831"/>
    <w:rsid w:val="005C57D2"/>
    <w:rsid w:val="005C6140"/>
    <w:rsid w:val="005C7092"/>
    <w:rsid w:val="005D0405"/>
    <w:rsid w:val="005D0536"/>
    <w:rsid w:val="005D0E35"/>
    <w:rsid w:val="005D0EBE"/>
    <w:rsid w:val="005D1600"/>
    <w:rsid w:val="005D20CD"/>
    <w:rsid w:val="005D4A13"/>
    <w:rsid w:val="005D53C8"/>
    <w:rsid w:val="005D558F"/>
    <w:rsid w:val="005D6C4E"/>
    <w:rsid w:val="005E0DA1"/>
    <w:rsid w:val="005E17FA"/>
    <w:rsid w:val="005E26A4"/>
    <w:rsid w:val="005E75A4"/>
    <w:rsid w:val="005E7B14"/>
    <w:rsid w:val="005F2C2F"/>
    <w:rsid w:val="005F5BA2"/>
    <w:rsid w:val="00603DE5"/>
    <w:rsid w:val="00604183"/>
    <w:rsid w:val="00611EB6"/>
    <w:rsid w:val="00615913"/>
    <w:rsid w:val="00620E2A"/>
    <w:rsid w:val="00620FB2"/>
    <w:rsid w:val="00621C95"/>
    <w:rsid w:val="0062204C"/>
    <w:rsid w:val="0062499C"/>
    <w:rsid w:val="0062796D"/>
    <w:rsid w:val="0063564A"/>
    <w:rsid w:val="00637787"/>
    <w:rsid w:val="0064170F"/>
    <w:rsid w:val="0064458B"/>
    <w:rsid w:val="00644B67"/>
    <w:rsid w:val="00645590"/>
    <w:rsid w:val="006468FA"/>
    <w:rsid w:val="00650380"/>
    <w:rsid w:val="006504C1"/>
    <w:rsid w:val="006611EE"/>
    <w:rsid w:val="006619D6"/>
    <w:rsid w:val="00663064"/>
    <w:rsid w:val="00664C43"/>
    <w:rsid w:val="00667577"/>
    <w:rsid w:val="00670207"/>
    <w:rsid w:val="00671781"/>
    <w:rsid w:val="00671CED"/>
    <w:rsid w:val="00677A0F"/>
    <w:rsid w:val="006805CC"/>
    <w:rsid w:val="0068245E"/>
    <w:rsid w:val="0068313A"/>
    <w:rsid w:val="006865AA"/>
    <w:rsid w:val="00687FD5"/>
    <w:rsid w:val="006907E1"/>
    <w:rsid w:val="00695065"/>
    <w:rsid w:val="00695E84"/>
    <w:rsid w:val="00696177"/>
    <w:rsid w:val="006974C6"/>
    <w:rsid w:val="006A1EA7"/>
    <w:rsid w:val="006A34A1"/>
    <w:rsid w:val="006A4C53"/>
    <w:rsid w:val="006A690B"/>
    <w:rsid w:val="006B0F0C"/>
    <w:rsid w:val="006B1028"/>
    <w:rsid w:val="006B3E17"/>
    <w:rsid w:val="006B467E"/>
    <w:rsid w:val="006B5CFF"/>
    <w:rsid w:val="006B5E57"/>
    <w:rsid w:val="006B627B"/>
    <w:rsid w:val="006C290C"/>
    <w:rsid w:val="006C2FDF"/>
    <w:rsid w:val="006C3469"/>
    <w:rsid w:val="006C4B8A"/>
    <w:rsid w:val="006C5B52"/>
    <w:rsid w:val="006D0268"/>
    <w:rsid w:val="006D2609"/>
    <w:rsid w:val="006D4173"/>
    <w:rsid w:val="006D580F"/>
    <w:rsid w:val="006D78F7"/>
    <w:rsid w:val="006E0944"/>
    <w:rsid w:val="006E1455"/>
    <w:rsid w:val="006E383F"/>
    <w:rsid w:val="006E42A3"/>
    <w:rsid w:val="006E69B5"/>
    <w:rsid w:val="006F1991"/>
    <w:rsid w:val="006F48E3"/>
    <w:rsid w:val="006F6CED"/>
    <w:rsid w:val="007017D0"/>
    <w:rsid w:val="00701F08"/>
    <w:rsid w:val="00702E8D"/>
    <w:rsid w:val="00703557"/>
    <w:rsid w:val="00707400"/>
    <w:rsid w:val="007075AB"/>
    <w:rsid w:val="007105D7"/>
    <w:rsid w:val="00712033"/>
    <w:rsid w:val="007201B1"/>
    <w:rsid w:val="0072256A"/>
    <w:rsid w:val="007264D8"/>
    <w:rsid w:val="00726BC0"/>
    <w:rsid w:val="007305D4"/>
    <w:rsid w:val="007310C8"/>
    <w:rsid w:val="007326BF"/>
    <w:rsid w:val="007342E1"/>
    <w:rsid w:val="00735F13"/>
    <w:rsid w:val="007369BB"/>
    <w:rsid w:val="00740C22"/>
    <w:rsid w:val="00741D84"/>
    <w:rsid w:val="007426E5"/>
    <w:rsid w:val="007447A1"/>
    <w:rsid w:val="007465F1"/>
    <w:rsid w:val="007470F4"/>
    <w:rsid w:val="00751311"/>
    <w:rsid w:val="007516AE"/>
    <w:rsid w:val="00751B65"/>
    <w:rsid w:val="007524E0"/>
    <w:rsid w:val="00754832"/>
    <w:rsid w:val="007622F1"/>
    <w:rsid w:val="00774B45"/>
    <w:rsid w:val="0077535E"/>
    <w:rsid w:val="00776144"/>
    <w:rsid w:val="0077728B"/>
    <w:rsid w:val="00777EB1"/>
    <w:rsid w:val="00780697"/>
    <w:rsid w:val="007816DC"/>
    <w:rsid w:val="00782B50"/>
    <w:rsid w:val="007838EB"/>
    <w:rsid w:val="00783C2C"/>
    <w:rsid w:val="0078542E"/>
    <w:rsid w:val="007867FB"/>
    <w:rsid w:val="00786A08"/>
    <w:rsid w:val="00786D1E"/>
    <w:rsid w:val="007915E1"/>
    <w:rsid w:val="007A0CBA"/>
    <w:rsid w:val="007A1034"/>
    <w:rsid w:val="007A1A88"/>
    <w:rsid w:val="007A5B7A"/>
    <w:rsid w:val="007A5E04"/>
    <w:rsid w:val="007A6A03"/>
    <w:rsid w:val="007B0101"/>
    <w:rsid w:val="007B4EC2"/>
    <w:rsid w:val="007B70DD"/>
    <w:rsid w:val="007B70E4"/>
    <w:rsid w:val="007C1596"/>
    <w:rsid w:val="007C1B3F"/>
    <w:rsid w:val="007C2A5A"/>
    <w:rsid w:val="007C3FD8"/>
    <w:rsid w:val="007C5457"/>
    <w:rsid w:val="007C7D60"/>
    <w:rsid w:val="007D2DDF"/>
    <w:rsid w:val="007D309C"/>
    <w:rsid w:val="007D38C4"/>
    <w:rsid w:val="007D6123"/>
    <w:rsid w:val="007D614B"/>
    <w:rsid w:val="007D6ED0"/>
    <w:rsid w:val="007E2241"/>
    <w:rsid w:val="007E4CBF"/>
    <w:rsid w:val="007E5A1D"/>
    <w:rsid w:val="007E799E"/>
    <w:rsid w:val="007F2042"/>
    <w:rsid w:val="007F3CA8"/>
    <w:rsid w:val="007F3DDC"/>
    <w:rsid w:val="007F52C9"/>
    <w:rsid w:val="007F531C"/>
    <w:rsid w:val="007F6E4E"/>
    <w:rsid w:val="007F718D"/>
    <w:rsid w:val="007F738B"/>
    <w:rsid w:val="00803BD6"/>
    <w:rsid w:val="00804573"/>
    <w:rsid w:val="00805C29"/>
    <w:rsid w:val="00812A70"/>
    <w:rsid w:val="00815E8B"/>
    <w:rsid w:val="008269BC"/>
    <w:rsid w:val="00826ED6"/>
    <w:rsid w:val="008273A9"/>
    <w:rsid w:val="00830ABE"/>
    <w:rsid w:val="008317DA"/>
    <w:rsid w:val="00834DF6"/>
    <w:rsid w:val="0084172E"/>
    <w:rsid w:val="00852DC4"/>
    <w:rsid w:val="0085583E"/>
    <w:rsid w:val="008558FE"/>
    <w:rsid w:val="00870B10"/>
    <w:rsid w:val="00870E83"/>
    <w:rsid w:val="00872197"/>
    <w:rsid w:val="0087572E"/>
    <w:rsid w:val="0088028C"/>
    <w:rsid w:val="008807F7"/>
    <w:rsid w:val="00880851"/>
    <w:rsid w:val="008825D5"/>
    <w:rsid w:val="00887661"/>
    <w:rsid w:val="00887C8A"/>
    <w:rsid w:val="008918A7"/>
    <w:rsid w:val="00895888"/>
    <w:rsid w:val="00897F09"/>
    <w:rsid w:val="008A278D"/>
    <w:rsid w:val="008A30F3"/>
    <w:rsid w:val="008A33B2"/>
    <w:rsid w:val="008A40F3"/>
    <w:rsid w:val="008A5584"/>
    <w:rsid w:val="008A6AC3"/>
    <w:rsid w:val="008A7238"/>
    <w:rsid w:val="008B4DB2"/>
    <w:rsid w:val="008C0120"/>
    <w:rsid w:val="008C0484"/>
    <w:rsid w:val="008C07B2"/>
    <w:rsid w:val="008C268C"/>
    <w:rsid w:val="008C2AFF"/>
    <w:rsid w:val="008C5BBD"/>
    <w:rsid w:val="008C7837"/>
    <w:rsid w:val="008D3C6D"/>
    <w:rsid w:val="008D691D"/>
    <w:rsid w:val="008E0BE1"/>
    <w:rsid w:val="008E132F"/>
    <w:rsid w:val="008E3827"/>
    <w:rsid w:val="008E3B96"/>
    <w:rsid w:val="008E3E3C"/>
    <w:rsid w:val="008E40DB"/>
    <w:rsid w:val="008F1E12"/>
    <w:rsid w:val="008F28C5"/>
    <w:rsid w:val="008F2D95"/>
    <w:rsid w:val="008F398C"/>
    <w:rsid w:val="008F559A"/>
    <w:rsid w:val="008F71D6"/>
    <w:rsid w:val="00901DD7"/>
    <w:rsid w:val="009055DA"/>
    <w:rsid w:val="00906DF5"/>
    <w:rsid w:val="009138B0"/>
    <w:rsid w:val="009159DA"/>
    <w:rsid w:val="00917ECC"/>
    <w:rsid w:val="009201D1"/>
    <w:rsid w:val="00921671"/>
    <w:rsid w:val="00921C9E"/>
    <w:rsid w:val="009223FE"/>
    <w:rsid w:val="009234C1"/>
    <w:rsid w:val="0092375D"/>
    <w:rsid w:val="00925AD4"/>
    <w:rsid w:val="00927553"/>
    <w:rsid w:val="00930E30"/>
    <w:rsid w:val="009355AE"/>
    <w:rsid w:val="00936EDD"/>
    <w:rsid w:val="009402F9"/>
    <w:rsid w:val="00943968"/>
    <w:rsid w:val="0094505C"/>
    <w:rsid w:val="00945489"/>
    <w:rsid w:val="00945B7B"/>
    <w:rsid w:val="00946824"/>
    <w:rsid w:val="00946A9C"/>
    <w:rsid w:val="00947C30"/>
    <w:rsid w:val="009504DA"/>
    <w:rsid w:val="00952965"/>
    <w:rsid w:val="00954018"/>
    <w:rsid w:val="0095408F"/>
    <w:rsid w:val="00954605"/>
    <w:rsid w:val="00956E18"/>
    <w:rsid w:val="00957871"/>
    <w:rsid w:val="00960D09"/>
    <w:rsid w:val="00962ED5"/>
    <w:rsid w:val="00963651"/>
    <w:rsid w:val="0096433B"/>
    <w:rsid w:val="00967C80"/>
    <w:rsid w:val="00967CF4"/>
    <w:rsid w:val="00973B96"/>
    <w:rsid w:val="00976579"/>
    <w:rsid w:val="009779C3"/>
    <w:rsid w:val="00977B91"/>
    <w:rsid w:val="00993031"/>
    <w:rsid w:val="00993DDC"/>
    <w:rsid w:val="0099455E"/>
    <w:rsid w:val="009949AC"/>
    <w:rsid w:val="00995991"/>
    <w:rsid w:val="00996F07"/>
    <w:rsid w:val="009A1111"/>
    <w:rsid w:val="009A1DD0"/>
    <w:rsid w:val="009A370D"/>
    <w:rsid w:val="009A45E9"/>
    <w:rsid w:val="009A6B8A"/>
    <w:rsid w:val="009A72F9"/>
    <w:rsid w:val="009B3027"/>
    <w:rsid w:val="009B3B4B"/>
    <w:rsid w:val="009B5906"/>
    <w:rsid w:val="009B7184"/>
    <w:rsid w:val="009C4528"/>
    <w:rsid w:val="009D0AFE"/>
    <w:rsid w:val="009D43FD"/>
    <w:rsid w:val="009D63E5"/>
    <w:rsid w:val="009E0A3A"/>
    <w:rsid w:val="009E2017"/>
    <w:rsid w:val="009E3223"/>
    <w:rsid w:val="009E5250"/>
    <w:rsid w:val="00A03B2F"/>
    <w:rsid w:val="00A0661B"/>
    <w:rsid w:val="00A078D7"/>
    <w:rsid w:val="00A17A43"/>
    <w:rsid w:val="00A21085"/>
    <w:rsid w:val="00A22D60"/>
    <w:rsid w:val="00A244A1"/>
    <w:rsid w:val="00A27B91"/>
    <w:rsid w:val="00A306CB"/>
    <w:rsid w:val="00A31107"/>
    <w:rsid w:val="00A32A1E"/>
    <w:rsid w:val="00A34C06"/>
    <w:rsid w:val="00A34C08"/>
    <w:rsid w:val="00A37624"/>
    <w:rsid w:val="00A42847"/>
    <w:rsid w:val="00A43A3E"/>
    <w:rsid w:val="00A52F30"/>
    <w:rsid w:val="00A55BC3"/>
    <w:rsid w:val="00A57193"/>
    <w:rsid w:val="00A64B35"/>
    <w:rsid w:val="00A7217D"/>
    <w:rsid w:val="00A73972"/>
    <w:rsid w:val="00A77472"/>
    <w:rsid w:val="00A8116B"/>
    <w:rsid w:val="00A839EF"/>
    <w:rsid w:val="00A8443D"/>
    <w:rsid w:val="00A9029E"/>
    <w:rsid w:val="00A90E76"/>
    <w:rsid w:val="00A95730"/>
    <w:rsid w:val="00A96F20"/>
    <w:rsid w:val="00AB03AA"/>
    <w:rsid w:val="00AB2D8E"/>
    <w:rsid w:val="00AB34F9"/>
    <w:rsid w:val="00AB5322"/>
    <w:rsid w:val="00AC1FEC"/>
    <w:rsid w:val="00AC326C"/>
    <w:rsid w:val="00AC57D3"/>
    <w:rsid w:val="00AC754D"/>
    <w:rsid w:val="00AC760F"/>
    <w:rsid w:val="00AD0649"/>
    <w:rsid w:val="00AD105C"/>
    <w:rsid w:val="00AD2A3F"/>
    <w:rsid w:val="00AE06E5"/>
    <w:rsid w:val="00AE1BB7"/>
    <w:rsid w:val="00AE3B2A"/>
    <w:rsid w:val="00AE4638"/>
    <w:rsid w:val="00AE6B6E"/>
    <w:rsid w:val="00AF1EAB"/>
    <w:rsid w:val="00AF33E5"/>
    <w:rsid w:val="00AF5CD4"/>
    <w:rsid w:val="00AF62CF"/>
    <w:rsid w:val="00B01DB2"/>
    <w:rsid w:val="00B01FFF"/>
    <w:rsid w:val="00B02346"/>
    <w:rsid w:val="00B04B13"/>
    <w:rsid w:val="00B06FBB"/>
    <w:rsid w:val="00B10C3A"/>
    <w:rsid w:val="00B147A4"/>
    <w:rsid w:val="00B155C0"/>
    <w:rsid w:val="00B1604C"/>
    <w:rsid w:val="00B163ED"/>
    <w:rsid w:val="00B21741"/>
    <w:rsid w:val="00B22925"/>
    <w:rsid w:val="00B22BF3"/>
    <w:rsid w:val="00B232B7"/>
    <w:rsid w:val="00B27A94"/>
    <w:rsid w:val="00B30000"/>
    <w:rsid w:val="00B32147"/>
    <w:rsid w:val="00B3241E"/>
    <w:rsid w:val="00B41A3C"/>
    <w:rsid w:val="00B422C0"/>
    <w:rsid w:val="00B430C9"/>
    <w:rsid w:val="00B44637"/>
    <w:rsid w:val="00B53852"/>
    <w:rsid w:val="00B53CFF"/>
    <w:rsid w:val="00B6061D"/>
    <w:rsid w:val="00B60F36"/>
    <w:rsid w:val="00B62906"/>
    <w:rsid w:val="00B63518"/>
    <w:rsid w:val="00B64F80"/>
    <w:rsid w:val="00B66562"/>
    <w:rsid w:val="00B66E1D"/>
    <w:rsid w:val="00B66E68"/>
    <w:rsid w:val="00B71B90"/>
    <w:rsid w:val="00B71CA4"/>
    <w:rsid w:val="00B723DA"/>
    <w:rsid w:val="00B728D4"/>
    <w:rsid w:val="00B731A1"/>
    <w:rsid w:val="00B7444F"/>
    <w:rsid w:val="00B75686"/>
    <w:rsid w:val="00B816DE"/>
    <w:rsid w:val="00B821FA"/>
    <w:rsid w:val="00B834C6"/>
    <w:rsid w:val="00B857E4"/>
    <w:rsid w:val="00B90150"/>
    <w:rsid w:val="00B92576"/>
    <w:rsid w:val="00B94BF3"/>
    <w:rsid w:val="00BA3262"/>
    <w:rsid w:val="00BA6E41"/>
    <w:rsid w:val="00BB70F9"/>
    <w:rsid w:val="00BC116B"/>
    <w:rsid w:val="00BC7059"/>
    <w:rsid w:val="00BD29C5"/>
    <w:rsid w:val="00BD500C"/>
    <w:rsid w:val="00BD6D0B"/>
    <w:rsid w:val="00BE1525"/>
    <w:rsid w:val="00BE7574"/>
    <w:rsid w:val="00BE7774"/>
    <w:rsid w:val="00BF3C5C"/>
    <w:rsid w:val="00BF43B7"/>
    <w:rsid w:val="00BF7C4E"/>
    <w:rsid w:val="00C008A5"/>
    <w:rsid w:val="00C02631"/>
    <w:rsid w:val="00C03550"/>
    <w:rsid w:val="00C03C1B"/>
    <w:rsid w:val="00C0505C"/>
    <w:rsid w:val="00C05850"/>
    <w:rsid w:val="00C06AEB"/>
    <w:rsid w:val="00C1332E"/>
    <w:rsid w:val="00C171B0"/>
    <w:rsid w:val="00C207CE"/>
    <w:rsid w:val="00C22066"/>
    <w:rsid w:val="00C22247"/>
    <w:rsid w:val="00C22B6A"/>
    <w:rsid w:val="00C24FA1"/>
    <w:rsid w:val="00C2683C"/>
    <w:rsid w:val="00C343D0"/>
    <w:rsid w:val="00C355EA"/>
    <w:rsid w:val="00C35B81"/>
    <w:rsid w:val="00C37BC8"/>
    <w:rsid w:val="00C40770"/>
    <w:rsid w:val="00C42D58"/>
    <w:rsid w:val="00C43E6E"/>
    <w:rsid w:val="00C50715"/>
    <w:rsid w:val="00C522B1"/>
    <w:rsid w:val="00C52D3F"/>
    <w:rsid w:val="00C53C5E"/>
    <w:rsid w:val="00C555E9"/>
    <w:rsid w:val="00C55F2F"/>
    <w:rsid w:val="00C56065"/>
    <w:rsid w:val="00C61A91"/>
    <w:rsid w:val="00C63AB1"/>
    <w:rsid w:val="00C6582C"/>
    <w:rsid w:val="00C67F28"/>
    <w:rsid w:val="00C72116"/>
    <w:rsid w:val="00C72842"/>
    <w:rsid w:val="00C737AF"/>
    <w:rsid w:val="00C739F1"/>
    <w:rsid w:val="00C77F7E"/>
    <w:rsid w:val="00C83090"/>
    <w:rsid w:val="00C86F7C"/>
    <w:rsid w:val="00C906F8"/>
    <w:rsid w:val="00CA1579"/>
    <w:rsid w:val="00CA3888"/>
    <w:rsid w:val="00CA4380"/>
    <w:rsid w:val="00CA4F8F"/>
    <w:rsid w:val="00CA5027"/>
    <w:rsid w:val="00CA5347"/>
    <w:rsid w:val="00CA5D4D"/>
    <w:rsid w:val="00CB4EE1"/>
    <w:rsid w:val="00CB7562"/>
    <w:rsid w:val="00CB7FA9"/>
    <w:rsid w:val="00CC1721"/>
    <w:rsid w:val="00CC6055"/>
    <w:rsid w:val="00CC7E1C"/>
    <w:rsid w:val="00CD12F7"/>
    <w:rsid w:val="00CD3B6A"/>
    <w:rsid w:val="00CD49DA"/>
    <w:rsid w:val="00CD6B40"/>
    <w:rsid w:val="00CE5C69"/>
    <w:rsid w:val="00CE632C"/>
    <w:rsid w:val="00CF07C4"/>
    <w:rsid w:val="00CF13C7"/>
    <w:rsid w:val="00CF21F2"/>
    <w:rsid w:val="00CF3BE6"/>
    <w:rsid w:val="00CF66DA"/>
    <w:rsid w:val="00D04A08"/>
    <w:rsid w:val="00D04A9D"/>
    <w:rsid w:val="00D07867"/>
    <w:rsid w:val="00D11640"/>
    <w:rsid w:val="00D12A21"/>
    <w:rsid w:val="00D145E1"/>
    <w:rsid w:val="00D22088"/>
    <w:rsid w:val="00D25386"/>
    <w:rsid w:val="00D33A90"/>
    <w:rsid w:val="00D33C38"/>
    <w:rsid w:val="00D3480A"/>
    <w:rsid w:val="00D34FF7"/>
    <w:rsid w:val="00D403F8"/>
    <w:rsid w:val="00D40817"/>
    <w:rsid w:val="00D40A3D"/>
    <w:rsid w:val="00D42213"/>
    <w:rsid w:val="00D44376"/>
    <w:rsid w:val="00D45D7D"/>
    <w:rsid w:val="00D4696F"/>
    <w:rsid w:val="00D479A1"/>
    <w:rsid w:val="00D54152"/>
    <w:rsid w:val="00D602AF"/>
    <w:rsid w:val="00D65E65"/>
    <w:rsid w:val="00D66345"/>
    <w:rsid w:val="00D718DD"/>
    <w:rsid w:val="00D71E22"/>
    <w:rsid w:val="00D7424F"/>
    <w:rsid w:val="00D7633E"/>
    <w:rsid w:val="00D81795"/>
    <w:rsid w:val="00D819C6"/>
    <w:rsid w:val="00D82C6A"/>
    <w:rsid w:val="00D87DB9"/>
    <w:rsid w:val="00D922B7"/>
    <w:rsid w:val="00D9347E"/>
    <w:rsid w:val="00D94DBE"/>
    <w:rsid w:val="00D95A88"/>
    <w:rsid w:val="00D97D03"/>
    <w:rsid w:val="00DA0202"/>
    <w:rsid w:val="00DA0F17"/>
    <w:rsid w:val="00DA2E37"/>
    <w:rsid w:val="00DB0342"/>
    <w:rsid w:val="00DB32F0"/>
    <w:rsid w:val="00DB6D13"/>
    <w:rsid w:val="00DB75A9"/>
    <w:rsid w:val="00DB77CE"/>
    <w:rsid w:val="00DC0BD7"/>
    <w:rsid w:val="00DC1750"/>
    <w:rsid w:val="00DC2100"/>
    <w:rsid w:val="00DC3864"/>
    <w:rsid w:val="00DC524A"/>
    <w:rsid w:val="00DC6176"/>
    <w:rsid w:val="00DD1013"/>
    <w:rsid w:val="00DD131E"/>
    <w:rsid w:val="00DD2EC0"/>
    <w:rsid w:val="00DD401A"/>
    <w:rsid w:val="00DD6AC4"/>
    <w:rsid w:val="00DD710F"/>
    <w:rsid w:val="00DE1283"/>
    <w:rsid w:val="00DE14CE"/>
    <w:rsid w:val="00DE1A98"/>
    <w:rsid w:val="00DE37DA"/>
    <w:rsid w:val="00DE6A7E"/>
    <w:rsid w:val="00DF0278"/>
    <w:rsid w:val="00DF0C3E"/>
    <w:rsid w:val="00DF25F3"/>
    <w:rsid w:val="00DF2AA7"/>
    <w:rsid w:val="00DF5F79"/>
    <w:rsid w:val="00DF7FB3"/>
    <w:rsid w:val="00E01633"/>
    <w:rsid w:val="00E028C9"/>
    <w:rsid w:val="00E02D81"/>
    <w:rsid w:val="00E037A4"/>
    <w:rsid w:val="00E044E2"/>
    <w:rsid w:val="00E05EAB"/>
    <w:rsid w:val="00E11E54"/>
    <w:rsid w:val="00E12FB7"/>
    <w:rsid w:val="00E13BE5"/>
    <w:rsid w:val="00E14303"/>
    <w:rsid w:val="00E14682"/>
    <w:rsid w:val="00E1532F"/>
    <w:rsid w:val="00E1599C"/>
    <w:rsid w:val="00E16B56"/>
    <w:rsid w:val="00E22335"/>
    <w:rsid w:val="00E227EA"/>
    <w:rsid w:val="00E22A67"/>
    <w:rsid w:val="00E2358D"/>
    <w:rsid w:val="00E250F7"/>
    <w:rsid w:val="00E25FE1"/>
    <w:rsid w:val="00E30789"/>
    <w:rsid w:val="00E30FB6"/>
    <w:rsid w:val="00E31E37"/>
    <w:rsid w:val="00E32B11"/>
    <w:rsid w:val="00E331B0"/>
    <w:rsid w:val="00E42787"/>
    <w:rsid w:val="00E4330D"/>
    <w:rsid w:val="00E43F9B"/>
    <w:rsid w:val="00E45BB2"/>
    <w:rsid w:val="00E508DD"/>
    <w:rsid w:val="00E515DB"/>
    <w:rsid w:val="00E520D8"/>
    <w:rsid w:val="00E540B6"/>
    <w:rsid w:val="00E54C23"/>
    <w:rsid w:val="00E56B02"/>
    <w:rsid w:val="00E6238B"/>
    <w:rsid w:val="00E64C35"/>
    <w:rsid w:val="00E70E4A"/>
    <w:rsid w:val="00E72027"/>
    <w:rsid w:val="00E73552"/>
    <w:rsid w:val="00E750F3"/>
    <w:rsid w:val="00E75E63"/>
    <w:rsid w:val="00E7640D"/>
    <w:rsid w:val="00E768BB"/>
    <w:rsid w:val="00E76D53"/>
    <w:rsid w:val="00E83096"/>
    <w:rsid w:val="00E83A3F"/>
    <w:rsid w:val="00E864A1"/>
    <w:rsid w:val="00E865F3"/>
    <w:rsid w:val="00E90A20"/>
    <w:rsid w:val="00E91E78"/>
    <w:rsid w:val="00E92A71"/>
    <w:rsid w:val="00E933AC"/>
    <w:rsid w:val="00E956C6"/>
    <w:rsid w:val="00EA2BC0"/>
    <w:rsid w:val="00EA2D79"/>
    <w:rsid w:val="00EA78F2"/>
    <w:rsid w:val="00EB2E48"/>
    <w:rsid w:val="00EB51C9"/>
    <w:rsid w:val="00EB76B6"/>
    <w:rsid w:val="00EC1EF1"/>
    <w:rsid w:val="00EC31D5"/>
    <w:rsid w:val="00EC6632"/>
    <w:rsid w:val="00EC66D0"/>
    <w:rsid w:val="00EC77B8"/>
    <w:rsid w:val="00ED407A"/>
    <w:rsid w:val="00ED477A"/>
    <w:rsid w:val="00ED7AE0"/>
    <w:rsid w:val="00EE16D1"/>
    <w:rsid w:val="00EE288F"/>
    <w:rsid w:val="00EE290B"/>
    <w:rsid w:val="00EE4B15"/>
    <w:rsid w:val="00EE559E"/>
    <w:rsid w:val="00EE6CFF"/>
    <w:rsid w:val="00EF066D"/>
    <w:rsid w:val="00EF0C0D"/>
    <w:rsid w:val="00EF5168"/>
    <w:rsid w:val="00EF5925"/>
    <w:rsid w:val="00F009ED"/>
    <w:rsid w:val="00F03C53"/>
    <w:rsid w:val="00F043B2"/>
    <w:rsid w:val="00F06488"/>
    <w:rsid w:val="00F06C51"/>
    <w:rsid w:val="00F07F4C"/>
    <w:rsid w:val="00F10420"/>
    <w:rsid w:val="00F10801"/>
    <w:rsid w:val="00F136BC"/>
    <w:rsid w:val="00F144B6"/>
    <w:rsid w:val="00F15CAC"/>
    <w:rsid w:val="00F17C80"/>
    <w:rsid w:val="00F2365C"/>
    <w:rsid w:val="00F24581"/>
    <w:rsid w:val="00F25473"/>
    <w:rsid w:val="00F25EB1"/>
    <w:rsid w:val="00F2797B"/>
    <w:rsid w:val="00F306E2"/>
    <w:rsid w:val="00F31662"/>
    <w:rsid w:val="00F33075"/>
    <w:rsid w:val="00F3466F"/>
    <w:rsid w:val="00F365E3"/>
    <w:rsid w:val="00F368D1"/>
    <w:rsid w:val="00F40C48"/>
    <w:rsid w:val="00F410A7"/>
    <w:rsid w:val="00F416D1"/>
    <w:rsid w:val="00F41E73"/>
    <w:rsid w:val="00F43943"/>
    <w:rsid w:val="00F52D52"/>
    <w:rsid w:val="00F538CC"/>
    <w:rsid w:val="00F556C2"/>
    <w:rsid w:val="00F55A1F"/>
    <w:rsid w:val="00F55FFD"/>
    <w:rsid w:val="00F56D8F"/>
    <w:rsid w:val="00F63AC9"/>
    <w:rsid w:val="00F6710C"/>
    <w:rsid w:val="00F7241C"/>
    <w:rsid w:val="00F72521"/>
    <w:rsid w:val="00F737A3"/>
    <w:rsid w:val="00F820C9"/>
    <w:rsid w:val="00F86417"/>
    <w:rsid w:val="00F868D0"/>
    <w:rsid w:val="00F87959"/>
    <w:rsid w:val="00F879BF"/>
    <w:rsid w:val="00F90789"/>
    <w:rsid w:val="00F9178D"/>
    <w:rsid w:val="00F97E1C"/>
    <w:rsid w:val="00FA0ABD"/>
    <w:rsid w:val="00FA3736"/>
    <w:rsid w:val="00FA5A7D"/>
    <w:rsid w:val="00FA6475"/>
    <w:rsid w:val="00FA7447"/>
    <w:rsid w:val="00FA7DDC"/>
    <w:rsid w:val="00FB07FC"/>
    <w:rsid w:val="00FB439A"/>
    <w:rsid w:val="00FB460E"/>
    <w:rsid w:val="00FB4D7D"/>
    <w:rsid w:val="00FB5E9B"/>
    <w:rsid w:val="00FB7B18"/>
    <w:rsid w:val="00FC0983"/>
    <w:rsid w:val="00FC353F"/>
    <w:rsid w:val="00FC3E55"/>
    <w:rsid w:val="00FC4141"/>
    <w:rsid w:val="00FC67C8"/>
    <w:rsid w:val="00FC6E8E"/>
    <w:rsid w:val="00FD083A"/>
    <w:rsid w:val="00FD2CC7"/>
    <w:rsid w:val="00FD2EF9"/>
    <w:rsid w:val="00FD6EBF"/>
    <w:rsid w:val="00FD7BF5"/>
    <w:rsid w:val="00FE3AC0"/>
    <w:rsid w:val="00FE3B72"/>
    <w:rsid w:val="00FE4220"/>
    <w:rsid w:val="00FE4E06"/>
    <w:rsid w:val="00FF1B4A"/>
    <w:rsid w:val="00FF1D91"/>
    <w:rsid w:val="00FF236F"/>
    <w:rsid w:val="00FF2741"/>
    <w:rsid w:val="00FF41F2"/>
    <w:rsid w:val="00FF47C4"/>
    <w:rsid w:val="00FF7479"/>
    <w:rsid w:val="00FF7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845F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paragraph" w:styleId="Heading2">
    <w:name w:val="heading 2"/>
    <w:basedOn w:val="Normal"/>
    <w:next w:val="Normal"/>
    <w:link w:val="Heading2Char"/>
    <w:uiPriority w:val="9"/>
    <w:semiHidden/>
    <w:unhideWhenUsed/>
    <w:qFormat/>
    <w:rsid w:val="00547866"/>
    <w:pPr>
      <w:keepNext/>
      <w:keepLines/>
      <w:suppressAutoHyphens/>
      <w:spacing w:before="200" w:after="0" w:line="240" w:lineRule="auto"/>
      <w:outlineLvl w:val="1"/>
    </w:pPr>
    <w:rPr>
      <w:rFonts w:eastAsia="MS Gothic"/>
      <w:b/>
      <w:bCs/>
      <w:color w:val="4F81BD"/>
      <w:sz w:val="26"/>
      <w:szCs w:val="26"/>
      <w:lang w:eastAsia="ar-SA"/>
    </w:rPr>
  </w:style>
  <w:style w:type="paragraph" w:styleId="Heading4">
    <w:name w:val="heading 4"/>
    <w:basedOn w:val="Normal"/>
    <w:next w:val="Normal"/>
    <w:link w:val="Heading4Char"/>
    <w:uiPriority w:val="9"/>
    <w:semiHidden/>
    <w:unhideWhenUsed/>
    <w:qFormat/>
    <w:rsid w:val="004960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Char,Char Char Char,Char Char2,Carattere,Carattere Carattere Carattere,Carattere Carattere,Char Char21,Footnote Text Char Char Char,Char Char Char Char11"/>
    <w:basedOn w:val="Normal"/>
    <w:link w:val="FootnoteTextChar"/>
    <w:unhideWhenUsed/>
    <w:rsid w:val="00146FC3"/>
    <w:pPr>
      <w:spacing w:after="0" w:line="240" w:lineRule="auto"/>
    </w:pPr>
    <w:rPr>
      <w:sz w:val="20"/>
      <w:szCs w:val="20"/>
    </w:rPr>
  </w:style>
  <w:style w:type="character" w:customStyle="1" w:styleId="FootnoteTextChar">
    <w:name w:val="Footnote Text Char"/>
    <w:aliases w:val="Char Char1,Char Char Char Char1,Char Char2 Char1,Carattere Char1,Carattere Carattere Carattere Char1,Carattere Carattere Char1,Char Char21 Char1,Footnote Text Char Char Char Char1,Char Char Char Char11 Char1"/>
    <w:basedOn w:val="DefaultParagraphFont"/>
    <w:link w:val="FootnoteText"/>
    <w:uiPriority w:val="99"/>
    <w:rsid w:val="00146FC3"/>
    <w:rPr>
      <w:lang w:eastAsia="en-US"/>
    </w:rPr>
  </w:style>
  <w:style w:type="character" w:styleId="FootnoteReference">
    <w:name w:val="footnote reference"/>
    <w:aliases w:val="[0],Ref,de nota al pie,ftref,Footnote Reference Number,Footnote Reference_LVL6,Footnote Reference_LVL61,Footnote Reference_LVL62,Footnote Reference_LVL63,Footnote Reference_LVL64,fr"/>
    <w:basedOn w:val="DefaultParagraphFont"/>
    <w:unhideWhenUsed/>
    <w:qFormat/>
    <w:rsid w:val="00146FC3"/>
    <w:rPr>
      <w:vertAlign w:val="superscript"/>
    </w:rPr>
  </w:style>
  <w:style w:type="character" w:styleId="Hyperlink">
    <w:name w:val="Hyperlink"/>
    <w:basedOn w:val="DefaultParagraphFont"/>
    <w:unhideWhenUsed/>
    <w:rsid w:val="00BD6D0B"/>
    <w:rPr>
      <w:color w:val="0563C1" w:themeColor="hyperlink"/>
      <w:u w:val="single"/>
    </w:rPr>
  </w:style>
  <w:style w:type="character" w:styleId="UnresolvedMention">
    <w:name w:val="Unresolved Mention"/>
    <w:basedOn w:val="DefaultParagraphFont"/>
    <w:uiPriority w:val="99"/>
    <w:semiHidden/>
    <w:unhideWhenUsed/>
    <w:rsid w:val="00BD6D0B"/>
    <w:rPr>
      <w:color w:val="605E5C"/>
      <w:shd w:val="clear" w:color="auto" w:fill="E1DFDD"/>
    </w:rPr>
  </w:style>
  <w:style w:type="paragraph" w:styleId="Header">
    <w:name w:val="header"/>
    <w:basedOn w:val="Normal"/>
    <w:link w:val="HeaderChar"/>
    <w:uiPriority w:val="99"/>
    <w:unhideWhenUsed/>
    <w:rsid w:val="00855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8FE"/>
    <w:rPr>
      <w:sz w:val="22"/>
      <w:szCs w:val="22"/>
      <w:lang w:eastAsia="en-US"/>
    </w:rPr>
  </w:style>
  <w:style w:type="paragraph" w:styleId="Footer">
    <w:name w:val="footer"/>
    <w:basedOn w:val="Normal"/>
    <w:link w:val="FooterChar"/>
    <w:uiPriority w:val="99"/>
    <w:unhideWhenUsed/>
    <w:rsid w:val="00855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8FE"/>
    <w:rPr>
      <w:sz w:val="22"/>
      <w:szCs w:val="22"/>
      <w:lang w:eastAsia="en-US"/>
    </w:rPr>
  </w:style>
  <w:style w:type="paragraph" w:styleId="ListParagraph">
    <w:name w:val="List Paragraph"/>
    <w:basedOn w:val="Normal"/>
    <w:uiPriority w:val="99"/>
    <w:qFormat/>
    <w:rsid w:val="0029657E"/>
    <w:pPr>
      <w:ind w:left="720"/>
      <w:contextualSpacing/>
    </w:pPr>
  </w:style>
  <w:style w:type="character" w:customStyle="1" w:styleId="Heading2Char">
    <w:name w:val="Heading 2 Char"/>
    <w:basedOn w:val="DefaultParagraphFont"/>
    <w:link w:val="Heading2"/>
    <w:uiPriority w:val="9"/>
    <w:semiHidden/>
    <w:rsid w:val="00547866"/>
    <w:rPr>
      <w:rFonts w:eastAsia="MS Gothic"/>
      <w:b/>
      <w:bCs/>
      <w:color w:val="4F81BD"/>
      <w:sz w:val="26"/>
      <w:szCs w:val="26"/>
      <w:lang w:eastAsia="ar-SA"/>
    </w:rPr>
  </w:style>
  <w:style w:type="character" w:styleId="PageNumber">
    <w:name w:val="page number"/>
    <w:uiPriority w:val="99"/>
    <w:rsid w:val="00547866"/>
    <w:rPr>
      <w:rFonts w:cs="Times New Roman"/>
    </w:rPr>
  </w:style>
  <w:style w:type="paragraph" w:styleId="BalloonText">
    <w:name w:val="Balloon Text"/>
    <w:basedOn w:val="Normal"/>
    <w:link w:val="BalloonTextChar"/>
    <w:uiPriority w:val="99"/>
    <w:semiHidden/>
    <w:rsid w:val="00547866"/>
    <w:pPr>
      <w:spacing w:after="0" w:line="240" w:lineRule="auto"/>
    </w:pPr>
    <w:rPr>
      <w:rFonts w:ascii="Lucida Grande" w:eastAsia="MS ??" w:hAnsi="Lucida Grande" w:cs="Lucida Grande"/>
      <w:sz w:val="18"/>
      <w:szCs w:val="18"/>
      <w:lang w:eastAsia="en-GB"/>
    </w:rPr>
  </w:style>
  <w:style w:type="character" w:customStyle="1" w:styleId="BalloonTextChar">
    <w:name w:val="Balloon Text Char"/>
    <w:basedOn w:val="DefaultParagraphFont"/>
    <w:link w:val="BalloonText"/>
    <w:uiPriority w:val="99"/>
    <w:semiHidden/>
    <w:rsid w:val="00547866"/>
    <w:rPr>
      <w:rFonts w:ascii="Lucida Grande" w:eastAsia="MS ??" w:hAnsi="Lucida Grande" w:cs="Lucida Grande"/>
      <w:sz w:val="18"/>
      <w:szCs w:val="18"/>
    </w:rPr>
  </w:style>
  <w:style w:type="paragraph" w:styleId="NormalWeb">
    <w:name w:val="Normal (Web)"/>
    <w:basedOn w:val="Normal"/>
    <w:uiPriority w:val="99"/>
    <w:unhideWhenUsed/>
    <w:rsid w:val="00547866"/>
    <w:pPr>
      <w:spacing w:before="100" w:beforeAutospacing="1" w:after="100" w:afterAutospacing="1" w:line="240" w:lineRule="auto"/>
    </w:pPr>
    <w:rPr>
      <w:rFonts w:ascii="Times" w:eastAsia="MS ??" w:hAnsi="Times"/>
      <w:sz w:val="20"/>
      <w:szCs w:val="20"/>
    </w:rPr>
  </w:style>
  <w:style w:type="character" w:customStyle="1" w:styleId="FootnoteTextChar1">
    <w:name w:val="Footnote Text Char1"/>
    <w:aliases w:val="Char Char,Char Char Char Char,Char Char2 Char,Carattere Char,Carattere Carattere Carattere Char,Carattere Carattere Char,Char Char21 Char,Footnote Text Char Char Char Char,Char Char Char Char11 Char"/>
    <w:semiHidden/>
    <w:locked/>
    <w:rsid w:val="00547866"/>
    <w:rPr>
      <w:rFonts w:ascii="Times New Roman" w:eastAsia="Times New Roman" w:hAnsi="Times New Roman"/>
      <w:lang w:val="x-none" w:eastAsia="ar-SA"/>
    </w:rPr>
  </w:style>
  <w:style w:type="character" w:customStyle="1" w:styleId="FootnoteCharacters">
    <w:name w:val="Footnote Characters"/>
    <w:rsid w:val="00547866"/>
    <w:rPr>
      <w:vertAlign w:val="superscript"/>
    </w:rPr>
  </w:style>
  <w:style w:type="paragraph" w:customStyle="1" w:styleId="Normal1">
    <w:name w:val="Normal1"/>
    <w:basedOn w:val="Normal"/>
    <w:rsid w:val="00547866"/>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legds">
    <w:name w:val="legds"/>
    <w:rsid w:val="00547866"/>
  </w:style>
  <w:style w:type="paragraph" w:customStyle="1" w:styleId="Style">
    <w:name w:val="Style"/>
    <w:rsid w:val="00547866"/>
    <w:pPr>
      <w:widowControl w:val="0"/>
      <w:autoSpaceDE w:val="0"/>
      <w:autoSpaceDN w:val="0"/>
      <w:adjustRightInd w:val="0"/>
    </w:pPr>
    <w:rPr>
      <w:rFonts w:ascii="Times New Roman" w:eastAsia="Times New Roman" w:hAnsi="Times New Roman"/>
      <w:sz w:val="24"/>
      <w:szCs w:val="24"/>
    </w:rPr>
  </w:style>
  <w:style w:type="character" w:customStyle="1" w:styleId="f">
    <w:name w:val="f"/>
    <w:basedOn w:val="DefaultParagraphFont"/>
    <w:rsid w:val="00340773"/>
  </w:style>
  <w:style w:type="character" w:styleId="Emphasis">
    <w:name w:val="Emphasis"/>
    <w:basedOn w:val="DefaultParagraphFont"/>
    <w:uiPriority w:val="20"/>
    <w:qFormat/>
    <w:rsid w:val="00340773"/>
    <w:rPr>
      <w:i/>
      <w:iCs/>
    </w:rPr>
  </w:style>
  <w:style w:type="character" w:customStyle="1" w:styleId="Heading4Char">
    <w:name w:val="Heading 4 Char"/>
    <w:basedOn w:val="DefaultParagraphFont"/>
    <w:link w:val="Heading4"/>
    <w:uiPriority w:val="9"/>
    <w:semiHidden/>
    <w:rsid w:val="00496027"/>
    <w:rPr>
      <w:rFonts w:asciiTheme="majorHAnsi" w:eastAsiaTheme="majorEastAsia" w:hAnsiTheme="majorHAnsi" w:cstheme="majorBidi"/>
      <w:i/>
      <w:iCs/>
      <w:color w:val="2F5496"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65881">
      <w:bodyDiv w:val="1"/>
      <w:marLeft w:val="0"/>
      <w:marRight w:val="0"/>
      <w:marTop w:val="0"/>
      <w:marBottom w:val="0"/>
      <w:divBdr>
        <w:top w:val="none" w:sz="0" w:space="0" w:color="auto"/>
        <w:left w:val="none" w:sz="0" w:space="0" w:color="auto"/>
        <w:bottom w:val="none" w:sz="0" w:space="0" w:color="auto"/>
        <w:right w:val="none" w:sz="0" w:space="0" w:color="auto"/>
      </w:divBdr>
    </w:div>
    <w:div w:id="175661548">
      <w:bodyDiv w:val="1"/>
      <w:marLeft w:val="0"/>
      <w:marRight w:val="0"/>
      <w:marTop w:val="0"/>
      <w:marBottom w:val="0"/>
      <w:divBdr>
        <w:top w:val="none" w:sz="0" w:space="0" w:color="auto"/>
        <w:left w:val="none" w:sz="0" w:space="0" w:color="auto"/>
        <w:bottom w:val="none" w:sz="0" w:space="0" w:color="auto"/>
        <w:right w:val="none" w:sz="0" w:space="0" w:color="auto"/>
      </w:divBdr>
    </w:div>
    <w:div w:id="1739741257">
      <w:bodyDiv w:val="1"/>
      <w:marLeft w:val="0"/>
      <w:marRight w:val="0"/>
      <w:marTop w:val="0"/>
      <w:marBottom w:val="0"/>
      <w:divBdr>
        <w:top w:val="none" w:sz="0" w:space="0" w:color="auto"/>
        <w:left w:val="none" w:sz="0" w:space="0" w:color="auto"/>
        <w:bottom w:val="none" w:sz="0" w:space="0" w:color="auto"/>
        <w:right w:val="none" w:sz="0" w:space="0" w:color="auto"/>
      </w:divBdr>
    </w:div>
    <w:div w:id="1829398024">
      <w:bodyDiv w:val="1"/>
      <w:marLeft w:val="0"/>
      <w:marRight w:val="0"/>
      <w:marTop w:val="0"/>
      <w:marBottom w:val="0"/>
      <w:divBdr>
        <w:top w:val="none" w:sz="0" w:space="0" w:color="auto"/>
        <w:left w:val="none" w:sz="0" w:space="0" w:color="auto"/>
        <w:bottom w:val="none" w:sz="0" w:space="0" w:color="auto"/>
        <w:right w:val="none" w:sz="0" w:space="0" w:color="auto"/>
      </w:divBdr>
    </w:div>
    <w:div w:id="1931305876">
      <w:bodyDiv w:val="1"/>
      <w:marLeft w:val="0"/>
      <w:marRight w:val="0"/>
      <w:marTop w:val="0"/>
      <w:marBottom w:val="0"/>
      <w:divBdr>
        <w:top w:val="none" w:sz="0" w:space="0" w:color="auto"/>
        <w:left w:val="none" w:sz="0" w:space="0" w:color="auto"/>
        <w:bottom w:val="none" w:sz="0" w:space="0" w:color="auto"/>
        <w:right w:val="none" w:sz="0" w:space="0" w:color="auto"/>
      </w:divBdr>
    </w:div>
    <w:div w:id="199540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E0716-6BE7-4BD5-AFE6-806B8F04A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2975</Words>
  <Characters>16963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2020-12-09T14:43:00Z</dcterms:created>
  <dcterms:modified xsi:type="dcterms:W3CDTF">2020-12-09T14:45:00Z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