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907B6" w14:textId="75C2EC28" w:rsidR="0050388A" w:rsidRPr="00AE6DDE" w:rsidRDefault="007E026B" w:rsidP="0050388A">
      <w:pPr>
        <w:jc w:val="center"/>
        <w:rPr>
          <w:rFonts w:ascii="Book Antiqua" w:hAnsi="Book Antiqua" w:cs="Arial"/>
          <w:caps/>
          <w:color w:val="000000"/>
          <w:sz w:val="16"/>
          <w:szCs w:val="16"/>
        </w:rPr>
      </w:pPr>
      <w:r>
        <w:rPr>
          <w:noProof/>
        </w:rPr>
        <w:drawing>
          <wp:inline distT="0" distB="0" distL="0" distR="0" wp14:anchorId="34FD63CF" wp14:editId="082B0747">
            <wp:extent cx="1042035"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035" cy="902970"/>
                    </a:xfrm>
                    <a:prstGeom prst="rect">
                      <a:avLst/>
                    </a:prstGeom>
                    <a:noFill/>
                    <a:ln>
                      <a:noFill/>
                    </a:ln>
                  </pic:spPr>
                </pic:pic>
              </a:graphicData>
            </a:graphic>
          </wp:inline>
        </w:drawing>
      </w:r>
    </w:p>
    <w:p w14:paraId="67E99719" w14:textId="77777777" w:rsidR="00D94AFC" w:rsidRPr="00AE6DDE" w:rsidRDefault="00D94AFC">
      <w:pPr>
        <w:rPr>
          <w:rFonts w:ascii="Book Antiqua" w:hAnsi="Book Antiqua" w:cs="Arial"/>
          <w:color w:val="000000"/>
          <w:sz w:val="16"/>
          <w:szCs w:val="16"/>
        </w:rPr>
      </w:pPr>
    </w:p>
    <w:p w14:paraId="1E6A0B37"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w:t>
      </w:r>
      <w:r w:rsidR="00421698">
        <w:rPr>
          <w:rFonts w:ascii="Book Antiqua" w:hAnsi="Book Antiqua" w:cs="Arial"/>
          <w:b/>
          <w:color w:val="000000"/>
        </w:rPr>
        <w:t>Tribunal</w:t>
      </w:r>
      <w:r w:rsidRPr="00AE6DDE">
        <w:rPr>
          <w:rFonts w:ascii="Book Antiqua" w:hAnsi="Book Antiqua" w:cs="Arial"/>
          <w:b/>
          <w:color w:val="000000"/>
        </w:rPr>
        <w:t xml:space="preserve"> </w:t>
      </w:r>
    </w:p>
    <w:p w14:paraId="653CF4A6" w14:textId="77777777"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EB2250">
        <w:rPr>
          <w:rFonts w:ascii="Book Antiqua" w:hAnsi="Book Antiqua" w:cs="Arial"/>
          <w:caps/>
          <w:color w:val="000000"/>
        </w:rPr>
        <w:t>pa/10748</w:t>
      </w:r>
      <w:r w:rsidR="00617C41">
        <w:rPr>
          <w:rFonts w:ascii="Book Antiqua" w:hAnsi="Book Antiqua" w:cs="Arial"/>
          <w:caps/>
          <w:color w:val="000000"/>
        </w:rPr>
        <w:t>/201</w:t>
      </w:r>
      <w:r w:rsidR="00EB2250">
        <w:rPr>
          <w:rFonts w:ascii="Book Antiqua" w:hAnsi="Book Antiqua" w:cs="Arial"/>
          <w:caps/>
          <w:color w:val="000000"/>
        </w:rPr>
        <w:t>7</w:t>
      </w:r>
      <w:bookmarkEnd w:id="0"/>
    </w:p>
    <w:p w14:paraId="6E8282EE" w14:textId="77777777" w:rsidR="00C345E1" w:rsidRPr="00AE6DDE" w:rsidRDefault="00C345E1" w:rsidP="00C345E1">
      <w:pPr>
        <w:jc w:val="center"/>
        <w:rPr>
          <w:rFonts w:ascii="Book Antiqua" w:hAnsi="Book Antiqua" w:cs="Arial"/>
          <w:color w:val="000000"/>
        </w:rPr>
      </w:pPr>
    </w:p>
    <w:p w14:paraId="1FE5E39E" w14:textId="77777777" w:rsidR="00C345E1" w:rsidRPr="00AE6DDE" w:rsidRDefault="00C345E1" w:rsidP="00C345E1">
      <w:pPr>
        <w:jc w:val="center"/>
        <w:rPr>
          <w:rFonts w:ascii="Book Antiqua" w:hAnsi="Book Antiqua" w:cs="Arial"/>
          <w:color w:val="000000"/>
        </w:rPr>
      </w:pPr>
    </w:p>
    <w:p w14:paraId="5159E150"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0025ADC2" w14:textId="77777777" w:rsidR="00C345E1" w:rsidRPr="00AE6DDE" w:rsidRDefault="00C345E1" w:rsidP="00C345E1">
      <w:pPr>
        <w:jc w:val="center"/>
        <w:rPr>
          <w:rFonts w:ascii="Book Antiqua" w:hAnsi="Book Antiqua" w:cs="Arial"/>
          <w:b/>
          <w:u w:val="single"/>
        </w:rPr>
      </w:pPr>
    </w:p>
    <w:p w14:paraId="408789F9" w14:textId="77777777" w:rsidR="00C345E1" w:rsidRPr="00AE6DDE" w:rsidRDefault="00C345E1" w:rsidP="00C345E1">
      <w:pPr>
        <w:jc w:val="center"/>
        <w:rPr>
          <w:rFonts w:ascii="Book Antiqua" w:hAnsi="Book Antiqua" w:cs="Arial"/>
          <w:b/>
          <w:u w:val="single"/>
        </w:rPr>
      </w:pPr>
    </w:p>
    <w:tbl>
      <w:tblPr>
        <w:tblW w:w="10284" w:type="dxa"/>
        <w:tblLook w:val="01E0" w:firstRow="1" w:lastRow="1" w:firstColumn="1" w:lastColumn="1" w:noHBand="0" w:noVBand="0"/>
      </w:tblPr>
      <w:tblGrid>
        <w:gridCol w:w="6140"/>
        <w:gridCol w:w="4144"/>
      </w:tblGrid>
      <w:tr w:rsidR="00D22636" w:rsidRPr="003E52CC" w14:paraId="66CE24C2" w14:textId="77777777" w:rsidTr="00F80F56">
        <w:trPr>
          <w:trHeight w:val="304"/>
        </w:trPr>
        <w:tc>
          <w:tcPr>
            <w:tcW w:w="6140" w:type="dxa"/>
            <w:shd w:val="clear" w:color="auto" w:fill="auto"/>
          </w:tcPr>
          <w:p w14:paraId="2AC4EC87" w14:textId="77777777" w:rsidR="00D22636" w:rsidRPr="003E52CC" w:rsidRDefault="00D22636" w:rsidP="003E52CC">
            <w:pPr>
              <w:jc w:val="both"/>
              <w:rPr>
                <w:rFonts w:ascii="Book Antiqua" w:hAnsi="Book Antiqua" w:cs="Arial"/>
                <w:b/>
              </w:rPr>
            </w:pPr>
            <w:r w:rsidRPr="003E52CC">
              <w:rPr>
                <w:rFonts w:ascii="Book Antiqua" w:hAnsi="Book Antiqua" w:cs="Arial"/>
                <w:b/>
              </w:rPr>
              <w:t xml:space="preserve">Heard at </w:t>
            </w:r>
            <w:r w:rsidR="00832D6E">
              <w:rPr>
                <w:rFonts w:ascii="Book Antiqua" w:hAnsi="Book Antiqua" w:cs="Arial"/>
                <w:b/>
              </w:rPr>
              <w:t>the Royal Courts of Justice</w:t>
            </w:r>
          </w:p>
        </w:tc>
        <w:tc>
          <w:tcPr>
            <w:tcW w:w="4144" w:type="dxa"/>
            <w:shd w:val="clear" w:color="auto" w:fill="auto"/>
          </w:tcPr>
          <w:p w14:paraId="5FB2BB73" w14:textId="77777777" w:rsidR="00D22636" w:rsidRPr="003E52CC" w:rsidRDefault="00847259" w:rsidP="003E52CC">
            <w:pPr>
              <w:jc w:val="both"/>
              <w:rPr>
                <w:rFonts w:ascii="Book Antiqua" w:hAnsi="Book Antiqua" w:cs="Arial"/>
                <w:b/>
                <w:color w:val="000000"/>
              </w:rPr>
            </w:pPr>
            <w:r w:rsidRPr="003E52CC">
              <w:rPr>
                <w:rFonts w:ascii="Book Antiqua" w:hAnsi="Book Antiqua" w:cs="Arial"/>
                <w:b/>
                <w:color w:val="000000"/>
              </w:rPr>
              <w:t>Decision &amp; Reasons</w:t>
            </w:r>
            <w:r w:rsidR="00283659" w:rsidRPr="003E52CC">
              <w:rPr>
                <w:rFonts w:ascii="Book Antiqua" w:hAnsi="Book Antiqua" w:cs="Arial"/>
                <w:b/>
                <w:color w:val="000000"/>
              </w:rPr>
              <w:t xml:space="preserve"> Promulgated</w:t>
            </w:r>
          </w:p>
        </w:tc>
      </w:tr>
      <w:tr w:rsidR="00D22636" w:rsidRPr="003E52CC" w14:paraId="08EB29AD" w14:textId="77777777" w:rsidTr="00F80F56">
        <w:trPr>
          <w:trHeight w:val="304"/>
        </w:trPr>
        <w:tc>
          <w:tcPr>
            <w:tcW w:w="6140" w:type="dxa"/>
            <w:shd w:val="clear" w:color="auto" w:fill="auto"/>
          </w:tcPr>
          <w:p w14:paraId="0D651B98" w14:textId="77777777" w:rsidR="00D22636" w:rsidRPr="003E52CC" w:rsidRDefault="00D22636" w:rsidP="003E52CC">
            <w:pPr>
              <w:jc w:val="both"/>
              <w:rPr>
                <w:rFonts w:ascii="Book Antiqua" w:hAnsi="Book Antiqua" w:cs="Arial"/>
                <w:b/>
              </w:rPr>
            </w:pPr>
            <w:r w:rsidRPr="003E52CC">
              <w:rPr>
                <w:rFonts w:ascii="Book Antiqua" w:hAnsi="Book Antiqua" w:cs="Arial"/>
                <w:b/>
              </w:rPr>
              <w:t xml:space="preserve">On </w:t>
            </w:r>
            <w:r w:rsidR="00832D6E">
              <w:rPr>
                <w:rFonts w:ascii="Book Antiqua" w:hAnsi="Book Antiqua" w:cs="Arial"/>
                <w:b/>
              </w:rPr>
              <w:t>11</w:t>
            </w:r>
            <w:r w:rsidR="00832D6E" w:rsidRPr="00832D6E">
              <w:rPr>
                <w:rFonts w:ascii="Book Antiqua" w:hAnsi="Book Antiqua" w:cs="Arial"/>
                <w:b/>
                <w:vertAlign w:val="superscript"/>
              </w:rPr>
              <w:t>th</w:t>
            </w:r>
            <w:r w:rsidR="00832D6E">
              <w:rPr>
                <w:rFonts w:ascii="Book Antiqua" w:hAnsi="Book Antiqua" w:cs="Arial"/>
                <w:b/>
              </w:rPr>
              <w:t xml:space="preserve"> June</w:t>
            </w:r>
            <w:r w:rsidR="00617C41" w:rsidRPr="003E52CC">
              <w:rPr>
                <w:rFonts w:ascii="Book Antiqua" w:hAnsi="Book Antiqua" w:cs="Arial"/>
                <w:b/>
              </w:rPr>
              <w:t xml:space="preserve"> 2018</w:t>
            </w:r>
          </w:p>
        </w:tc>
        <w:tc>
          <w:tcPr>
            <w:tcW w:w="4144" w:type="dxa"/>
            <w:shd w:val="clear" w:color="auto" w:fill="auto"/>
          </w:tcPr>
          <w:p w14:paraId="7AE04605" w14:textId="77777777" w:rsidR="00D22636" w:rsidRPr="003E52CC" w:rsidRDefault="00F80F56" w:rsidP="003E52CC">
            <w:pPr>
              <w:jc w:val="both"/>
              <w:rPr>
                <w:rFonts w:ascii="Book Antiqua" w:hAnsi="Book Antiqua" w:cs="Arial"/>
                <w:b/>
              </w:rPr>
            </w:pPr>
            <w:r>
              <w:rPr>
                <w:rFonts w:ascii="Book Antiqua" w:hAnsi="Book Antiqua" w:cs="Arial"/>
                <w:b/>
                <w:lang w:bidi="ta-IN"/>
              </w:rPr>
              <w:t>On 13 June 2018</w:t>
            </w:r>
          </w:p>
        </w:tc>
      </w:tr>
      <w:tr w:rsidR="00D22636" w:rsidRPr="003E52CC" w14:paraId="17D447D5" w14:textId="77777777" w:rsidTr="00F80F56">
        <w:trPr>
          <w:trHeight w:val="304"/>
        </w:trPr>
        <w:tc>
          <w:tcPr>
            <w:tcW w:w="6140" w:type="dxa"/>
            <w:shd w:val="clear" w:color="auto" w:fill="auto"/>
          </w:tcPr>
          <w:p w14:paraId="40AA8F10" w14:textId="77777777" w:rsidR="00D22636" w:rsidRPr="003E52CC" w:rsidRDefault="00D22636" w:rsidP="003E52CC">
            <w:pPr>
              <w:jc w:val="both"/>
              <w:rPr>
                <w:rFonts w:ascii="Book Antiqua" w:hAnsi="Book Antiqua" w:cs="Arial"/>
                <w:b/>
              </w:rPr>
            </w:pPr>
          </w:p>
        </w:tc>
        <w:tc>
          <w:tcPr>
            <w:tcW w:w="4144" w:type="dxa"/>
            <w:shd w:val="clear" w:color="auto" w:fill="auto"/>
          </w:tcPr>
          <w:p w14:paraId="6A3F4202" w14:textId="77777777" w:rsidR="00D22636" w:rsidRPr="003E52CC" w:rsidRDefault="00D22636" w:rsidP="003E52CC">
            <w:pPr>
              <w:jc w:val="both"/>
              <w:rPr>
                <w:rFonts w:ascii="Book Antiqua" w:hAnsi="Book Antiqua" w:cs="Arial"/>
                <w:b/>
              </w:rPr>
            </w:pPr>
          </w:p>
        </w:tc>
      </w:tr>
    </w:tbl>
    <w:p w14:paraId="00BCEA6F" w14:textId="77777777" w:rsidR="00A15234" w:rsidRPr="00AE6DDE" w:rsidRDefault="00A15234" w:rsidP="00A15234">
      <w:pPr>
        <w:jc w:val="center"/>
        <w:rPr>
          <w:rFonts w:ascii="Book Antiqua" w:hAnsi="Book Antiqua" w:cs="Arial"/>
        </w:rPr>
      </w:pPr>
    </w:p>
    <w:p w14:paraId="6A7A50AE"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7176116E" w14:textId="77777777" w:rsidR="00D20757" w:rsidRDefault="00D20757" w:rsidP="00832D6E">
      <w:pPr>
        <w:rPr>
          <w:rFonts w:ascii="Book Antiqua" w:hAnsi="Book Antiqua" w:cs="Arial"/>
          <w:b/>
          <w:color w:val="000000"/>
        </w:rPr>
      </w:pPr>
    </w:p>
    <w:p w14:paraId="598795AE" w14:textId="77777777" w:rsidR="001B186A" w:rsidRPr="00AE6DDE" w:rsidRDefault="00197947" w:rsidP="00A15234">
      <w:pPr>
        <w:jc w:val="center"/>
        <w:rPr>
          <w:rFonts w:ascii="Book Antiqua" w:hAnsi="Book Antiqua" w:cs="Arial"/>
          <w:b/>
          <w:color w:val="000000"/>
        </w:rPr>
      </w:pPr>
      <w:r>
        <w:rPr>
          <w:rFonts w:ascii="Book Antiqua" w:hAnsi="Book Antiqua" w:cs="Arial"/>
          <w:b/>
          <w:color w:val="000000"/>
        </w:rPr>
        <w:t xml:space="preserve">UPPER </w:t>
      </w:r>
      <w:r w:rsidR="00421698">
        <w:rPr>
          <w:rFonts w:ascii="Book Antiqua" w:hAnsi="Book Antiqua" w:cs="Arial"/>
          <w:b/>
          <w:color w:val="000000"/>
        </w:rPr>
        <w:t>TRIBUNAL</w:t>
      </w:r>
      <w:r>
        <w:rPr>
          <w:rFonts w:ascii="Book Antiqua" w:hAnsi="Book Antiqua" w:cs="Arial"/>
          <w:b/>
          <w:color w:val="000000"/>
        </w:rPr>
        <w:t xml:space="preserve"> JUDGE REEDS</w:t>
      </w:r>
    </w:p>
    <w:p w14:paraId="418623A1" w14:textId="77777777" w:rsidR="001B186A" w:rsidRPr="00AE6DDE" w:rsidRDefault="001B186A" w:rsidP="00A15234">
      <w:pPr>
        <w:jc w:val="center"/>
        <w:rPr>
          <w:rFonts w:ascii="Book Antiqua" w:hAnsi="Book Antiqua" w:cs="Arial"/>
          <w:b/>
          <w:color w:val="000000"/>
        </w:rPr>
      </w:pPr>
    </w:p>
    <w:p w14:paraId="5211B526" w14:textId="77777777" w:rsidR="00A845DC" w:rsidRPr="00AE6DDE" w:rsidRDefault="00A845DC" w:rsidP="00A15234">
      <w:pPr>
        <w:jc w:val="center"/>
        <w:rPr>
          <w:rFonts w:ascii="Book Antiqua" w:hAnsi="Book Antiqua" w:cs="Arial"/>
          <w:b/>
        </w:rPr>
      </w:pPr>
    </w:p>
    <w:p w14:paraId="0C5F4E98"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3F56E440" w14:textId="77777777" w:rsidR="00A845DC" w:rsidRPr="00AE6DDE" w:rsidRDefault="00A845DC" w:rsidP="00A15234">
      <w:pPr>
        <w:jc w:val="center"/>
        <w:rPr>
          <w:rFonts w:ascii="Book Antiqua" w:hAnsi="Book Antiqua" w:cs="Arial"/>
          <w:b/>
        </w:rPr>
      </w:pPr>
    </w:p>
    <w:p w14:paraId="037F4C96" w14:textId="77777777" w:rsidR="00A845DC" w:rsidRDefault="00832D6E" w:rsidP="00A15234">
      <w:pPr>
        <w:jc w:val="center"/>
        <w:rPr>
          <w:rFonts w:ascii="Book Antiqua" w:hAnsi="Book Antiqua" w:cs="Arial"/>
          <w:b/>
          <w:caps/>
        </w:rPr>
      </w:pPr>
      <w:r>
        <w:rPr>
          <w:rFonts w:ascii="Book Antiqua" w:hAnsi="Book Antiqua" w:cs="Arial"/>
          <w:b/>
          <w:caps/>
        </w:rPr>
        <w:t>M</w:t>
      </w:r>
      <w:r w:rsidR="00EB2250">
        <w:rPr>
          <w:rFonts w:ascii="Book Antiqua" w:hAnsi="Book Antiqua" w:cs="Arial"/>
          <w:b/>
          <w:caps/>
        </w:rPr>
        <w:t>A</w:t>
      </w:r>
    </w:p>
    <w:p w14:paraId="45A9C818" w14:textId="77777777" w:rsidR="00847259" w:rsidRPr="00AE6DDE" w:rsidRDefault="00847259" w:rsidP="00A15234">
      <w:pPr>
        <w:jc w:val="center"/>
        <w:rPr>
          <w:rFonts w:ascii="Book Antiqua" w:hAnsi="Book Antiqua" w:cs="Arial"/>
          <w:b/>
          <w:caps/>
        </w:rPr>
      </w:pPr>
      <w:r>
        <w:rPr>
          <w:rFonts w:ascii="Book Antiqua" w:hAnsi="Book Antiqua" w:cs="Arial"/>
          <w:b/>
          <w:caps/>
        </w:rPr>
        <w:t>(anonymity direct</w:t>
      </w:r>
      <w:r w:rsidR="008F56F0">
        <w:rPr>
          <w:rFonts w:ascii="Book Antiqua" w:hAnsi="Book Antiqua" w:cs="Arial"/>
          <w:b/>
          <w:caps/>
        </w:rPr>
        <w:t>ion made</w:t>
      </w:r>
      <w:r>
        <w:rPr>
          <w:rFonts w:ascii="Book Antiqua" w:hAnsi="Book Antiqua" w:cs="Arial"/>
          <w:b/>
          <w:caps/>
        </w:rPr>
        <w:t>)</w:t>
      </w:r>
    </w:p>
    <w:p w14:paraId="2567E154" w14:textId="77777777" w:rsidR="00704B61" w:rsidRPr="00AE6DDE" w:rsidRDefault="00421698" w:rsidP="00704B61">
      <w:pPr>
        <w:jc w:val="right"/>
        <w:rPr>
          <w:rFonts w:ascii="Book Antiqua" w:hAnsi="Book Antiqua" w:cs="Arial"/>
          <w:u w:val="single"/>
        </w:rPr>
      </w:pPr>
      <w:r>
        <w:rPr>
          <w:rFonts w:ascii="Book Antiqua" w:hAnsi="Book Antiqua" w:cs="Arial"/>
          <w:u w:val="single"/>
        </w:rPr>
        <w:t>Appellant</w:t>
      </w:r>
    </w:p>
    <w:p w14:paraId="1D3C1861"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257FF1F2" w14:textId="77777777" w:rsidR="00DD5071" w:rsidRPr="00AE6DDE" w:rsidRDefault="00DD5071" w:rsidP="00704B61">
      <w:pPr>
        <w:jc w:val="center"/>
        <w:rPr>
          <w:rFonts w:ascii="Book Antiqua" w:hAnsi="Book Antiqua" w:cs="Arial"/>
          <w:b/>
        </w:rPr>
      </w:pPr>
    </w:p>
    <w:p w14:paraId="387186F0" w14:textId="77777777"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14:paraId="55A963AC" w14:textId="77777777" w:rsidR="00DD5071" w:rsidRPr="00AE6DDE" w:rsidRDefault="00421698" w:rsidP="00DD5071">
      <w:pPr>
        <w:jc w:val="right"/>
        <w:rPr>
          <w:rFonts w:ascii="Book Antiqua" w:hAnsi="Book Antiqua" w:cs="Arial"/>
          <w:u w:val="single"/>
        </w:rPr>
      </w:pPr>
      <w:r>
        <w:rPr>
          <w:rFonts w:ascii="Book Antiqua" w:hAnsi="Book Antiqua" w:cs="Arial"/>
          <w:u w:val="single"/>
        </w:rPr>
        <w:t>Respondent</w:t>
      </w:r>
    </w:p>
    <w:p w14:paraId="5E619885" w14:textId="77777777" w:rsidR="00DD5071" w:rsidRPr="00AE6DDE" w:rsidRDefault="00DD5071" w:rsidP="00DD5071">
      <w:pPr>
        <w:rPr>
          <w:rFonts w:ascii="Book Antiqua" w:hAnsi="Book Antiqua" w:cs="Arial"/>
          <w:u w:val="single"/>
        </w:rPr>
      </w:pPr>
    </w:p>
    <w:p w14:paraId="61251AC1" w14:textId="77777777" w:rsidR="00DD5071" w:rsidRPr="00AE6DDE" w:rsidRDefault="00DD5071" w:rsidP="00DD5071">
      <w:pPr>
        <w:rPr>
          <w:rFonts w:ascii="Book Antiqua" w:hAnsi="Book Antiqua" w:cs="Arial"/>
          <w:u w:val="single"/>
        </w:rPr>
      </w:pPr>
    </w:p>
    <w:p w14:paraId="6780424A"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37D0B45D"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421698">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EB2250">
        <w:rPr>
          <w:rFonts w:ascii="Book Antiqua" w:hAnsi="Book Antiqua" w:cs="Arial"/>
        </w:rPr>
        <w:t xml:space="preserve">Mr </w:t>
      </w:r>
      <w:proofErr w:type="spellStart"/>
      <w:r w:rsidR="00EB2250">
        <w:rPr>
          <w:rFonts w:ascii="Book Antiqua" w:hAnsi="Book Antiqua" w:cs="Arial"/>
        </w:rPr>
        <w:t>Mian</w:t>
      </w:r>
      <w:proofErr w:type="spellEnd"/>
      <w:r w:rsidR="00C33667">
        <w:rPr>
          <w:rFonts w:ascii="Book Antiqua" w:hAnsi="Book Antiqua" w:cs="Arial"/>
        </w:rPr>
        <w:t xml:space="preserve">, Counsel instructed on behalf of the </w:t>
      </w:r>
      <w:r w:rsidR="00421698">
        <w:rPr>
          <w:rFonts w:ascii="Book Antiqua" w:hAnsi="Book Antiqua" w:cs="Arial"/>
        </w:rPr>
        <w:t>Appellant</w:t>
      </w:r>
    </w:p>
    <w:p w14:paraId="5CA42F59"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421698">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832D6E">
        <w:rPr>
          <w:rFonts w:ascii="Book Antiqua" w:hAnsi="Book Antiqua" w:cs="Arial"/>
        </w:rPr>
        <w:t>Ms Z. Ahmed</w:t>
      </w:r>
      <w:r w:rsidR="00C33667">
        <w:rPr>
          <w:rFonts w:ascii="Book Antiqua" w:hAnsi="Book Antiqua" w:cs="Arial"/>
        </w:rPr>
        <w:t>, Senior Presenting Officer</w:t>
      </w:r>
    </w:p>
    <w:p w14:paraId="21B941D3" w14:textId="77777777" w:rsidR="00DE7DB7" w:rsidRPr="00AE6DDE" w:rsidRDefault="00DE7DB7" w:rsidP="00847259">
      <w:pPr>
        <w:jc w:val="center"/>
        <w:rPr>
          <w:rFonts w:ascii="Book Antiqua" w:hAnsi="Book Antiqua" w:cs="Arial"/>
        </w:rPr>
      </w:pPr>
    </w:p>
    <w:p w14:paraId="5B1F02FC" w14:textId="77777777" w:rsidR="00DE7DB7" w:rsidRPr="00AE6DDE" w:rsidRDefault="00DE7DB7" w:rsidP="00847259">
      <w:pPr>
        <w:jc w:val="center"/>
        <w:rPr>
          <w:rFonts w:ascii="Book Antiqua" w:hAnsi="Book Antiqua" w:cs="Arial"/>
        </w:rPr>
      </w:pPr>
    </w:p>
    <w:p w14:paraId="4FC25463"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56CBB4FA" w14:textId="77777777" w:rsidR="000E7724" w:rsidRDefault="000E7724" w:rsidP="00E917CD">
      <w:pPr>
        <w:numPr>
          <w:ilvl w:val="0"/>
          <w:numId w:val="1"/>
        </w:numPr>
        <w:spacing w:before="240"/>
        <w:jc w:val="both"/>
        <w:rPr>
          <w:rFonts w:ascii="Book Antiqua" w:hAnsi="Book Antiqua" w:cs="Arial"/>
        </w:rPr>
      </w:pPr>
      <w:r>
        <w:rPr>
          <w:rFonts w:ascii="Book Antiqua" w:hAnsi="Book Antiqua" w:cs="Arial"/>
        </w:rPr>
        <w:t>The</w:t>
      </w:r>
      <w:r w:rsidR="00832D6E">
        <w:rPr>
          <w:rFonts w:ascii="Book Antiqua" w:hAnsi="Book Antiqua" w:cs="Arial"/>
        </w:rPr>
        <w:t xml:space="preserve"> </w:t>
      </w:r>
      <w:r w:rsidR="00421698">
        <w:rPr>
          <w:rFonts w:ascii="Book Antiqua" w:hAnsi="Book Antiqua" w:cs="Arial"/>
        </w:rPr>
        <w:t>Appellant</w:t>
      </w:r>
      <w:r w:rsidR="00EB2250">
        <w:rPr>
          <w:rFonts w:ascii="Book Antiqua" w:hAnsi="Book Antiqua" w:cs="Arial"/>
        </w:rPr>
        <w:t xml:space="preserve"> is a national of Pakistan</w:t>
      </w:r>
      <w:r>
        <w:rPr>
          <w:rFonts w:ascii="Book Antiqua" w:hAnsi="Book Antiqua" w:cs="Arial"/>
        </w:rPr>
        <w:t>.</w:t>
      </w:r>
    </w:p>
    <w:p w14:paraId="5FEAC07F" w14:textId="77777777" w:rsidR="00E917CD" w:rsidRDefault="00832D6E" w:rsidP="00E917CD">
      <w:pPr>
        <w:numPr>
          <w:ilvl w:val="0"/>
          <w:numId w:val="1"/>
        </w:numPr>
        <w:spacing w:before="240"/>
        <w:jc w:val="both"/>
        <w:rPr>
          <w:rFonts w:ascii="Book Antiqua" w:hAnsi="Book Antiqua" w:cs="Arial"/>
        </w:rPr>
      </w:pPr>
      <w:r>
        <w:rPr>
          <w:rFonts w:ascii="Book Antiqua" w:hAnsi="Book Antiqua" w:cs="Arial"/>
        </w:rPr>
        <w:t>I</w:t>
      </w:r>
      <w:r w:rsidR="00E917CD">
        <w:rPr>
          <w:rFonts w:ascii="Book Antiqua" w:hAnsi="Book Antiqua" w:cs="Arial"/>
        </w:rPr>
        <w:t xml:space="preserve"> make a direction regarding anonymity under Rule 14 of the </w:t>
      </w:r>
      <w:r w:rsidR="00421698">
        <w:rPr>
          <w:rFonts w:ascii="Book Antiqua" w:hAnsi="Book Antiqua" w:cs="Arial"/>
        </w:rPr>
        <w:t>Tribunal</w:t>
      </w:r>
      <w:r w:rsidR="00E917CD">
        <w:rPr>
          <w:rFonts w:ascii="Book Antiqua" w:hAnsi="Book Antiqua" w:cs="Arial"/>
        </w:rPr>
        <w:t xml:space="preserve"> Procedure (Upper </w:t>
      </w:r>
      <w:r w:rsidR="00421698">
        <w:rPr>
          <w:rFonts w:ascii="Book Antiqua" w:hAnsi="Book Antiqua" w:cs="Arial"/>
        </w:rPr>
        <w:t>Tribunal</w:t>
      </w:r>
      <w:r w:rsidR="00E917CD">
        <w:rPr>
          <w:rFonts w:ascii="Book Antiqua" w:hAnsi="Book Antiqua" w:cs="Arial"/>
        </w:rPr>
        <w:t xml:space="preserve"> Rules) Rules 2008.  Unless and until a </w:t>
      </w:r>
      <w:r w:rsidR="00421698">
        <w:rPr>
          <w:rFonts w:ascii="Book Antiqua" w:hAnsi="Book Antiqua" w:cs="Arial"/>
        </w:rPr>
        <w:t>Tribunal</w:t>
      </w:r>
      <w:r w:rsidR="00E917CD">
        <w:rPr>
          <w:rFonts w:ascii="Book Antiqua" w:hAnsi="Book Antiqua" w:cs="Arial"/>
        </w:rPr>
        <w:t xml:space="preserve"> or court directs otherwise the </w:t>
      </w:r>
      <w:r w:rsidR="00421698">
        <w:rPr>
          <w:rFonts w:ascii="Book Antiqua" w:hAnsi="Book Antiqua" w:cs="Arial"/>
        </w:rPr>
        <w:t>Appellant</w:t>
      </w:r>
      <w:r w:rsidR="00E917CD">
        <w:rPr>
          <w:rFonts w:ascii="Book Antiqua" w:hAnsi="Book Antiqua" w:cs="Arial"/>
        </w:rPr>
        <w:t xml:space="preserve"> is granted anonymity.  No report of these proceedings shall directly or indirectly identify him. This direction applies both to the </w:t>
      </w:r>
      <w:r w:rsidR="00421698">
        <w:rPr>
          <w:rFonts w:ascii="Book Antiqua" w:hAnsi="Book Antiqua" w:cs="Arial"/>
        </w:rPr>
        <w:t>Appellant</w:t>
      </w:r>
      <w:r w:rsidR="00E917CD">
        <w:rPr>
          <w:rFonts w:ascii="Book Antiqua" w:hAnsi="Book Antiqua" w:cs="Arial"/>
        </w:rPr>
        <w:t xml:space="preserve"> and to the </w:t>
      </w:r>
      <w:r w:rsidR="00421698">
        <w:rPr>
          <w:rFonts w:ascii="Book Antiqua" w:hAnsi="Book Antiqua" w:cs="Arial"/>
        </w:rPr>
        <w:t>Respondent</w:t>
      </w:r>
      <w:r w:rsidR="00E917CD">
        <w:rPr>
          <w:rFonts w:ascii="Book Antiqua" w:hAnsi="Book Antiqua" w:cs="Arial"/>
        </w:rPr>
        <w:t>.  Failure to comply with this direction could lead to contempt of court proceedings.</w:t>
      </w:r>
      <w:r w:rsidR="00E917CD">
        <w:rPr>
          <w:rFonts w:ascii="Book Antiqua" w:hAnsi="Book Antiqua" w:cs="Arial"/>
          <w:b/>
        </w:rPr>
        <w:t xml:space="preserve"> </w:t>
      </w:r>
    </w:p>
    <w:p w14:paraId="4BE7B4A2" w14:textId="77777777" w:rsidR="00FF676B" w:rsidRDefault="000E7724" w:rsidP="000E7724">
      <w:pPr>
        <w:numPr>
          <w:ilvl w:val="0"/>
          <w:numId w:val="2"/>
        </w:numPr>
        <w:spacing w:before="240"/>
        <w:jc w:val="both"/>
        <w:rPr>
          <w:rFonts w:ascii="Book Antiqua" w:hAnsi="Book Antiqua" w:cs="Arial"/>
        </w:rPr>
      </w:pPr>
      <w:r>
        <w:rPr>
          <w:rFonts w:ascii="Book Antiqua" w:hAnsi="Book Antiqua" w:cs="Arial"/>
        </w:rPr>
        <w:lastRenderedPageBreak/>
        <w:t>The</w:t>
      </w:r>
      <w:r w:rsidRPr="000D436D">
        <w:rPr>
          <w:rFonts w:ascii="Book Antiqua" w:hAnsi="Book Antiqua" w:cs="Arial"/>
        </w:rPr>
        <w:t xml:space="preserve"> </w:t>
      </w:r>
      <w:r w:rsidR="00421698">
        <w:rPr>
          <w:rFonts w:ascii="Book Antiqua" w:hAnsi="Book Antiqua" w:cs="Arial"/>
        </w:rPr>
        <w:t>Appellant</w:t>
      </w:r>
      <w:r>
        <w:rPr>
          <w:rFonts w:ascii="Book Antiqua" w:hAnsi="Book Antiqua" w:cs="Arial"/>
        </w:rPr>
        <w:t xml:space="preserve"> with permission,</w:t>
      </w:r>
      <w:r w:rsidRPr="000D436D">
        <w:rPr>
          <w:rFonts w:ascii="Book Antiqua" w:hAnsi="Book Antiqua" w:cs="Arial"/>
        </w:rPr>
        <w:t xml:space="preserve"> appeals against the decision of the First-tier </w:t>
      </w:r>
      <w:r w:rsidR="00421698">
        <w:rPr>
          <w:rFonts w:ascii="Book Antiqua" w:hAnsi="Book Antiqua" w:cs="Arial"/>
        </w:rPr>
        <w:t>Tribunal</w:t>
      </w:r>
      <w:r w:rsidRPr="000D436D">
        <w:rPr>
          <w:rFonts w:ascii="Book Antiqua" w:hAnsi="Book Antiqua" w:cs="Arial"/>
        </w:rPr>
        <w:t>, who, in a determination promulgated on the</w:t>
      </w:r>
      <w:r>
        <w:rPr>
          <w:rFonts w:ascii="Book Antiqua" w:hAnsi="Book Antiqua" w:cs="Arial"/>
        </w:rPr>
        <w:t xml:space="preserve"> </w:t>
      </w:r>
      <w:r w:rsidR="00EB2250">
        <w:rPr>
          <w:rFonts w:ascii="Book Antiqua" w:hAnsi="Book Antiqua" w:cs="Arial"/>
        </w:rPr>
        <w:t>8</w:t>
      </w:r>
      <w:r w:rsidR="00EB2250" w:rsidRPr="00EB2250">
        <w:rPr>
          <w:rFonts w:ascii="Book Antiqua" w:hAnsi="Book Antiqua" w:cs="Arial"/>
          <w:vertAlign w:val="superscript"/>
        </w:rPr>
        <w:t>th</w:t>
      </w:r>
      <w:r w:rsidR="00EB2250">
        <w:rPr>
          <w:rFonts w:ascii="Book Antiqua" w:hAnsi="Book Antiqua" w:cs="Arial"/>
        </w:rPr>
        <w:t xml:space="preserve"> December 2017</w:t>
      </w:r>
      <w:r>
        <w:rPr>
          <w:rFonts w:ascii="Book Antiqua" w:hAnsi="Book Antiqua" w:cs="Arial"/>
        </w:rPr>
        <w:t>, dismissed his</w:t>
      </w:r>
      <w:r w:rsidR="00EB2250">
        <w:rPr>
          <w:rFonts w:ascii="Book Antiqua" w:hAnsi="Book Antiqua" w:cs="Arial"/>
        </w:rPr>
        <w:t xml:space="preserve"> claim for protection and on human rights grounds.</w:t>
      </w:r>
    </w:p>
    <w:p w14:paraId="1309854B" w14:textId="77777777" w:rsidR="00EB2250" w:rsidRDefault="00195F50" w:rsidP="000E7724">
      <w:pPr>
        <w:numPr>
          <w:ilvl w:val="0"/>
          <w:numId w:val="2"/>
        </w:numPr>
        <w:spacing w:before="240"/>
        <w:jc w:val="both"/>
        <w:rPr>
          <w:rFonts w:ascii="Book Antiqua" w:hAnsi="Book Antiqua" w:cs="Arial"/>
        </w:rPr>
      </w:pPr>
      <w:r>
        <w:rPr>
          <w:rFonts w:ascii="Book Antiqua" w:hAnsi="Book Antiqua" w:cs="Arial"/>
        </w:rPr>
        <w:t xml:space="preserve">The basis of the </w:t>
      </w:r>
      <w:r w:rsidR="00421698">
        <w:rPr>
          <w:rFonts w:ascii="Book Antiqua" w:hAnsi="Book Antiqua" w:cs="Arial"/>
        </w:rPr>
        <w:t>Appellant’s</w:t>
      </w:r>
      <w:r>
        <w:rPr>
          <w:rFonts w:ascii="Book Antiqua" w:hAnsi="Book Antiqua" w:cs="Arial"/>
        </w:rPr>
        <w:t xml:space="preserve"> claim is set out in the decision letter and summarised in the determination. </w:t>
      </w:r>
      <w:r w:rsidR="0015056F">
        <w:rPr>
          <w:rFonts w:ascii="Book Antiqua" w:hAnsi="Book Antiqua" w:cs="Arial"/>
        </w:rPr>
        <w:t xml:space="preserve">The </w:t>
      </w:r>
      <w:r w:rsidR="00421698">
        <w:rPr>
          <w:rFonts w:ascii="Book Antiqua" w:hAnsi="Book Antiqua" w:cs="Arial"/>
        </w:rPr>
        <w:t>Appellant</w:t>
      </w:r>
      <w:r w:rsidR="0015056F">
        <w:rPr>
          <w:rFonts w:ascii="Book Antiqua" w:hAnsi="Book Antiqua" w:cs="Arial"/>
        </w:rPr>
        <w:t xml:space="preserve"> claimed that he had entered the United Kingdom in December 2001 on a false passport and was therefore a minor when he entered the United Kingdom. He had left Pakistan with the help of an agent as a result of violence at the hands of family relatives as a result of a land dispute. It was claimed that he had been taken hostage for two days during which time he had been the subject of ill-treatment. It was asserted that he was the subject of ill-treatment because the relatives wanted to take possession of his share of the proceeds of sale from their father</w:t>
      </w:r>
      <w:r w:rsidR="00421698">
        <w:rPr>
          <w:rFonts w:ascii="Book Antiqua" w:hAnsi="Book Antiqua" w:cs="Arial"/>
        </w:rPr>
        <w:t>’</w:t>
      </w:r>
      <w:r w:rsidR="0015056F">
        <w:rPr>
          <w:rFonts w:ascii="Book Antiqua" w:hAnsi="Book Antiqua" w:cs="Arial"/>
        </w:rPr>
        <w:t xml:space="preserve">s land which was kept in his mother’s account. </w:t>
      </w:r>
    </w:p>
    <w:p w14:paraId="6F4B4AEF" w14:textId="77777777" w:rsidR="0015056F" w:rsidRDefault="0015056F" w:rsidP="000E7724">
      <w:pPr>
        <w:numPr>
          <w:ilvl w:val="0"/>
          <w:numId w:val="2"/>
        </w:numPr>
        <w:spacing w:before="240"/>
        <w:jc w:val="both"/>
        <w:rPr>
          <w:rFonts w:ascii="Book Antiqua" w:hAnsi="Book Antiqua" w:cs="Arial"/>
        </w:rPr>
      </w:pPr>
      <w:r>
        <w:rPr>
          <w:rFonts w:ascii="Book Antiqua" w:hAnsi="Book Antiqua" w:cs="Arial"/>
        </w:rPr>
        <w:t>On 26 July 2017 he was encountered working illegally (although he disputes that he was working at that time) but was arrested and detained. On 31 July 2017 he claimed asylum.</w:t>
      </w:r>
    </w:p>
    <w:p w14:paraId="3686B7F9" w14:textId="77777777" w:rsidR="00EB2250" w:rsidRPr="0015056F" w:rsidRDefault="0015056F" w:rsidP="0015056F">
      <w:pPr>
        <w:numPr>
          <w:ilvl w:val="0"/>
          <w:numId w:val="2"/>
        </w:numPr>
        <w:spacing w:before="240"/>
        <w:jc w:val="both"/>
        <w:rPr>
          <w:rFonts w:ascii="Book Antiqua" w:hAnsi="Book Antiqua" w:cs="Arial"/>
        </w:rPr>
      </w:pPr>
      <w:r>
        <w:rPr>
          <w:rFonts w:ascii="Book Antiqua" w:hAnsi="Book Antiqua" w:cs="Arial"/>
        </w:rPr>
        <w:t xml:space="preserve">The judge heard evidence from the </w:t>
      </w:r>
      <w:r w:rsidR="00421698">
        <w:rPr>
          <w:rFonts w:ascii="Book Antiqua" w:hAnsi="Book Antiqua" w:cs="Arial"/>
        </w:rPr>
        <w:t>Appellant</w:t>
      </w:r>
      <w:r>
        <w:rPr>
          <w:rFonts w:ascii="Book Antiqua" w:hAnsi="Book Antiqua" w:cs="Arial"/>
        </w:rPr>
        <w:t xml:space="preserve"> and also from witnesses called on his behalf. </w:t>
      </w:r>
      <w:r w:rsidR="00EB2250" w:rsidRPr="0015056F">
        <w:rPr>
          <w:rFonts w:ascii="Book Antiqua" w:hAnsi="Book Antiqua" w:cs="Arial"/>
        </w:rPr>
        <w:t>In her</w:t>
      </w:r>
      <w:r w:rsidR="00FF676B" w:rsidRPr="0015056F">
        <w:rPr>
          <w:rFonts w:ascii="Book Antiqua" w:hAnsi="Book Antiqua" w:cs="Arial"/>
        </w:rPr>
        <w:t xml:space="preserve"> determinat</w:t>
      </w:r>
      <w:r w:rsidR="00EB2250" w:rsidRPr="0015056F">
        <w:rPr>
          <w:rFonts w:ascii="Book Antiqua" w:hAnsi="Book Antiqua" w:cs="Arial"/>
        </w:rPr>
        <w:t>ion promulgated on the 8</w:t>
      </w:r>
      <w:r w:rsidR="00EB2250" w:rsidRPr="0015056F">
        <w:rPr>
          <w:rFonts w:ascii="Book Antiqua" w:hAnsi="Book Antiqua" w:cs="Arial"/>
          <w:vertAlign w:val="superscript"/>
        </w:rPr>
        <w:t>th</w:t>
      </w:r>
      <w:r>
        <w:rPr>
          <w:rFonts w:ascii="Book Antiqua" w:hAnsi="Book Antiqua" w:cs="Arial"/>
        </w:rPr>
        <w:t xml:space="preserve"> December </w:t>
      </w:r>
      <w:r w:rsidR="00EB2250" w:rsidRPr="0015056F">
        <w:rPr>
          <w:rFonts w:ascii="Book Antiqua" w:hAnsi="Book Antiqua" w:cs="Arial"/>
        </w:rPr>
        <w:t>2017</w:t>
      </w:r>
      <w:r w:rsidR="00FF676B" w:rsidRPr="0015056F">
        <w:rPr>
          <w:rFonts w:ascii="Book Antiqua" w:hAnsi="Book Antiqua" w:cs="Arial"/>
        </w:rPr>
        <w:t xml:space="preserve">, the First-tier </w:t>
      </w:r>
      <w:r w:rsidR="00421698">
        <w:rPr>
          <w:rFonts w:ascii="Book Antiqua" w:hAnsi="Book Antiqua" w:cs="Arial"/>
        </w:rPr>
        <w:t>Tribunal</w:t>
      </w:r>
      <w:r w:rsidR="00FF676B" w:rsidRPr="0015056F">
        <w:rPr>
          <w:rFonts w:ascii="Book Antiqua" w:hAnsi="Book Antiqua" w:cs="Arial"/>
        </w:rPr>
        <w:t xml:space="preserve"> judge dismissed his appeal having made a number of adverse credibi</w:t>
      </w:r>
      <w:r>
        <w:rPr>
          <w:rFonts w:ascii="Book Antiqua" w:hAnsi="Book Antiqua" w:cs="Arial"/>
        </w:rPr>
        <w:t xml:space="preserve">lity findings in relation to </w:t>
      </w:r>
      <w:r w:rsidR="00421698">
        <w:rPr>
          <w:rFonts w:ascii="Book Antiqua" w:hAnsi="Book Antiqua" w:cs="Arial"/>
        </w:rPr>
        <w:t xml:space="preserve">the factual basis of his </w:t>
      </w:r>
      <w:r w:rsidR="00FF676B" w:rsidRPr="0015056F">
        <w:rPr>
          <w:rFonts w:ascii="Book Antiqua" w:hAnsi="Book Antiqua" w:cs="Arial"/>
        </w:rPr>
        <w:t>claim</w:t>
      </w:r>
      <w:r>
        <w:rPr>
          <w:rFonts w:ascii="Book Antiqua" w:hAnsi="Book Antiqua" w:cs="Arial"/>
        </w:rPr>
        <w:t xml:space="preserve"> </w:t>
      </w:r>
      <w:r w:rsidR="00421698">
        <w:rPr>
          <w:rFonts w:ascii="Book Antiqua" w:hAnsi="Book Antiqua" w:cs="Arial"/>
        </w:rPr>
        <w:t xml:space="preserve">and </w:t>
      </w:r>
      <w:r>
        <w:rPr>
          <w:rFonts w:ascii="Book Antiqua" w:hAnsi="Book Antiqua" w:cs="Arial"/>
        </w:rPr>
        <w:t xml:space="preserve">having reached the conclusion that he had not been in United Kingdom since 2001 but that he arrived shortly before his first claim to the Home Office made in June 2011 and was thus 22 years old at the time. She disbelieved his account of problems that he had encountered in Pakistan and did not accept that there was any ongoing argument with his brother in an attempt to get the </w:t>
      </w:r>
      <w:r w:rsidR="00421698">
        <w:rPr>
          <w:rFonts w:ascii="Book Antiqua" w:hAnsi="Book Antiqua" w:cs="Arial"/>
        </w:rPr>
        <w:t>Appellant</w:t>
      </w:r>
      <w:r>
        <w:rPr>
          <w:rFonts w:ascii="Book Antiqua" w:hAnsi="Book Antiqua" w:cs="Arial"/>
        </w:rPr>
        <w:t xml:space="preserve"> to sign over the family home as a result of a number of inconsistencies in the evidence which she set out in her findings of fact from paragraph</w:t>
      </w:r>
      <w:r w:rsidR="00421698">
        <w:rPr>
          <w:rFonts w:ascii="Book Antiqua" w:hAnsi="Book Antiqua" w:cs="Arial"/>
        </w:rPr>
        <w:t>s</w:t>
      </w:r>
      <w:r>
        <w:rPr>
          <w:rFonts w:ascii="Book Antiqua" w:hAnsi="Book Antiqua" w:cs="Arial"/>
        </w:rPr>
        <w:t xml:space="preserve"> 62 – 81.</w:t>
      </w:r>
      <w:r w:rsidR="00FF676B" w:rsidRPr="0015056F">
        <w:rPr>
          <w:rFonts w:ascii="Book Antiqua" w:hAnsi="Book Antiqua" w:cs="Arial"/>
        </w:rPr>
        <w:t xml:space="preserve"> </w:t>
      </w:r>
    </w:p>
    <w:p w14:paraId="694C9CC1" w14:textId="77777777" w:rsidR="00FF676B" w:rsidRDefault="00FF676B" w:rsidP="00EB2250">
      <w:pPr>
        <w:numPr>
          <w:ilvl w:val="0"/>
          <w:numId w:val="2"/>
        </w:numPr>
        <w:spacing w:before="240"/>
        <w:jc w:val="both"/>
        <w:rPr>
          <w:rFonts w:ascii="Book Antiqua" w:hAnsi="Book Antiqua" w:cs="Arial"/>
        </w:rPr>
      </w:pPr>
      <w:r w:rsidRPr="00EB2250">
        <w:rPr>
          <w:rFonts w:ascii="Book Antiqua" w:hAnsi="Book Antiqua" w:cs="Arial"/>
        </w:rPr>
        <w:t xml:space="preserve">The </w:t>
      </w:r>
      <w:r w:rsidR="00421698">
        <w:rPr>
          <w:rFonts w:ascii="Book Antiqua" w:hAnsi="Book Antiqua" w:cs="Arial"/>
        </w:rPr>
        <w:t>Appellant</w:t>
      </w:r>
      <w:r w:rsidRPr="00EB2250">
        <w:rPr>
          <w:rFonts w:ascii="Book Antiqua" w:hAnsi="Book Antiqua" w:cs="Arial"/>
        </w:rPr>
        <w:t xml:space="preserve"> sought permission to appea</w:t>
      </w:r>
      <w:r w:rsidR="00EB2250">
        <w:rPr>
          <w:rFonts w:ascii="Book Antiqua" w:hAnsi="Book Antiqua" w:cs="Arial"/>
        </w:rPr>
        <w:t>l that decision</w:t>
      </w:r>
      <w:r w:rsidRPr="00EB2250">
        <w:rPr>
          <w:rFonts w:ascii="Book Antiqua" w:hAnsi="Book Antiqua" w:cs="Arial"/>
        </w:rPr>
        <w:t xml:space="preserve"> and on </w:t>
      </w:r>
      <w:r w:rsidR="00EB2250">
        <w:rPr>
          <w:rFonts w:ascii="Book Antiqua" w:hAnsi="Book Antiqua" w:cs="Arial"/>
        </w:rPr>
        <w:t>the 8</w:t>
      </w:r>
      <w:r w:rsidR="00EB2250" w:rsidRPr="00EB2250">
        <w:rPr>
          <w:rFonts w:ascii="Book Antiqua" w:hAnsi="Book Antiqua" w:cs="Arial"/>
          <w:vertAlign w:val="superscript"/>
        </w:rPr>
        <w:t>th</w:t>
      </w:r>
      <w:r w:rsidR="00EB2250">
        <w:rPr>
          <w:rFonts w:ascii="Book Antiqua" w:hAnsi="Book Antiqua" w:cs="Arial"/>
        </w:rPr>
        <w:t xml:space="preserve"> January 2018 permission was refused but on renewal was granted on the 3</w:t>
      </w:r>
      <w:r w:rsidR="00EB2250" w:rsidRPr="00EB2250">
        <w:rPr>
          <w:rFonts w:ascii="Book Antiqua" w:hAnsi="Book Antiqua" w:cs="Arial"/>
          <w:vertAlign w:val="superscript"/>
        </w:rPr>
        <w:t>rd</w:t>
      </w:r>
      <w:r w:rsidR="00EB2250">
        <w:rPr>
          <w:rFonts w:ascii="Book Antiqua" w:hAnsi="Book Antiqua" w:cs="Arial"/>
        </w:rPr>
        <w:t xml:space="preserve"> May 2018</w:t>
      </w:r>
    </w:p>
    <w:p w14:paraId="3B267506" w14:textId="77777777" w:rsidR="003841D6" w:rsidRDefault="003841D6" w:rsidP="000E7724">
      <w:pPr>
        <w:numPr>
          <w:ilvl w:val="0"/>
          <w:numId w:val="2"/>
        </w:numPr>
        <w:spacing w:before="240"/>
        <w:jc w:val="both"/>
        <w:rPr>
          <w:rFonts w:ascii="Book Antiqua" w:hAnsi="Book Antiqua" w:cs="Arial"/>
        </w:rPr>
      </w:pPr>
      <w:proofErr w:type="gramStart"/>
      <w:r>
        <w:rPr>
          <w:rFonts w:ascii="Book Antiqua" w:hAnsi="Book Antiqua" w:cs="Arial"/>
        </w:rPr>
        <w:t>Thus</w:t>
      </w:r>
      <w:proofErr w:type="gramEnd"/>
      <w:r>
        <w:rPr>
          <w:rFonts w:ascii="Book Antiqua" w:hAnsi="Book Antiqua" w:cs="Arial"/>
        </w:rPr>
        <w:t xml:space="preserve"> the matter came before the Upper </w:t>
      </w:r>
      <w:r w:rsidR="00421698">
        <w:rPr>
          <w:rFonts w:ascii="Book Antiqua" w:hAnsi="Book Antiqua" w:cs="Arial"/>
        </w:rPr>
        <w:t>Tribunal</w:t>
      </w:r>
      <w:r>
        <w:rPr>
          <w:rFonts w:ascii="Book Antiqua" w:hAnsi="Book Antiqua" w:cs="Arial"/>
        </w:rPr>
        <w:t xml:space="preserve">. The </w:t>
      </w:r>
      <w:r w:rsidR="00421698">
        <w:rPr>
          <w:rFonts w:ascii="Book Antiqua" w:hAnsi="Book Antiqua" w:cs="Arial"/>
        </w:rPr>
        <w:t>Appellant</w:t>
      </w:r>
      <w:r>
        <w:rPr>
          <w:rFonts w:ascii="Book Antiqua" w:hAnsi="Book Antiqua" w:cs="Arial"/>
        </w:rPr>
        <w:t xml:space="preserve"> was represented by</w:t>
      </w:r>
      <w:r w:rsidR="00EB2250">
        <w:rPr>
          <w:rFonts w:ascii="Book Antiqua" w:hAnsi="Book Antiqua" w:cs="Arial"/>
        </w:rPr>
        <w:t xml:space="preserve"> Mr </w:t>
      </w:r>
      <w:proofErr w:type="spellStart"/>
      <w:r w:rsidR="00EB2250">
        <w:rPr>
          <w:rFonts w:ascii="Book Antiqua" w:hAnsi="Book Antiqua" w:cs="Arial"/>
        </w:rPr>
        <w:t>Mian</w:t>
      </w:r>
      <w:proofErr w:type="spellEnd"/>
      <w:r>
        <w:rPr>
          <w:rFonts w:ascii="Book Antiqua" w:hAnsi="Book Antiqua" w:cs="Arial"/>
        </w:rPr>
        <w:t xml:space="preserve"> and the </w:t>
      </w:r>
      <w:r w:rsidR="00421698">
        <w:rPr>
          <w:rFonts w:ascii="Book Antiqua" w:hAnsi="Book Antiqua" w:cs="Arial"/>
        </w:rPr>
        <w:t>Respondent</w:t>
      </w:r>
      <w:r>
        <w:rPr>
          <w:rFonts w:ascii="Book Antiqua" w:hAnsi="Book Antiqua" w:cs="Arial"/>
        </w:rPr>
        <w:t xml:space="preserve"> by</w:t>
      </w:r>
      <w:r w:rsidR="00EB2250">
        <w:rPr>
          <w:rFonts w:ascii="Book Antiqua" w:hAnsi="Book Antiqua" w:cs="Arial"/>
        </w:rPr>
        <w:t xml:space="preserve"> Ms Ahmed</w:t>
      </w:r>
      <w:r>
        <w:rPr>
          <w:rFonts w:ascii="Book Antiqua" w:hAnsi="Book Antiqua" w:cs="Arial"/>
        </w:rPr>
        <w:t xml:space="preserve"> I have had the benefit of hearing their respective oral submissions in conjunction with the written grounds and the material that was before the First-tier </w:t>
      </w:r>
      <w:r w:rsidR="00421698">
        <w:rPr>
          <w:rFonts w:ascii="Book Antiqua" w:hAnsi="Book Antiqua" w:cs="Arial"/>
        </w:rPr>
        <w:t>Tribunal</w:t>
      </w:r>
      <w:r>
        <w:rPr>
          <w:rFonts w:ascii="Book Antiqua" w:hAnsi="Book Antiqua" w:cs="Arial"/>
        </w:rPr>
        <w:t xml:space="preserve">. </w:t>
      </w:r>
      <w:r w:rsidR="00EB2250">
        <w:rPr>
          <w:rFonts w:ascii="Book Antiqua" w:hAnsi="Book Antiqua" w:cs="Arial"/>
        </w:rPr>
        <w:t>I shall refer to those submission when reaching my conclusions as to whether the decision of the FTTJ discloses the making of an error on a pint of law.</w:t>
      </w:r>
    </w:p>
    <w:p w14:paraId="4D644A02" w14:textId="77777777" w:rsidR="00195F50" w:rsidRDefault="003841D6" w:rsidP="00EB2250">
      <w:pPr>
        <w:numPr>
          <w:ilvl w:val="0"/>
          <w:numId w:val="2"/>
        </w:numPr>
        <w:spacing w:before="240"/>
        <w:jc w:val="both"/>
        <w:rPr>
          <w:rFonts w:ascii="Book Antiqua" w:hAnsi="Book Antiqua" w:cs="Arial"/>
        </w:rPr>
      </w:pPr>
      <w:r>
        <w:rPr>
          <w:rFonts w:ascii="Book Antiqua" w:hAnsi="Book Antiqua" w:cs="Arial"/>
        </w:rPr>
        <w:t xml:space="preserve"> </w:t>
      </w:r>
      <w:r w:rsidR="005D2117">
        <w:rPr>
          <w:rFonts w:ascii="Book Antiqua" w:hAnsi="Book Antiqua" w:cs="Arial"/>
        </w:rPr>
        <w:t xml:space="preserve">Mr </w:t>
      </w:r>
      <w:proofErr w:type="spellStart"/>
      <w:r w:rsidR="005D2117">
        <w:rPr>
          <w:rFonts w:ascii="Book Antiqua" w:hAnsi="Book Antiqua" w:cs="Arial"/>
        </w:rPr>
        <w:t>Mian</w:t>
      </w:r>
      <w:proofErr w:type="spellEnd"/>
      <w:r w:rsidR="005D2117">
        <w:rPr>
          <w:rFonts w:ascii="Book Antiqua" w:hAnsi="Book Antiqua" w:cs="Arial"/>
        </w:rPr>
        <w:t xml:space="preserve"> in his submission stated that he did not rely on the grounds that related to the delay in claiming asylum. His principal submission</w:t>
      </w:r>
      <w:r w:rsidR="00421698">
        <w:rPr>
          <w:rFonts w:ascii="Book Antiqua" w:hAnsi="Book Antiqua" w:cs="Arial"/>
        </w:rPr>
        <w:t xml:space="preserve"> related to the R</w:t>
      </w:r>
      <w:r w:rsidR="005D2117">
        <w:rPr>
          <w:rFonts w:ascii="Book Antiqua" w:hAnsi="Book Antiqua" w:cs="Arial"/>
        </w:rPr>
        <w:t xml:space="preserve">ule 35 report of 9 October 2017 (set out at pages 24 onwards of the </w:t>
      </w:r>
      <w:r w:rsidR="00421698">
        <w:rPr>
          <w:rFonts w:ascii="Book Antiqua" w:hAnsi="Book Antiqua" w:cs="Arial"/>
        </w:rPr>
        <w:t>Appellant’s</w:t>
      </w:r>
      <w:r w:rsidR="005D2117">
        <w:rPr>
          <w:rFonts w:ascii="Book Antiqua" w:hAnsi="Book Antiqua" w:cs="Arial"/>
        </w:rPr>
        <w:t xml:space="preserve"> bundle).</w:t>
      </w:r>
      <w:r w:rsidR="00085C6C">
        <w:rPr>
          <w:rFonts w:ascii="Book Antiqua" w:hAnsi="Book Antiqua" w:cs="Arial"/>
        </w:rPr>
        <w:t xml:space="preserve"> </w:t>
      </w:r>
      <w:r w:rsidR="005D2117">
        <w:rPr>
          <w:rFonts w:ascii="Book Antiqua" w:hAnsi="Book Antiqua" w:cs="Arial"/>
        </w:rPr>
        <w:t xml:space="preserve">He submitted that the report accepted the </w:t>
      </w:r>
      <w:r w:rsidR="00421698">
        <w:rPr>
          <w:rFonts w:ascii="Book Antiqua" w:hAnsi="Book Antiqua" w:cs="Arial"/>
        </w:rPr>
        <w:t>Appellant</w:t>
      </w:r>
      <w:r w:rsidR="005D2117">
        <w:rPr>
          <w:rFonts w:ascii="Book Antiqua" w:hAnsi="Book Antiqua" w:cs="Arial"/>
        </w:rPr>
        <w:t xml:space="preserve"> to be a victim of torture and had referred </w:t>
      </w:r>
      <w:r w:rsidR="00421698">
        <w:rPr>
          <w:rFonts w:ascii="Book Antiqua" w:hAnsi="Book Antiqua" w:cs="Arial"/>
        </w:rPr>
        <w:t xml:space="preserve">to </w:t>
      </w:r>
      <w:r w:rsidR="005D2117">
        <w:rPr>
          <w:rFonts w:ascii="Book Antiqua" w:hAnsi="Book Antiqua" w:cs="Arial"/>
        </w:rPr>
        <w:t xml:space="preserve">him </w:t>
      </w:r>
      <w:r w:rsidR="00421698">
        <w:rPr>
          <w:rFonts w:ascii="Book Antiqua" w:hAnsi="Book Antiqua" w:cs="Arial"/>
        </w:rPr>
        <w:t xml:space="preserve">as an </w:t>
      </w:r>
      <w:r w:rsidR="005D2117">
        <w:rPr>
          <w:rFonts w:ascii="Book Antiqua" w:hAnsi="Book Antiqua" w:cs="Arial"/>
        </w:rPr>
        <w:t>adult at risk</w:t>
      </w:r>
      <w:r w:rsidR="00421698">
        <w:rPr>
          <w:rFonts w:ascii="Book Antiqua" w:hAnsi="Book Antiqua" w:cs="Arial"/>
        </w:rPr>
        <w:t>,</w:t>
      </w:r>
      <w:r w:rsidR="005D2117">
        <w:rPr>
          <w:rFonts w:ascii="Book Antiqua" w:hAnsi="Book Antiqua" w:cs="Arial"/>
        </w:rPr>
        <w:t xml:space="preserve"> making it plausible that he faced treatment contrary to </w:t>
      </w:r>
      <w:r w:rsidR="00421698">
        <w:rPr>
          <w:rFonts w:ascii="Book Antiqua" w:hAnsi="Book Antiqua" w:cs="Arial"/>
        </w:rPr>
        <w:t>Articles 2 and 3 of the ECHR</w:t>
      </w:r>
      <w:r w:rsidR="005D2117">
        <w:rPr>
          <w:rFonts w:ascii="Book Antiqua" w:hAnsi="Book Antiqua" w:cs="Arial"/>
        </w:rPr>
        <w:t>. He therefore submitted that the judg</w:t>
      </w:r>
      <w:r w:rsidR="00421698">
        <w:rPr>
          <w:rFonts w:ascii="Book Antiqua" w:hAnsi="Book Antiqua" w:cs="Arial"/>
        </w:rPr>
        <w:t>e failed to give weight to the R</w:t>
      </w:r>
      <w:r w:rsidR="005D2117">
        <w:rPr>
          <w:rFonts w:ascii="Book Antiqua" w:hAnsi="Book Antiqua" w:cs="Arial"/>
        </w:rPr>
        <w:t>ule 35 report and did not acknowledge it (see paragraph 21 of the grounds).</w:t>
      </w:r>
    </w:p>
    <w:p w14:paraId="1B781EF9" w14:textId="77777777" w:rsidR="005D2117" w:rsidRDefault="005D2117" w:rsidP="00EB2250">
      <w:pPr>
        <w:numPr>
          <w:ilvl w:val="0"/>
          <w:numId w:val="2"/>
        </w:numPr>
        <w:spacing w:before="240"/>
        <w:jc w:val="both"/>
        <w:rPr>
          <w:rFonts w:ascii="Book Antiqua" w:hAnsi="Book Antiqua" w:cs="Arial"/>
        </w:rPr>
      </w:pPr>
      <w:r>
        <w:rPr>
          <w:rFonts w:ascii="Book Antiqua" w:hAnsi="Book Antiqua" w:cs="Arial"/>
        </w:rPr>
        <w:lastRenderedPageBreak/>
        <w:t xml:space="preserve">Mr </w:t>
      </w:r>
      <w:proofErr w:type="spellStart"/>
      <w:r>
        <w:rPr>
          <w:rFonts w:ascii="Book Antiqua" w:hAnsi="Book Antiqua" w:cs="Arial"/>
        </w:rPr>
        <w:t>Mian</w:t>
      </w:r>
      <w:proofErr w:type="spellEnd"/>
      <w:r>
        <w:rPr>
          <w:rFonts w:ascii="Book Antiqua" w:hAnsi="Book Antiqua" w:cs="Arial"/>
        </w:rPr>
        <w:t xml:space="preserve"> directed the </w:t>
      </w:r>
      <w:r w:rsidR="00421698">
        <w:rPr>
          <w:rFonts w:ascii="Book Antiqua" w:hAnsi="Book Antiqua" w:cs="Arial"/>
        </w:rPr>
        <w:t>Tribunal</w:t>
      </w:r>
      <w:r>
        <w:rPr>
          <w:rFonts w:ascii="Book Antiqua" w:hAnsi="Book Antiqua" w:cs="Arial"/>
        </w:rPr>
        <w:t xml:space="preserve"> to paragraph 64 of the FTT </w:t>
      </w:r>
      <w:r w:rsidR="00421698">
        <w:rPr>
          <w:rFonts w:ascii="Book Antiqua" w:hAnsi="Book Antiqua" w:cs="Arial"/>
        </w:rPr>
        <w:t>decision where the</w:t>
      </w:r>
      <w:r>
        <w:rPr>
          <w:rFonts w:ascii="Book Antiqua" w:hAnsi="Book Antiqua" w:cs="Arial"/>
        </w:rPr>
        <w:t xml:space="preserve"> judge referred to the report and submitted that the judge was in error. He submitted that the </w:t>
      </w:r>
      <w:r w:rsidR="00421698">
        <w:rPr>
          <w:rFonts w:ascii="Book Antiqua" w:hAnsi="Book Antiqua" w:cs="Arial"/>
        </w:rPr>
        <w:t>Appellant</w:t>
      </w:r>
      <w:r>
        <w:rPr>
          <w:rFonts w:ascii="Book Antiqua" w:hAnsi="Book Antiqua" w:cs="Arial"/>
        </w:rPr>
        <w:t xml:space="preserve"> had scars and thus there were no questions of credibility arising. It was also submitted that the judge did not acknowledge that the </w:t>
      </w:r>
      <w:r w:rsidR="00421698">
        <w:rPr>
          <w:rFonts w:ascii="Book Antiqua" w:hAnsi="Book Antiqua" w:cs="Arial"/>
        </w:rPr>
        <w:t>Respondent</w:t>
      </w:r>
      <w:r>
        <w:rPr>
          <w:rFonts w:ascii="Book Antiqua" w:hAnsi="Book Antiqua" w:cs="Arial"/>
        </w:rPr>
        <w:t xml:space="preserve"> accepted that he had been a victim of torture. </w:t>
      </w:r>
      <w:proofErr w:type="gramStart"/>
      <w:r>
        <w:rPr>
          <w:rFonts w:ascii="Book Antiqua" w:hAnsi="Book Antiqua" w:cs="Arial"/>
        </w:rPr>
        <w:t>Thus</w:t>
      </w:r>
      <w:proofErr w:type="gramEnd"/>
      <w:r>
        <w:rPr>
          <w:rFonts w:ascii="Book Antiqua" w:hAnsi="Book Antiqua" w:cs="Arial"/>
        </w:rPr>
        <w:t xml:space="preserve"> he submitted it was wrong to give no weight to the report whatsoever without having the </w:t>
      </w:r>
      <w:r w:rsidR="00421698">
        <w:rPr>
          <w:rFonts w:ascii="Book Antiqua" w:hAnsi="Book Antiqua" w:cs="Arial"/>
        </w:rPr>
        <w:t>Appellant</w:t>
      </w:r>
      <w:r>
        <w:rPr>
          <w:rFonts w:ascii="Book Antiqua" w:hAnsi="Book Antiqua" w:cs="Arial"/>
        </w:rPr>
        <w:t xml:space="preserve"> the opportunity to file a further medical report.</w:t>
      </w:r>
    </w:p>
    <w:p w14:paraId="6A48EDAD" w14:textId="77777777" w:rsidR="005D2117" w:rsidRDefault="005D2117" w:rsidP="00EB2250">
      <w:pPr>
        <w:numPr>
          <w:ilvl w:val="0"/>
          <w:numId w:val="2"/>
        </w:numPr>
        <w:spacing w:before="240"/>
        <w:jc w:val="both"/>
        <w:rPr>
          <w:rFonts w:ascii="Book Antiqua" w:hAnsi="Book Antiqua" w:cs="Arial"/>
        </w:rPr>
      </w:pPr>
      <w:r>
        <w:rPr>
          <w:rFonts w:ascii="Book Antiqua" w:hAnsi="Book Antiqua" w:cs="Arial"/>
        </w:rPr>
        <w:t xml:space="preserve">Ms Ahmed on behalf of the </w:t>
      </w:r>
      <w:r w:rsidR="00421698">
        <w:rPr>
          <w:rFonts w:ascii="Book Antiqua" w:hAnsi="Book Antiqua" w:cs="Arial"/>
        </w:rPr>
        <w:t>Respondent</w:t>
      </w:r>
      <w:r>
        <w:rPr>
          <w:rFonts w:ascii="Book Antiqua" w:hAnsi="Book Antiqua" w:cs="Arial"/>
        </w:rPr>
        <w:t xml:space="preserve"> sought to distinguish the status of the Rule 35 report from other types of medical evidence. She submitted that it was not the equivalent of a medico</w:t>
      </w:r>
      <w:r w:rsidR="00421698">
        <w:rPr>
          <w:rFonts w:ascii="Book Antiqua" w:hAnsi="Book Antiqua" w:cs="Arial"/>
        </w:rPr>
        <w:t>-</w:t>
      </w:r>
      <w:r>
        <w:rPr>
          <w:rFonts w:ascii="Book Antiqua" w:hAnsi="Book Antiqua" w:cs="Arial"/>
        </w:rPr>
        <w:t xml:space="preserve">legal report and it was not possible to say that the doctor who wrote the report had any expertise in the causation of scars from his own observations. She stated that the judge had given some weight to the report and that the matter of weight attached to a piece of evidence was at the discretion of the judge. She further submitted by reference to the decision in </w:t>
      </w:r>
      <w:proofErr w:type="spellStart"/>
      <w:r w:rsidRPr="00421698">
        <w:rPr>
          <w:rFonts w:ascii="Book Antiqua" w:hAnsi="Book Antiqua" w:cs="Arial"/>
          <w:u w:val="single"/>
        </w:rPr>
        <w:t>Mibanga</w:t>
      </w:r>
      <w:proofErr w:type="spellEnd"/>
      <w:r w:rsidR="00D404AE">
        <w:rPr>
          <w:rFonts w:ascii="Book Antiqua" w:hAnsi="Book Antiqua" w:cs="Arial"/>
          <w:u w:val="single"/>
        </w:rPr>
        <w:t xml:space="preserve"> v SSHD </w:t>
      </w:r>
      <w:r w:rsidR="00D404AE" w:rsidRPr="00D404AE">
        <w:rPr>
          <w:rFonts w:ascii="Book Antiqua" w:hAnsi="Book Antiqua" w:cs="Arial"/>
        </w:rPr>
        <w:t xml:space="preserve">[2005] EWCA </w:t>
      </w:r>
      <w:proofErr w:type="spellStart"/>
      <w:r w:rsidR="00D404AE" w:rsidRPr="00D404AE">
        <w:rPr>
          <w:rFonts w:ascii="Book Antiqua" w:hAnsi="Book Antiqua" w:cs="Arial"/>
        </w:rPr>
        <w:t>Civ</w:t>
      </w:r>
      <w:proofErr w:type="spellEnd"/>
      <w:r w:rsidR="00D404AE" w:rsidRPr="00D404AE">
        <w:rPr>
          <w:rFonts w:ascii="Book Antiqua" w:hAnsi="Book Antiqua" w:cs="Arial"/>
        </w:rPr>
        <w:t xml:space="preserve"> 367</w:t>
      </w:r>
      <w:r w:rsidR="00421698">
        <w:rPr>
          <w:rFonts w:ascii="Book Antiqua" w:hAnsi="Book Antiqua" w:cs="Arial"/>
        </w:rPr>
        <w:t xml:space="preserve"> that</w:t>
      </w:r>
      <w:r w:rsidR="00D404AE">
        <w:rPr>
          <w:rFonts w:ascii="Book Antiqua" w:hAnsi="Book Antiqua" w:cs="Arial"/>
        </w:rPr>
        <w:t xml:space="preserve"> the judge</w:t>
      </w:r>
      <w:r>
        <w:rPr>
          <w:rFonts w:ascii="Book Antiqua" w:hAnsi="Book Antiqua" w:cs="Arial"/>
        </w:rPr>
        <w:t xml:space="preserve"> properly considered all the evidence before reaching a conclusion.</w:t>
      </w:r>
    </w:p>
    <w:p w14:paraId="0AD30109" w14:textId="77777777" w:rsidR="005D2117" w:rsidRDefault="005D2117" w:rsidP="00EB2250">
      <w:pPr>
        <w:numPr>
          <w:ilvl w:val="0"/>
          <w:numId w:val="2"/>
        </w:numPr>
        <w:spacing w:before="240"/>
        <w:jc w:val="both"/>
        <w:rPr>
          <w:rFonts w:ascii="Book Antiqua" w:hAnsi="Book Antiqua" w:cs="Arial"/>
        </w:rPr>
      </w:pPr>
      <w:r>
        <w:rPr>
          <w:rFonts w:ascii="Book Antiqua" w:hAnsi="Book Antiqua" w:cs="Arial"/>
        </w:rPr>
        <w:t xml:space="preserve">By way of reply, Mr </w:t>
      </w:r>
      <w:proofErr w:type="spellStart"/>
      <w:r>
        <w:rPr>
          <w:rFonts w:ascii="Book Antiqua" w:hAnsi="Book Antiqua" w:cs="Arial"/>
        </w:rPr>
        <w:t>Mian</w:t>
      </w:r>
      <w:proofErr w:type="spellEnd"/>
      <w:r>
        <w:rPr>
          <w:rFonts w:ascii="Book Antiqua" w:hAnsi="Book Antiqua" w:cs="Arial"/>
        </w:rPr>
        <w:t xml:space="preserve"> made reference to the guidance relevant to Rule 35 reports. He had not produced a copy of the document prior to the hearing but read from his computer. </w:t>
      </w:r>
      <w:proofErr w:type="gramStart"/>
      <w:r>
        <w:rPr>
          <w:rFonts w:ascii="Book Antiqua" w:hAnsi="Book Antiqua" w:cs="Arial"/>
        </w:rPr>
        <w:t>However</w:t>
      </w:r>
      <w:proofErr w:type="gramEnd"/>
      <w:r>
        <w:rPr>
          <w:rFonts w:ascii="Book Antiqua" w:hAnsi="Book Antiqua" w:cs="Arial"/>
        </w:rPr>
        <w:t xml:space="preserve"> he provided a copy of that guidance to the </w:t>
      </w:r>
      <w:r w:rsidR="00421698">
        <w:rPr>
          <w:rFonts w:ascii="Book Antiqua" w:hAnsi="Book Antiqua" w:cs="Arial"/>
        </w:rPr>
        <w:t>Tribunal</w:t>
      </w:r>
      <w:r>
        <w:rPr>
          <w:rFonts w:ascii="Book Antiqua" w:hAnsi="Book Antiqua" w:cs="Arial"/>
        </w:rPr>
        <w:t xml:space="preserve"> after the hearing. </w:t>
      </w:r>
    </w:p>
    <w:p w14:paraId="5BDB5B0F" w14:textId="77777777" w:rsidR="007965EE" w:rsidRDefault="007965EE" w:rsidP="00EB2250">
      <w:pPr>
        <w:numPr>
          <w:ilvl w:val="0"/>
          <w:numId w:val="2"/>
        </w:numPr>
        <w:spacing w:before="240"/>
        <w:jc w:val="both"/>
        <w:rPr>
          <w:rFonts w:ascii="Book Antiqua" w:hAnsi="Book Antiqua" w:cs="Arial"/>
        </w:rPr>
      </w:pPr>
      <w:r>
        <w:rPr>
          <w:rFonts w:ascii="Book Antiqua" w:hAnsi="Book Antiqua" w:cs="Arial"/>
        </w:rPr>
        <w:t>Having read the determination and the skeleton argument provided before the FTTJ, it does not appear that there were any arguments advanced in relation to the Rule 35 report</w:t>
      </w:r>
      <w:r w:rsidR="003042CA">
        <w:rPr>
          <w:rFonts w:ascii="Book Antiqua" w:hAnsi="Book Antiqua" w:cs="Arial"/>
        </w:rPr>
        <w:t xml:space="preserve"> </w:t>
      </w:r>
      <w:r w:rsidR="005D2117">
        <w:rPr>
          <w:rFonts w:ascii="Book Antiqua" w:hAnsi="Book Antiqua" w:cs="Arial"/>
        </w:rPr>
        <w:t xml:space="preserve">other than </w:t>
      </w:r>
      <w:r w:rsidR="003042CA">
        <w:rPr>
          <w:rFonts w:ascii="Book Antiqua" w:hAnsi="Book Antiqua" w:cs="Arial"/>
        </w:rPr>
        <w:t xml:space="preserve">it lent support to the </w:t>
      </w:r>
      <w:r w:rsidR="00421698">
        <w:rPr>
          <w:rFonts w:ascii="Book Antiqua" w:hAnsi="Book Antiqua" w:cs="Arial"/>
        </w:rPr>
        <w:t>Appellant’s</w:t>
      </w:r>
      <w:r w:rsidR="003042CA">
        <w:rPr>
          <w:rFonts w:ascii="Book Antiqua" w:hAnsi="Book Antiqua" w:cs="Arial"/>
        </w:rPr>
        <w:t xml:space="preserve"> account. The guidance now referred to by Mr </w:t>
      </w:r>
      <w:proofErr w:type="spellStart"/>
      <w:r w:rsidR="003042CA">
        <w:rPr>
          <w:rFonts w:ascii="Book Antiqua" w:hAnsi="Book Antiqua" w:cs="Arial"/>
        </w:rPr>
        <w:t>Mian</w:t>
      </w:r>
      <w:proofErr w:type="spellEnd"/>
      <w:r w:rsidR="003042CA">
        <w:rPr>
          <w:rFonts w:ascii="Book Antiqua" w:hAnsi="Book Antiqua" w:cs="Arial"/>
        </w:rPr>
        <w:t xml:space="preserve"> did not form part of any legal submissions that were made before the FTTJ thus it cannot properly be said that the judge erred in law by any failure to have regard to the guidance when it was not the subject of argument.</w:t>
      </w:r>
    </w:p>
    <w:p w14:paraId="09412F69" w14:textId="77777777" w:rsidR="003042CA" w:rsidRDefault="003042CA" w:rsidP="00EB2250">
      <w:pPr>
        <w:numPr>
          <w:ilvl w:val="0"/>
          <w:numId w:val="2"/>
        </w:numPr>
        <w:spacing w:before="240"/>
        <w:jc w:val="both"/>
        <w:rPr>
          <w:rFonts w:ascii="Book Antiqua" w:hAnsi="Book Antiqua" w:cs="Arial"/>
        </w:rPr>
      </w:pPr>
      <w:r>
        <w:rPr>
          <w:rFonts w:ascii="Book Antiqua" w:hAnsi="Book Antiqua" w:cs="Arial"/>
        </w:rPr>
        <w:t>Nonetheless I have considered the guidanc</w:t>
      </w:r>
      <w:r w:rsidR="0037401A">
        <w:rPr>
          <w:rFonts w:ascii="Book Antiqua" w:hAnsi="Book Antiqua" w:cs="Arial"/>
        </w:rPr>
        <w:t>e in the context of the grounds and the submissions made.</w:t>
      </w:r>
      <w:r>
        <w:rPr>
          <w:rFonts w:ascii="Book Antiqua" w:hAnsi="Book Antiqua" w:cs="Arial"/>
        </w:rPr>
        <w:t xml:space="preserve"> </w:t>
      </w:r>
    </w:p>
    <w:p w14:paraId="24C48445" w14:textId="77777777" w:rsidR="003042CA" w:rsidRDefault="003042CA" w:rsidP="00EB2250">
      <w:pPr>
        <w:numPr>
          <w:ilvl w:val="0"/>
          <w:numId w:val="2"/>
        </w:numPr>
        <w:spacing w:before="240"/>
        <w:jc w:val="both"/>
        <w:rPr>
          <w:rFonts w:ascii="Book Antiqua" w:hAnsi="Book Antiqua" w:cs="Arial"/>
        </w:rPr>
      </w:pPr>
      <w:r>
        <w:rPr>
          <w:rFonts w:ascii="Book Antiqua" w:hAnsi="Book Antiqua" w:cs="Arial"/>
        </w:rPr>
        <w:t xml:space="preserve">When a person is detained, as this </w:t>
      </w:r>
      <w:r w:rsidR="00421698">
        <w:rPr>
          <w:rFonts w:ascii="Book Antiqua" w:hAnsi="Book Antiqua" w:cs="Arial"/>
        </w:rPr>
        <w:t>Appellant</w:t>
      </w:r>
      <w:r>
        <w:rPr>
          <w:rFonts w:ascii="Book Antiqua" w:hAnsi="Book Antiqua" w:cs="Arial"/>
        </w:rPr>
        <w:t xml:space="preserve"> was, Rule 34 of the Detention Centre Rules 2001 requires that person to be examined both physically and mentally by a medical practitioner within 24 hours unless the person objects. The medical practitioner may produce a report issued pursuant to Rule 35 and sometimes this may constitute independent evidence of torture.</w:t>
      </w:r>
    </w:p>
    <w:p w14:paraId="22131C97" w14:textId="77777777" w:rsidR="003042CA" w:rsidRDefault="003042CA" w:rsidP="00EB2250">
      <w:pPr>
        <w:numPr>
          <w:ilvl w:val="0"/>
          <w:numId w:val="2"/>
        </w:numPr>
        <w:spacing w:before="240"/>
        <w:jc w:val="both"/>
        <w:rPr>
          <w:rFonts w:ascii="Book Antiqua" w:hAnsi="Book Antiqua" w:cs="Arial"/>
        </w:rPr>
      </w:pPr>
      <w:r>
        <w:rPr>
          <w:rFonts w:ascii="Book Antiqua" w:hAnsi="Book Antiqua" w:cs="Arial"/>
        </w:rPr>
        <w:t>Rule 35, so far as relevant, is as follows:</w:t>
      </w:r>
    </w:p>
    <w:p w14:paraId="523C984F" w14:textId="77777777" w:rsidR="003042CA" w:rsidRDefault="003042CA" w:rsidP="00670DD5">
      <w:pPr>
        <w:spacing w:before="240"/>
        <w:ind w:left="1134"/>
        <w:jc w:val="both"/>
        <w:rPr>
          <w:rFonts w:ascii="Book Antiqua" w:hAnsi="Book Antiqua" w:cs="Arial"/>
        </w:rPr>
      </w:pPr>
      <w:r>
        <w:rPr>
          <w:rFonts w:ascii="Book Antiqua" w:hAnsi="Book Antiqua" w:cs="Arial"/>
        </w:rPr>
        <w:t xml:space="preserve">“special illnesses and conditions (including torture claims) </w:t>
      </w:r>
    </w:p>
    <w:p w14:paraId="79ABE52A" w14:textId="77777777" w:rsidR="003042CA" w:rsidRDefault="003042CA" w:rsidP="00670DD5">
      <w:pPr>
        <w:spacing w:before="240"/>
        <w:ind w:left="1134"/>
        <w:jc w:val="both"/>
        <w:rPr>
          <w:rFonts w:ascii="Book Antiqua" w:hAnsi="Book Antiqua" w:cs="Arial"/>
        </w:rPr>
      </w:pPr>
      <w:r>
        <w:rPr>
          <w:rFonts w:ascii="Book Antiqua" w:hAnsi="Book Antiqua" w:cs="Arial"/>
        </w:rPr>
        <w:t>35.(1) The medical practitioner shall report to the manager on the case of any detained person whose health is likely to be injurious to the affected by continued detention or any conditions of detention….</w:t>
      </w:r>
    </w:p>
    <w:p w14:paraId="52836DA0" w14:textId="77777777" w:rsidR="003042CA" w:rsidRDefault="003042CA" w:rsidP="00670DD5">
      <w:pPr>
        <w:spacing w:before="240"/>
        <w:ind w:left="1134"/>
        <w:jc w:val="both"/>
        <w:rPr>
          <w:rFonts w:ascii="Book Antiqua" w:hAnsi="Book Antiqua" w:cs="Arial"/>
        </w:rPr>
      </w:pPr>
      <w:r>
        <w:rPr>
          <w:rFonts w:ascii="Book Antiqua" w:hAnsi="Book Antiqua" w:cs="Arial"/>
        </w:rPr>
        <w:t>(3) The medical practitioner shall report to the manager on the case of any detained person who is concerned may have been the victim of torture.</w:t>
      </w:r>
    </w:p>
    <w:p w14:paraId="17116639" w14:textId="255F20FC" w:rsidR="003042CA" w:rsidRDefault="003042CA" w:rsidP="00670DD5">
      <w:pPr>
        <w:spacing w:before="240"/>
        <w:ind w:left="1134"/>
        <w:jc w:val="both"/>
        <w:rPr>
          <w:rFonts w:ascii="Book Antiqua" w:hAnsi="Book Antiqua" w:cs="Arial"/>
        </w:rPr>
      </w:pPr>
      <w:r>
        <w:rPr>
          <w:rFonts w:ascii="Book Antiqua" w:hAnsi="Book Antiqua" w:cs="Arial"/>
        </w:rPr>
        <w:lastRenderedPageBreak/>
        <w:t>(4) The manager shall send a copy of any report under paragraphs (1) (2) or (3) to the Secretary of State without delay.</w:t>
      </w:r>
      <w:r w:rsidR="00670DD5">
        <w:rPr>
          <w:rFonts w:ascii="Book Antiqua" w:hAnsi="Book Antiqua" w:cs="Arial"/>
        </w:rPr>
        <w:t>”</w:t>
      </w:r>
    </w:p>
    <w:p w14:paraId="118B5D0B" w14:textId="77777777" w:rsidR="003042CA" w:rsidRDefault="00421698" w:rsidP="00421698">
      <w:pPr>
        <w:spacing w:before="240"/>
        <w:ind w:left="564" w:hanging="564"/>
        <w:jc w:val="both"/>
        <w:rPr>
          <w:rFonts w:ascii="Book Antiqua" w:hAnsi="Book Antiqua" w:cs="Arial"/>
        </w:rPr>
      </w:pPr>
      <w:r>
        <w:rPr>
          <w:rFonts w:ascii="Book Antiqua" w:hAnsi="Book Antiqua" w:cs="Arial"/>
        </w:rPr>
        <w:t>17.</w:t>
      </w:r>
      <w:r>
        <w:rPr>
          <w:rFonts w:ascii="Book Antiqua" w:hAnsi="Book Antiqua" w:cs="Arial"/>
        </w:rPr>
        <w:tab/>
      </w:r>
      <w:r w:rsidR="003042CA">
        <w:rPr>
          <w:rFonts w:ascii="Book Antiqua" w:hAnsi="Book Antiqua" w:cs="Arial"/>
        </w:rPr>
        <w:t xml:space="preserve">There is a pro forma document which is typically used to provide the report and it </w:t>
      </w:r>
      <w:r w:rsidR="003042CA">
        <w:rPr>
          <w:rFonts w:ascii="Book Antiqua" w:hAnsi="Book Antiqua" w:cs="Arial"/>
        </w:rPr>
        <w:tab/>
        <w:t xml:space="preserve"> </w:t>
      </w:r>
      <w:r>
        <w:rPr>
          <w:rFonts w:ascii="Book Antiqua" w:hAnsi="Book Antiqua" w:cs="Arial"/>
        </w:rPr>
        <w:t xml:space="preserve">has </w:t>
      </w:r>
      <w:r w:rsidR="003042CA">
        <w:rPr>
          <w:rFonts w:ascii="Book Antiqua" w:hAnsi="Book Antiqua" w:cs="Arial"/>
        </w:rPr>
        <w:t>in part boxes which the medical practitioner is expected to tick where appropriate.</w:t>
      </w:r>
    </w:p>
    <w:p w14:paraId="2A7D3BA6" w14:textId="77777777" w:rsidR="00421698" w:rsidRDefault="00421698" w:rsidP="00421698">
      <w:pPr>
        <w:spacing w:before="240"/>
        <w:ind w:left="564" w:hanging="564"/>
        <w:jc w:val="both"/>
        <w:rPr>
          <w:rFonts w:ascii="Book Antiqua" w:hAnsi="Book Antiqua" w:cs="Arial"/>
        </w:rPr>
      </w:pPr>
      <w:r>
        <w:rPr>
          <w:rFonts w:ascii="Book Antiqua" w:hAnsi="Book Antiqua" w:cs="Arial"/>
        </w:rPr>
        <w:t>18.</w:t>
      </w:r>
      <w:r>
        <w:rPr>
          <w:rFonts w:ascii="Book Antiqua" w:hAnsi="Book Antiqua" w:cs="Arial"/>
        </w:rPr>
        <w:tab/>
      </w:r>
      <w:r w:rsidR="003042CA">
        <w:rPr>
          <w:rFonts w:ascii="Book Antiqua" w:hAnsi="Book Antiqua" w:cs="Arial"/>
        </w:rPr>
        <w:t>There is a Detention Services Order</w:t>
      </w:r>
      <w:r w:rsidR="00A30596">
        <w:rPr>
          <w:rFonts w:ascii="Book Antiqua" w:hAnsi="Book Antiqua" w:cs="Arial"/>
        </w:rPr>
        <w:t xml:space="preserve"> 9</w:t>
      </w:r>
      <w:r w:rsidR="003042CA">
        <w:rPr>
          <w:rFonts w:ascii="Book Antiqua" w:hAnsi="Book Antiqua" w:cs="Arial"/>
        </w:rPr>
        <w:t xml:space="preserve">/2016 which provides further guidance on the application of Rule 35; this has been provided by Mr </w:t>
      </w:r>
      <w:proofErr w:type="spellStart"/>
      <w:r w:rsidR="003042CA">
        <w:rPr>
          <w:rFonts w:ascii="Book Antiqua" w:hAnsi="Book Antiqua" w:cs="Arial"/>
        </w:rPr>
        <w:t>Mian</w:t>
      </w:r>
      <w:proofErr w:type="spellEnd"/>
      <w:r w:rsidR="003042CA">
        <w:rPr>
          <w:rFonts w:ascii="Book Antiqua" w:hAnsi="Book Antiqua" w:cs="Arial"/>
        </w:rPr>
        <w:t xml:space="preserve">. The Order sets out the approach which medical practitioners should take when preparing and writing reports under Rule 35. This is set out in the section entitled “Preparing and submitting a Rule 35 report: concerns a detainee may have been the victim of torture 35 (3)”. It specifically states that “A Rule 35 report is a mechanism for a medical practitioner to refer on concerns, rather than an expert medicolegal report and so there is no need for medical practitioners to apply the terms or methodology set out in the Istanbul Protocol. Medical practitioners are not required to apply </w:t>
      </w:r>
      <w:r>
        <w:rPr>
          <w:rFonts w:ascii="Book Antiqua" w:hAnsi="Book Antiqua" w:cs="Arial"/>
        </w:rPr>
        <w:t>the Istanbul protocol or apply probability levels or assess the</w:t>
      </w:r>
      <w:r w:rsidR="003042CA">
        <w:rPr>
          <w:rFonts w:ascii="Book Antiqua" w:hAnsi="Book Antiqua" w:cs="Arial"/>
        </w:rPr>
        <w:t xml:space="preserve"> relative likelihood of different causes but if they have a view, they should express it</w:t>
      </w:r>
      <w:r>
        <w:rPr>
          <w:rFonts w:ascii="Book Antiqua" w:hAnsi="Book Antiqua" w:cs="Arial"/>
        </w:rPr>
        <w:t>”</w:t>
      </w:r>
      <w:r w:rsidR="003042CA">
        <w:rPr>
          <w:rFonts w:ascii="Book Antiqua" w:hAnsi="Book Antiqua" w:cs="Arial"/>
        </w:rPr>
        <w:t>.</w:t>
      </w:r>
    </w:p>
    <w:p w14:paraId="2166222D" w14:textId="77777777" w:rsidR="003042CA" w:rsidRDefault="00421698" w:rsidP="00421698">
      <w:pPr>
        <w:spacing w:before="240"/>
        <w:ind w:left="564" w:hanging="564"/>
        <w:jc w:val="both"/>
        <w:rPr>
          <w:rFonts w:ascii="Book Antiqua" w:hAnsi="Book Antiqua" w:cs="Arial"/>
        </w:rPr>
      </w:pPr>
      <w:r>
        <w:rPr>
          <w:rFonts w:ascii="Book Antiqua" w:hAnsi="Book Antiqua" w:cs="Arial"/>
        </w:rPr>
        <w:t>19.</w:t>
      </w:r>
      <w:r>
        <w:rPr>
          <w:rFonts w:ascii="Book Antiqua" w:hAnsi="Book Antiqua" w:cs="Arial"/>
        </w:rPr>
        <w:tab/>
      </w:r>
      <w:proofErr w:type="gramStart"/>
      <w:r w:rsidR="003042CA">
        <w:rPr>
          <w:rFonts w:ascii="Book Antiqua" w:hAnsi="Book Antiqua" w:cs="Arial"/>
        </w:rPr>
        <w:t>Therefore</w:t>
      </w:r>
      <w:proofErr w:type="gramEnd"/>
      <w:r w:rsidR="003042CA">
        <w:rPr>
          <w:rFonts w:ascii="Book Antiqua" w:hAnsi="Book Antiqua" w:cs="Arial"/>
        </w:rPr>
        <w:t xml:space="preserve"> it is plain that a medical practitioner should always make a Rule 35 (3) report if he or she has </w:t>
      </w:r>
      <w:r>
        <w:rPr>
          <w:rFonts w:ascii="Book Antiqua" w:hAnsi="Book Antiqua" w:cs="Arial"/>
        </w:rPr>
        <w:t>cause for</w:t>
      </w:r>
      <w:r w:rsidR="003042CA">
        <w:rPr>
          <w:rFonts w:ascii="Book Antiqua" w:hAnsi="Book Antiqua" w:cs="Arial"/>
        </w:rPr>
        <w:t xml:space="preserve"> concern that the detainee </w:t>
      </w:r>
      <w:r w:rsidR="003042CA">
        <w:rPr>
          <w:rFonts w:ascii="Book Antiqua" w:hAnsi="Book Antiqua" w:cs="Arial"/>
          <w:u w:val="single"/>
        </w:rPr>
        <w:t xml:space="preserve">may </w:t>
      </w:r>
      <w:r w:rsidR="003042CA">
        <w:rPr>
          <w:rFonts w:ascii="Book Antiqua" w:hAnsi="Book Antiqua" w:cs="Arial"/>
        </w:rPr>
        <w:t xml:space="preserve">(my emphasis) have been tortured. A medical practitioner may have such concerns even where there is no independent medical evidence supporting the count of torture. The </w:t>
      </w:r>
      <w:r>
        <w:rPr>
          <w:rFonts w:ascii="Book Antiqua" w:hAnsi="Book Antiqua" w:cs="Arial"/>
        </w:rPr>
        <w:t>medical practitioner should say</w:t>
      </w:r>
      <w:r w:rsidR="003042CA">
        <w:rPr>
          <w:rFonts w:ascii="Book Antiqua" w:hAnsi="Book Antiqua" w:cs="Arial"/>
        </w:rPr>
        <w:t xml:space="preserve"> </w:t>
      </w:r>
      <w:r>
        <w:rPr>
          <w:rFonts w:ascii="Book Antiqua" w:hAnsi="Book Antiqua" w:cs="Arial"/>
        </w:rPr>
        <w:t xml:space="preserve">if </w:t>
      </w:r>
      <w:r w:rsidR="003042CA">
        <w:rPr>
          <w:rFonts w:ascii="Book Antiqua" w:hAnsi="Book Antiqua" w:cs="Arial"/>
        </w:rPr>
        <w:t>possible whether the account is consistent with visible scarring but also the extent to which scarring may have other obvious causes</w:t>
      </w:r>
      <w:r w:rsidR="00F30CCF">
        <w:rPr>
          <w:rFonts w:ascii="Book Antiqua" w:hAnsi="Book Antiqua" w:cs="Arial"/>
        </w:rPr>
        <w:t xml:space="preserve"> and</w:t>
      </w:r>
      <w:r w:rsidR="003042CA">
        <w:rPr>
          <w:rFonts w:ascii="Book Antiqua" w:hAnsi="Book Antiqua" w:cs="Arial"/>
        </w:rPr>
        <w:t xml:space="preserve"> should identify medical evidence which is inconsistent with the detainees account.</w:t>
      </w:r>
    </w:p>
    <w:p w14:paraId="6639EE23" w14:textId="77777777" w:rsidR="003042CA" w:rsidRDefault="00421698" w:rsidP="003042CA">
      <w:pPr>
        <w:spacing w:before="240"/>
        <w:ind w:left="564" w:hanging="564"/>
        <w:jc w:val="both"/>
        <w:rPr>
          <w:rFonts w:ascii="Book Antiqua" w:hAnsi="Book Antiqua" w:cs="Arial"/>
        </w:rPr>
      </w:pPr>
      <w:r>
        <w:rPr>
          <w:rFonts w:ascii="Book Antiqua" w:hAnsi="Book Antiqua" w:cs="Arial"/>
        </w:rPr>
        <w:t>20.</w:t>
      </w:r>
      <w:r>
        <w:rPr>
          <w:rFonts w:ascii="Book Antiqua" w:hAnsi="Book Antiqua" w:cs="Arial"/>
        </w:rPr>
        <w:tab/>
      </w:r>
      <w:r w:rsidR="003042CA">
        <w:rPr>
          <w:rFonts w:ascii="Book Antiqua" w:hAnsi="Book Antiqua" w:cs="Arial"/>
        </w:rPr>
        <w:t xml:space="preserve">The guidance goes on to set out that because each case is different, it is not possible to provide definitive guidance on when a Rule 35 report will constitute independent evidence of torture. </w:t>
      </w:r>
      <w:proofErr w:type="gramStart"/>
      <w:r w:rsidR="003042CA">
        <w:rPr>
          <w:rFonts w:ascii="Book Antiqua" w:hAnsi="Book Antiqua" w:cs="Arial"/>
        </w:rPr>
        <w:t>However</w:t>
      </w:r>
      <w:proofErr w:type="gramEnd"/>
      <w:r w:rsidR="003042CA">
        <w:rPr>
          <w:rFonts w:ascii="Book Antiqua" w:hAnsi="Book Antiqua" w:cs="Arial"/>
        </w:rPr>
        <w:t xml:space="preserve"> it must have some corroborative potential that a detainee has been tortured but it need not definitively prove the alleged torture. A number of pointers are set out:</w:t>
      </w:r>
    </w:p>
    <w:p w14:paraId="5771B418" w14:textId="30500111" w:rsidR="003042CA" w:rsidRPr="00670DD5" w:rsidRDefault="003042CA" w:rsidP="00670DD5">
      <w:pPr>
        <w:pStyle w:val="ListParagraph"/>
        <w:numPr>
          <w:ilvl w:val="0"/>
          <w:numId w:val="4"/>
        </w:numPr>
        <w:spacing w:before="120"/>
        <w:ind w:left="1134" w:hanging="567"/>
        <w:jc w:val="both"/>
        <w:rPr>
          <w:rFonts w:ascii="Book Antiqua" w:hAnsi="Book Antiqua" w:cs="Arial"/>
        </w:rPr>
      </w:pPr>
      <w:r w:rsidRPr="00670DD5">
        <w:rPr>
          <w:rFonts w:ascii="Book Antiqua" w:hAnsi="Book Antiqua" w:cs="Arial"/>
        </w:rPr>
        <w:t>A report which simply repeats the allegation of torture will not be independent evidence of torture;</w:t>
      </w:r>
    </w:p>
    <w:p w14:paraId="4016CE77" w14:textId="3DCCC3E7" w:rsidR="003042CA" w:rsidRPr="00670DD5" w:rsidRDefault="003042CA" w:rsidP="00670DD5">
      <w:pPr>
        <w:pStyle w:val="ListParagraph"/>
        <w:numPr>
          <w:ilvl w:val="0"/>
          <w:numId w:val="4"/>
        </w:numPr>
        <w:spacing w:before="120"/>
        <w:ind w:left="1134" w:hanging="567"/>
        <w:jc w:val="both"/>
        <w:rPr>
          <w:rFonts w:ascii="Book Antiqua" w:hAnsi="Book Antiqua" w:cs="Arial"/>
        </w:rPr>
      </w:pPr>
      <w:r w:rsidRPr="00670DD5">
        <w:rPr>
          <w:rFonts w:ascii="Book Antiqua" w:hAnsi="Book Antiqua" w:cs="Arial"/>
        </w:rPr>
        <w:t>A report which raises a concern of torture with little reasoning or support which mentions nothing more than common injuries or scarring for which there are other obvious causes is unlikely to constitute independent evidence of torture;</w:t>
      </w:r>
    </w:p>
    <w:p w14:paraId="45FB8B97" w14:textId="56F2F544" w:rsidR="003042CA" w:rsidRPr="00670DD5" w:rsidRDefault="003042CA" w:rsidP="00670DD5">
      <w:pPr>
        <w:pStyle w:val="ListParagraph"/>
        <w:numPr>
          <w:ilvl w:val="0"/>
          <w:numId w:val="4"/>
        </w:numPr>
        <w:spacing w:before="120"/>
        <w:ind w:left="1134" w:hanging="567"/>
        <w:jc w:val="both"/>
        <w:rPr>
          <w:rFonts w:ascii="Book Antiqua" w:hAnsi="Book Antiqua" w:cs="Arial"/>
        </w:rPr>
      </w:pPr>
      <w:r w:rsidRPr="00670DD5">
        <w:rPr>
          <w:rFonts w:ascii="Book Antiqua" w:hAnsi="Book Antiqua" w:cs="Arial"/>
        </w:rPr>
        <w:t>A report which details clear physical or mental evidence of injuries which would normally arise only as a result of torture (e.g. numerous cards with the appearance of cigarette burns to legs; marks with the appearance of whipping scars), and which records a credible account of torture, is likely to constitute independent evidence of torture.</w:t>
      </w:r>
    </w:p>
    <w:p w14:paraId="5E26E9F5" w14:textId="77777777" w:rsidR="003042CA" w:rsidRDefault="00421698" w:rsidP="003042CA">
      <w:pPr>
        <w:spacing w:before="240"/>
        <w:ind w:left="564" w:hanging="564"/>
        <w:jc w:val="both"/>
        <w:rPr>
          <w:rFonts w:ascii="Book Antiqua" w:hAnsi="Book Antiqua" w:cs="Arial"/>
        </w:rPr>
      </w:pPr>
      <w:r>
        <w:rPr>
          <w:rFonts w:ascii="Book Antiqua" w:hAnsi="Book Antiqua" w:cs="Arial"/>
        </w:rPr>
        <w:t>21.</w:t>
      </w:r>
      <w:r>
        <w:rPr>
          <w:rFonts w:ascii="Book Antiqua" w:hAnsi="Book Antiqua" w:cs="Arial"/>
        </w:rPr>
        <w:tab/>
      </w:r>
      <w:r w:rsidR="003042CA">
        <w:rPr>
          <w:rFonts w:ascii="Book Antiqua" w:hAnsi="Book Antiqua" w:cs="Arial"/>
        </w:rPr>
        <w:t>It is thus plain from the guidance that no definitive guidance can be provided as to when a report is independent evidence of torture because the issue is fact sensitive.</w:t>
      </w:r>
    </w:p>
    <w:p w14:paraId="15EA4E7F" w14:textId="77777777" w:rsidR="005D2117" w:rsidRDefault="00421698" w:rsidP="003042CA">
      <w:pPr>
        <w:spacing w:before="240"/>
        <w:ind w:left="564" w:hanging="564"/>
        <w:jc w:val="both"/>
        <w:rPr>
          <w:rFonts w:ascii="Book Antiqua" w:hAnsi="Book Antiqua" w:cs="Arial"/>
        </w:rPr>
      </w:pPr>
      <w:r>
        <w:rPr>
          <w:rFonts w:ascii="Book Antiqua" w:hAnsi="Book Antiqua" w:cs="Arial"/>
        </w:rPr>
        <w:t>22.</w:t>
      </w:r>
      <w:r>
        <w:rPr>
          <w:rFonts w:ascii="Book Antiqua" w:hAnsi="Book Antiqua" w:cs="Arial"/>
        </w:rPr>
        <w:tab/>
      </w:r>
      <w:r w:rsidR="005D2117">
        <w:rPr>
          <w:rFonts w:ascii="Book Antiqua" w:hAnsi="Book Antiqua" w:cs="Arial"/>
        </w:rPr>
        <w:t xml:space="preserve">The Rule 35 report in respect of this </w:t>
      </w:r>
      <w:r>
        <w:rPr>
          <w:rFonts w:ascii="Book Antiqua" w:hAnsi="Book Antiqua" w:cs="Arial"/>
        </w:rPr>
        <w:t>Appellant</w:t>
      </w:r>
      <w:r w:rsidR="005D2117">
        <w:rPr>
          <w:rFonts w:ascii="Book Antiqua" w:hAnsi="Book Antiqua" w:cs="Arial"/>
        </w:rPr>
        <w:t xml:space="preserve"> is set out at pages 24 of the </w:t>
      </w:r>
      <w:r>
        <w:rPr>
          <w:rFonts w:ascii="Book Antiqua" w:hAnsi="Book Antiqua" w:cs="Arial"/>
        </w:rPr>
        <w:t>Appellant’s</w:t>
      </w:r>
      <w:r w:rsidR="005D2117">
        <w:rPr>
          <w:rFonts w:ascii="Book Antiqua" w:hAnsi="Book Antiqua" w:cs="Arial"/>
        </w:rPr>
        <w:t xml:space="preserve"> bundle. At section 4 the detainees account is given:” he was attacked in Pakistan in </w:t>
      </w:r>
      <w:r w:rsidR="005D2117">
        <w:rPr>
          <w:rFonts w:ascii="Book Antiqua" w:hAnsi="Book Antiqua" w:cs="Arial"/>
        </w:rPr>
        <w:lastRenderedPageBreak/>
        <w:t>2000. There was a land dispute and he was taken by his older brother some cousins who took him to a room. He had acid poured over his body and was burned with hot iron bolts and beaten with rods. He was cut with a knife. He was beaten with sticks.</w:t>
      </w:r>
      <w:r>
        <w:rPr>
          <w:rFonts w:ascii="Book Antiqua" w:hAnsi="Book Antiqua" w:cs="Arial"/>
        </w:rPr>
        <w:t xml:space="preserve"> He was attacked for</w:t>
      </w:r>
      <w:r w:rsidR="005D2117">
        <w:rPr>
          <w:rFonts w:ascii="Book Antiqua" w:hAnsi="Book Antiqua" w:cs="Arial"/>
        </w:rPr>
        <w:t xml:space="preserve"> two days. He was taken to hospital – he does not recall the name.” At section 5 under the heading “relevant clinical observation findings” the report makes reference to “burn scars on arms/hands and chest and left foot. Incision scar on left upper thigh”. There is a diagram to show the location of those scars. At section 6: assessment the following is stated “on examination he has scars which may be due to the history given. He has been having difficulty sleeping since the attack.”</w:t>
      </w:r>
    </w:p>
    <w:p w14:paraId="58D22697" w14:textId="77777777" w:rsidR="005D2117" w:rsidRDefault="00421698" w:rsidP="003042CA">
      <w:pPr>
        <w:spacing w:before="240"/>
        <w:ind w:left="564" w:hanging="564"/>
        <w:jc w:val="both"/>
        <w:rPr>
          <w:rFonts w:ascii="Book Antiqua" w:hAnsi="Book Antiqua" w:cs="Arial"/>
        </w:rPr>
      </w:pPr>
      <w:r>
        <w:rPr>
          <w:rFonts w:ascii="Book Antiqua" w:hAnsi="Book Antiqua" w:cs="Arial"/>
        </w:rPr>
        <w:t>23.</w:t>
      </w:r>
      <w:r>
        <w:rPr>
          <w:rFonts w:ascii="Book Antiqua" w:hAnsi="Book Antiqua" w:cs="Arial"/>
        </w:rPr>
        <w:tab/>
      </w:r>
      <w:r w:rsidR="005D2117">
        <w:rPr>
          <w:rFonts w:ascii="Book Antiqua" w:hAnsi="Book Antiqua" w:cs="Arial"/>
        </w:rPr>
        <w:t>Contrary to the grounds, the judge did not fail to take into account the content of that report and in fact made express reference to it at paragraph 64 of her decision. The judge stated as follows:</w:t>
      </w:r>
    </w:p>
    <w:p w14:paraId="111F6180" w14:textId="2D3B0D95" w:rsidR="005D2117" w:rsidRDefault="005D2117" w:rsidP="00670DD5">
      <w:pPr>
        <w:spacing w:before="240"/>
        <w:ind w:left="1134" w:firstLine="3"/>
        <w:jc w:val="both"/>
        <w:rPr>
          <w:rFonts w:ascii="Book Antiqua" w:hAnsi="Book Antiqua" w:cs="Arial"/>
        </w:rPr>
      </w:pPr>
      <w:r>
        <w:rPr>
          <w:rFonts w:ascii="Book Antiqua" w:hAnsi="Book Antiqua" w:cs="Arial"/>
        </w:rPr>
        <w:t xml:space="preserve">“64. The </w:t>
      </w:r>
      <w:r w:rsidR="00421698">
        <w:rPr>
          <w:rFonts w:ascii="Book Antiqua" w:hAnsi="Book Antiqua" w:cs="Arial"/>
        </w:rPr>
        <w:t>Appellant</w:t>
      </w:r>
      <w:r>
        <w:rPr>
          <w:rFonts w:ascii="Book Antiqua" w:hAnsi="Book Antiqua" w:cs="Arial"/>
        </w:rPr>
        <w:t xml:space="preserve"> does have scars on his body. However, the prison doctor</w:t>
      </w:r>
      <w:r w:rsidR="00977754">
        <w:rPr>
          <w:rFonts w:ascii="Book Antiqua" w:hAnsi="Book Antiqua" w:cs="Arial"/>
        </w:rPr>
        <w:t>’</w:t>
      </w:r>
      <w:r>
        <w:rPr>
          <w:rFonts w:ascii="Book Antiqua" w:hAnsi="Book Antiqua" w:cs="Arial"/>
        </w:rPr>
        <w:t xml:space="preserve">s report only states that these “may be due to the history given.” The doctor provided no other analysis of the </w:t>
      </w:r>
      <w:r w:rsidR="00421698">
        <w:rPr>
          <w:rFonts w:ascii="Book Antiqua" w:hAnsi="Book Antiqua" w:cs="Arial"/>
        </w:rPr>
        <w:t>Appellant</w:t>
      </w:r>
      <w:r w:rsidR="00977754">
        <w:rPr>
          <w:rFonts w:ascii="Book Antiqua" w:hAnsi="Book Antiqua" w:cs="Arial"/>
        </w:rPr>
        <w:t>’s</w:t>
      </w:r>
      <w:r>
        <w:rPr>
          <w:rFonts w:ascii="Book Antiqua" w:hAnsi="Book Antiqua" w:cs="Arial"/>
        </w:rPr>
        <w:t xml:space="preserve"> scars</w:t>
      </w:r>
      <w:r w:rsidR="00977754">
        <w:rPr>
          <w:rFonts w:ascii="Book Antiqua" w:hAnsi="Book Antiqua" w:cs="Arial"/>
        </w:rPr>
        <w:t xml:space="preserve">. </w:t>
      </w:r>
      <w:proofErr w:type="gramStart"/>
      <w:r w:rsidR="00977754">
        <w:rPr>
          <w:rFonts w:ascii="Book Antiqua" w:hAnsi="Book Antiqua" w:cs="Arial"/>
        </w:rPr>
        <w:t>Therefore</w:t>
      </w:r>
      <w:proofErr w:type="gramEnd"/>
      <w:r w:rsidR="00977754">
        <w:rPr>
          <w:rFonts w:ascii="Book Antiqua" w:hAnsi="Book Antiqua" w:cs="Arial"/>
        </w:rPr>
        <w:t xml:space="preserve"> I afford it</w:t>
      </w:r>
      <w:r>
        <w:rPr>
          <w:rFonts w:ascii="Book Antiqua" w:hAnsi="Book Antiqua" w:cs="Arial"/>
        </w:rPr>
        <w:t xml:space="preserve"> little weight as stand-alone evidence in establishing how the scars were come by.”</w:t>
      </w:r>
    </w:p>
    <w:p w14:paraId="7BEC1B87" w14:textId="77777777" w:rsidR="005D2117" w:rsidRDefault="005D2117" w:rsidP="003042CA">
      <w:pPr>
        <w:spacing w:before="240"/>
        <w:ind w:left="564" w:hanging="564"/>
        <w:jc w:val="both"/>
        <w:rPr>
          <w:rFonts w:ascii="Book Antiqua" w:hAnsi="Book Antiqua" w:cs="Arial"/>
        </w:rPr>
      </w:pPr>
      <w:r>
        <w:rPr>
          <w:rFonts w:ascii="Book Antiqua" w:hAnsi="Book Antiqua" w:cs="Arial"/>
        </w:rPr>
        <w:tab/>
        <w:t xml:space="preserve">Later </w:t>
      </w:r>
      <w:proofErr w:type="gramStart"/>
      <w:r>
        <w:rPr>
          <w:rFonts w:ascii="Book Antiqua" w:hAnsi="Book Antiqua" w:cs="Arial"/>
        </w:rPr>
        <w:t>on</w:t>
      </w:r>
      <w:proofErr w:type="gramEnd"/>
      <w:r>
        <w:rPr>
          <w:rFonts w:ascii="Book Antiqua" w:hAnsi="Book Antiqua" w:cs="Arial"/>
        </w:rPr>
        <w:t xml:space="preserve"> in her findings of fact she found that the </w:t>
      </w:r>
      <w:r w:rsidR="00421698">
        <w:rPr>
          <w:rFonts w:ascii="Book Antiqua" w:hAnsi="Book Antiqua" w:cs="Arial"/>
        </w:rPr>
        <w:t>Appellant</w:t>
      </w:r>
      <w:r>
        <w:rPr>
          <w:rFonts w:ascii="Book Antiqua" w:hAnsi="Book Antiqua" w:cs="Arial"/>
        </w:rPr>
        <w:t xml:space="preserve"> had been inconsistent as to who was responsible for the ill-treatment he said he had suffered and gave reasons at paragraph 69 (page 11 of the determination).</w:t>
      </w:r>
    </w:p>
    <w:p w14:paraId="2BE8F471" w14:textId="0CCE0714" w:rsidR="005D2117" w:rsidRDefault="00421698" w:rsidP="003042CA">
      <w:pPr>
        <w:spacing w:before="240"/>
        <w:ind w:left="564" w:hanging="564"/>
        <w:jc w:val="both"/>
        <w:rPr>
          <w:rFonts w:ascii="Book Antiqua" w:hAnsi="Book Antiqua" w:cs="Arial"/>
        </w:rPr>
      </w:pPr>
      <w:r>
        <w:rPr>
          <w:rFonts w:ascii="Book Antiqua" w:hAnsi="Book Antiqua" w:cs="Arial"/>
        </w:rPr>
        <w:t>24.</w:t>
      </w:r>
      <w:r>
        <w:rPr>
          <w:rFonts w:ascii="Book Antiqua" w:hAnsi="Book Antiqua" w:cs="Arial"/>
        </w:rPr>
        <w:tab/>
      </w:r>
      <w:proofErr w:type="gramStart"/>
      <w:r w:rsidR="005D2117">
        <w:rPr>
          <w:rFonts w:ascii="Book Antiqua" w:hAnsi="Book Antiqua" w:cs="Arial"/>
        </w:rPr>
        <w:t>Furthermore</w:t>
      </w:r>
      <w:proofErr w:type="gramEnd"/>
      <w:r w:rsidR="005D2117">
        <w:rPr>
          <w:rFonts w:ascii="Book Antiqua" w:hAnsi="Book Antiqua" w:cs="Arial"/>
        </w:rPr>
        <w:t xml:space="preserve"> I do not accept the submission made that the judge failed to give any weight to that report. The judge having considered its contents stated that she gave it little weight (rather than no weight)</w:t>
      </w:r>
      <w:r w:rsidR="000C3AC4">
        <w:rPr>
          <w:rFonts w:ascii="Book Antiqua" w:hAnsi="Book Antiqua" w:cs="Arial"/>
        </w:rPr>
        <w:t xml:space="preserve"> as </w:t>
      </w:r>
      <w:r w:rsidR="005D2117">
        <w:rPr>
          <w:rFonts w:ascii="Book Antiqua" w:hAnsi="Book Antiqua" w:cs="Arial"/>
        </w:rPr>
        <w:t>stand-alone evidence in establishing the causation of the scars. In my</w:t>
      </w:r>
      <w:r w:rsidR="000C3AC4">
        <w:rPr>
          <w:rFonts w:ascii="Book Antiqua" w:hAnsi="Book Antiqua" w:cs="Arial"/>
        </w:rPr>
        <w:t xml:space="preserve"> judgment</w:t>
      </w:r>
      <w:r w:rsidR="005D2117">
        <w:rPr>
          <w:rFonts w:ascii="Book Antiqua" w:hAnsi="Book Antiqua" w:cs="Arial"/>
        </w:rPr>
        <w:t xml:space="preserve">, the judge was entitled to reach that view on the contents of the Rule 35 report. The report itself recorded in brief terms the </w:t>
      </w:r>
      <w:r>
        <w:rPr>
          <w:rFonts w:ascii="Book Antiqua" w:hAnsi="Book Antiqua" w:cs="Arial"/>
        </w:rPr>
        <w:t>Appellant’s</w:t>
      </w:r>
      <w:r w:rsidR="005D2117">
        <w:rPr>
          <w:rFonts w:ascii="Book Antiqua" w:hAnsi="Book Antiqua" w:cs="Arial"/>
        </w:rPr>
        <w:t xml:space="preserve"> assertion of torture and the presence of some burn scars as noted. There was no medical opinion as to the causation or any connection between the scars identified and the </w:t>
      </w:r>
      <w:r>
        <w:rPr>
          <w:rFonts w:ascii="Book Antiqua" w:hAnsi="Book Antiqua" w:cs="Arial"/>
        </w:rPr>
        <w:t>Appellant’s</w:t>
      </w:r>
      <w:r w:rsidR="005D2117">
        <w:rPr>
          <w:rFonts w:ascii="Book Antiqua" w:hAnsi="Book Antiqua" w:cs="Arial"/>
        </w:rPr>
        <w:t xml:space="preserve"> assertions. At paragraph 64, the judge properly accepted that the</w:t>
      </w:r>
      <w:r w:rsidR="00670DD5">
        <w:rPr>
          <w:rFonts w:ascii="Book Antiqua" w:hAnsi="Book Antiqua" w:cs="Arial"/>
        </w:rPr>
        <w:t>re</w:t>
      </w:r>
      <w:r w:rsidR="005D2117">
        <w:rPr>
          <w:rFonts w:ascii="Book Antiqua" w:hAnsi="Book Antiqua" w:cs="Arial"/>
        </w:rPr>
        <w:t xml:space="preserve"> were scars on the </w:t>
      </w:r>
      <w:r>
        <w:rPr>
          <w:rFonts w:ascii="Book Antiqua" w:hAnsi="Book Antiqua" w:cs="Arial"/>
        </w:rPr>
        <w:t>Appellant’s</w:t>
      </w:r>
      <w:r w:rsidR="005D2117">
        <w:rPr>
          <w:rFonts w:ascii="Book Antiqua" w:hAnsi="Book Antiqua" w:cs="Arial"/>
        </w:rPr>
        <w:t xml:space="preserve"> body but was entitled to take into account the deficiencies in the report and in particular that whilst he stated that it “may be due to the history given”, the doctor provided no other analysis of the scars or provide any analysis of causation.</w:t>
      </w:r>
      <w:r w:rsidR="000C3AC4" w:rsidRPr="000C3AC4">
        <w:rPr>
          <w:rFonts w:ascii="Book Antiqua" w:hAnsi="Book Antiqua" w:cs="Arial"/>
        </w:rPr>
        <w:t xml:space="preserve"> </w:t>
      </w:r>
      <w:r w:rsidR="000C3AC4">
        <w:rPr>
          <w:rFonts w:ascii="Book Antiqua" w:hAnsi="Book Antiqua" w:cs="Arial"/>
        </w:rPr>
        <w:t xml:space="preserve">Notwithstanding the reference made by the </w:t>
      </w:r>
      <w:r w:rsidR="00670DD5">
        <w:rPr>
          <w:rFonts w:ascii="Book Antiqua" w:hAnsi="Book Antiqua" w:cs="Arial"/>
        </w:rPr>
        <w:t>Respondent that</w:t>
      </w:r>
      <w:r w:rsidR="000C3AC4">
        <w:rPr>
          <w:rFonts w:ascii="Book Antiqua" w:hAnsi="Book Antiqua" w:cs="Arial"/>
        </w:rPr>
        <w:t xml:space="preserve"> </w:t>
      </w:r>
      <w:proofErr w:type="gramStart"/>
      <w:r w:rsidR="000C3AC4">
        <w:rPr>
          <w:rFonts w:ascii="Book Antiqua" w:hAnsi="Book Antiqua" w:cs="Arial"/>
        </w:rPr>
        <w:t>“ in</w:t>
      </w:r>
      <w:proofErr w:type="gramEnd"/>
      <w:r w:rsidR="000C3AC4">
        <w:rPr>
          <w:rFonts w:ascii="Book Antiqua" w:hAnsi="Book Antiqua" w:cs="Arial"/>
        </w:rPr>
        <w:t xml:space="preserve"> relation to your claim of ill-treatment , your account does meet the above definition of torture” ( see letter maintaining detention  dated 9</w:t>
      </w:r>
      <w:r w:rsidR="000C3AC4" w:rsidRPr="000C3AC4">
        <w:rPr>
          <w:rFonts w:ascii="Book Antiqua" w:hAnsi="Book Antiqua" w:cs="Arial"/>
          <w:vertAlign w:val="superscript"/>
        </w:rPr>
        <w:t>th</w:t>
      </w:r>
      <w:r w:rsidR="000C3AC4">
        <w:rPr>
          <w:rFonts w:ascii="Book Antiqua" w:hAnsi="Book Antiqua" w:cs="Arial"/>
        </w:rPr>
        <w:t xml:space="preserve"> October 2017), it was open to the judge to consider the report in the light of the totality of the evidence to reach a conclusion as to whether in fact he had been the subject of ill-treatment in the factual circumstances alleged.</w:t>
      </w:r>
    </w:p>
    <w:p w14:paraId="22F66A32" w14:textId="77777777" w:rsidR="005D2117" w:rsidRDefault="00421698" w:rsidP="003042CA">
      <w:pPr>
        <w:spacing w:before="240"/>
        <w:ind w:left="564" w:hanging="564"/>
        <w:jc w:val="both"/>
        <w:rPr>
          <w:rFonts w:ascii="Book Antiqua" w:hAnsi="Book Antiqua" w:cs="Arial"/>
        </w:rPr>
      </w:pPr>
      <w:r>
        <w:rPr>
          <w:rFonts w:ascii="Book Antiqua" w:hAnsi="Book Antiqua" w:cs="Arial"/>
        </w:rPr>
        <w:t>25.</w:t>
      </w:r>
      <w:r>
        <w:rPr>
          <w:rFonts w:ascii="Book Antiqua" w:hAnsi="Book Antiqua" w:cs="Arial"/>
        </w:rPr>
        <w:tab/>
      </w:r>
      <w:r w:rsidR="000C3AC4">
        <w:rPr>
          <w:rFonts w:ascii="Book Antiqua" w:hAnsi="Book Antiqua" w:cs="Arial"/>
        </w:rPr>
        <w:t>T</w:t>
      </w:r>
      <w:r w:rsidR="005D2117">
        <w:rPr>
          <w:rFonts w:ascii="Book Antiqua" w:hAnsi="Book Antiqua" w:cs="Arial"/>
        </w:rPr>
        <w:t>he judge did consider that the evidence in the Rule 35 report did have some corroborative potential (in line with the guidance although not put before the judge) but that she could attach little weight to it overall for the reasons that she expressed</w:t>
      </w:r>
      <w:r w:rsidR="000C3AC4">
        <w:rPr>
          <w:rFonts w:ascii="Book Antiqua" w:hAnsi="Book Antiqua" w:cs="Arial"/>
        </w:rPr>
        <w:t>. There wa</w:t>
      </w:r>
      <w:r w:rsidR="005D2117">
        <w:rPr>
          <w:rFonts w:ascii="Book Antiqua" w:hAnsi="Book Antiqua" w:cs="Arial"/>
        </w:rPr>
        <w:t>s no reason</w:t>
      </w:r>
      <w:r w:rsidR="000C3AC4">
        <w:rPr>
          <w:rFonts w:ascii="Book Antiqua" w:hAnsi="Book Antiqua" w:cs="Arial"/>
        </w:rPr>
        <w:t>able</w:t>
      </w:r>
      <w:r w:rsidR="005D2117">
        <w:rPr>
          <w:rFonts w:ascii="Book Antiqua" w:hAnsi="Book Antiqua" w:cs="Arial"/>
        </w:rPr>
        <w:t xml:space="preserve"> explanation as to how the scarring was consistent with his account. As the guidance sets out</w:t>
      </w:r>
      <w:r w:rsidR="000C3AC4">
        <w:rPr>
          <w:rFonts w:ascii="Book Antiqua" w:hAnsi="Book Antiqua" w:cs="Arial"/>
        </w:rPr>
        <w:t xml:space="preserve"> a R</w:t>
      </w:r>
      <w:r w:rsidR="005D2117">
        <w:rPr>
          <w:rFonts w:ascii="Book Antiqua" w:hAnsi="Book Antiqua" w:cs="Arial"/>
        </w:rPr>
        <w:t>ule 35 report is not an expert medico</w:t>
      </w:r>
      <w:r w:rsidR="000C3AC4">
        <w:rPr>
          <w:rFonts w:ascii="Book Antiqua" w:hAnsi="Book Antiqua" w:cs="Arial"/>
        </w:rPr>
        <w:t>-</w:t>
      </w:r>
      <w:r w:rsidR="005D2117">
        <w:rPr>
          <w:rFonts w:ascii="Book Antiqua" w:hAnsi="Book Antiqua" w:cs="Arial"/>
        </w:rPr>
        <w:t xml:space="preserve">legal report </w:t>
      </w:r>
      <w:r w:rsidR="005D2117">
        <w:rPr>
          <w:rFonts w:ascii="Book Antiqua" w:hAnsi="Book Antiqua" w:cs="Arial"/>
        </w:rPr>
        <w:lastRenderedPageBreak/>
        <w:t>therefore there is no need for medical practitioners to apply the test set out in the Istanbul Protocol or assess the likelihood of different causes.</w:t>
      </w:r>
    </w:p>
    <w:p w14:paraId="6254BD27" w14:textId="77777777" w:rsidR="005D2117" w:rsidRDefault="00421698" w:rsidP="003042CA">
      <w:pPr>
        <w:spacing w:before="240"/>
        <w:ind w:left="564" w:hanging="564"/>
        <w:jc w:val="both"/>
        <w:rPr>
          <w:rFonts w:ascii="Book Antiqua" w:hAnsi="Book Antiqua" w:cs="Arial"/>
        </w:rPr>
      </w:pPr>
      <w:r>
        <w:rPr>
          <w:rFonts w:ascii="Book Antiqua" w:hAnsi="Book Antiqua" w:cs="Arial"/>
        </w:rPr>
        <w:t>26.</w:t>
      </w:r>
      <w:r>
        <w:rPr>
          <w:rFonts w:ascii="Book Antiqua" w:hAnsi="Book Antiqua" w:cs="Arial"/>
        </w:rPr>
        <w:tab/>
      </w:r>
      <w:r w:rsidR="005D2117">
        <w:rPr>
          <w:rFonts w:ascii="Book Antiqua" w:hAnsi="Book Antiqua" w:cs="Arial"/>
        </w:rPr>
        <w:t xml:space="preserve">As the decision itself reflects, the judge went on to make a number of factual findings concerning the evidence of the </w:t>
      </w:r>
      <w:r>
        <w:rPr>
          <w:rFonts w:ascii="Book Antiqua" w:hAnsi="Book Antiqua" w:cs="Arial"/>
        </w:rPr>
        <w:t>Appellant</w:t>
      </w:r>
      <w:r w:rsidR="005D2117">
        <w:rPr>
          <w:rFonts w:ascii="Book Antiqua" w:hAnsi="Book Antiqua" w:cs="Arial"/>
        </w:rPr>
        <w:t xml:space="preserve"> and his witnesses and set out the areas where that evidence was implausible, not credible and inconsistent. At paragraph 66 – 81 the judge set out those findings of fact by reference to his factual account as to the date of his arrival, the evidence relating to the issue of education in the UK, the inconsistent evidence given by him and his family members and the inconsistent and implausible evidence as to the events in Pakistan. At paragraph 69, the judge found also he was inconsistent as to evidence as to who was responsible for the alleged ill-treatment/torture. At paragraph 71 – 81 the judge set out other inconsistencies in the evidence. It is not </w:t>
      </w:r>
      <w:proofErr w:type="gramStart"/>
      <w:r w:rsidR="005D2117">
        <w:rPr>
          <w:rFonts w:ascii="Book Antiqua" w:hAnsi="Book Antiqua" w:cs="Arial"/>
        </w:rPr>
        <w:t>been</w:t>
      </w:r>
      <w:proofErr w:type="gramEnd"/>
      <w:r w:rsidR="005D2117">
        <w:rPr>
          <w:rFonts w:ascii="Book Antiqua" w:hAnsi="Book Antiqua" w:cs="Arial"/>
        </w:rPr>
        <w:t xml:space="preserve"> demonstrated that any of those findings were not open to the judge on the evidence that was before her.</w:t>
      </w:r>
    </w:p>
    <w:p w14:paraId="67E97BD3" w14:textId="77777777" w:rsidR="005D2117" w:rsidRDefault="00421698" w:rsidP="003042CA">
      <w:pPr>
        <w:spacing w:before="240"/>
        <w:ind w:left="564" w:hanging="564"/>
        <w:jc w:val="both"/>
        <w:rPr>
          <w:rFonts w:ascii="Book Antiqua" w:hAnsi="Book Antiqua" w:cs="Arial"/>
        </w:rPr>
      </w:pPr>
      <w:r>
        <w:rPr>
          <w:rFonts w:ascii="Book Antiqua" w:hAnsi="Book Antiqua" w:cs="Arial"/>
        </w:rPr>
        <w:t>27.</w:t>
      </w:r>
      <w:r>
        <w:rPr>
          <w:rFonts w:ascii="Book Antiqua" w:hAnsi="Book Antiqua" w:cs="Arial"/>
        </w:rPr>
        <w:tab/>
      </w:r>
      <w:r w:rsidR="005D2117">
        <w:rPr>
          <w:rFonts w:ascii="Book Antiqua" w:hAnsi="Book Antiqua" w:cs="Arial"/>
        </w:rPr>
        <w:t>At paragraph 83, the judge then drew together all of those findings of fact, including the weight</w:t>
      </w:r>
      <w:r w:rsidR="000C3AC4">
        <w:rPr>
          <w:rFonts w:ascii="Book Antiqua" w:hAnsi="Book Antiqua" w:cs="Arial"/>
        </w:rPr>
        <w:t xml:space="preserve"> that she could attach to the R</w:t>
      </w:r>
      <w:r w:rsidR="005D2117">
        <w:rPr>
          <w:rFonts w:ascii="Book Antiqua" w:hAnsi="Book Antiqua" w:cs="Arial"/>
        </w:rPr>
        <w:t>ule 35 report</w:t>
      </w:r>
      <w:r w:rsidR="000C3AC4">
        <w:rPr>
          <w:rFonts w:ascii="Book Antiqua" w:hAnsi="Book Antiqua" w:cs="Arial"/>
        </w:rPr>
        <w:t xml:space="preserve"> to reach</w:t>
      </w:r>
      <w:r w:rsidR="005D2117">
        <w:rPr>
          <w:rFonts w:ascii="Book Antiqua" w:hAnsi="Book Antiqua" w:cs="Arial"/>
        </w:rPr>
        <w:t xml:space="preserve"> final conclusions as to the core issues. As submitted by Ms Ahmed, she properly applied the approach in the decision of </w:t>
      </w:r>
      <w:proofErr w:type="spellStart"/>
      <w:r w:rsidR="005D2117" w:rsidRPr="000C3AC4">
        <w:rPr>
          <w:rFonts w:ascii="Book Antiqua" w:hAnsi="Book Antiqua" w:cs="Arial"/>
          <w:u w:val="single"/>
        </w:rPr>
        <w:t>Mibanga</w:t>
      </w:r>
      <w:proofErr w:type="spellEnd"/>
      <w:r w:rsidR="005D2117">
        <w:rPr>
          <w:rFonts w:ascii="Book Antiqua" w:hAnsi="Book Antiqua" w:cs="Arial"/>
        </w:rPr>
        <w:t xml:space="preserve"> and did not consider the medical evidence in isolation but part of the totality of the evidence before reaching her final conclusions at paragraph 83.</w:t>
      </w:r>
    </w:p>
    <w:p w14:paraId="034034C2" w14:textId="77777777" w:rsidR="005D2117" w:rsidRDefault="00421698" w:rsidP="003042CA">
      <w:pPr>
        <w:spacing w:before="240"/>
        <w:ind w:left="564" w:hanging="564"/>
        <w:jc w:val="both"/>
        <w:rPr>
          <w:rFonts w:ascii="Book Antiqua" w:hAnsi="Book Antiqua" w:cs="Arial"/>
        </w:rPr>
      </w:pPr>
      <w:r>
        <w:rPr>
          <w:rFonts w:ascii="Book Antiqua" w:hAnsi="Book Antiqua" w:cs="Arial"/>
        </w:rPr>
        <w:t>28.</w:t>
      </w:r>
      <w:r>
        <w:rPr>
          <w:rFonts w:ascii="Book Antiqua" w:hAnsi="Book Antiqua" w:cs="Arial"/>
        </w:rPr>
        <w:tab/>
      </w:r>
      <w:r w:rsidR="005D2117">
        <w:rPr>
          <w:rFonts w:ascii="Book Antiqua" w:hAnsi="Book Antiqua" w:cs="Arial"/>
        </w:rPr>
        <w:t xml:space="preserve">I do not accept the submission made by Mr </w:t>
      </w:r>
      <w:proofErr w:type="spellStart"/>
      <w:r w:rsidR="005D2117">
        <w:rPr>
          <w:rFonts w:ascii="Book Antiqua" w:hAnsi="Book Antiqua" w:cs="Arial"/>
        </w:rPr>
        <w:t>Mian</w:t>
      </w:r>
      <w:proofErr w:type="spellEnd"/>
      <w:r w:rsidR="005D2117">
        <w:rPr>
          <w:rFonts w:ascii="Book Antiqua" w:hAnsi="Book Antiqua" w:cs="Arial"/>
        </w:rPr>
        <w:t xml:space="preserve"> that the judge should have informed the parties of her view of the Rule 35 report so that the </w:t>
      </w:r>
      <w:r>
        <w:rPr>
          <w:rFonts w:ascii="Book Antiqua" w:hAnsi="Book Antiqua" w:cs="Arial"/>
        </w:rPr>
        <w:t>Appellant</w:t>
      </w:r>
      <w:r w:rsidR="005D2117">
        <w:rPr>
          <w:rFonts w:ascii="Book Antiqua" w:hAnsi="Book Antiqua" w:cs="Arial"/>
        </w:rPr>
        <w:t xml:space="preserve"> could obtain further evidence. As set out above, it is plain that a Rule 35 report has limited evidential value and as Miss Ahmed submitted, does not have the status of a medico-legal report. It must also have been plain that the report did not seek to attribute the scars to the way the </w:t>
      </w:r>
      <w:r>
        <w:rPr>
          <w:rFonts w:ascii="Book Antiqua" w:hAnsi="Book Antiqua" w:cs="Arial"/>
        </w:rPr>
        <w:t>Appellant</w:t>
      </w:r>
      <w:r w:rsidR="005D2117">
        <w:rPr>
          <w:rFonts w:ascii="Book Antiqua" w:hAnsi="Book Antiqua" w:cs="Arial"/>
        </w:rPr>
        <w:t xml:space="preserve"> claims to have been </w:t>
      </w:r>
      <w:proofErr w:type="spellStart"/>
      <w:r w:rsidR="005D2117">
        <w:rPr>
          <w:rFonts w:ascii="Book Antiqua" w:hAnsi="Book Antiqua" w:cs="Arial"/>
        </w:rPr>
        <w:t>ill treated</w:t>
      </w:r>
      <w:proofErr w:type="spellEnd"/>
      <w:r w:rsidR="005D2117">
        <w:rPr>
          <w:rFonts w:ascii="Book Antiqua" w:hAnsi="Book Antiqua" w:cs="Arial"/>
        </w:rPr>
        <w:t xml:space="preserve">. It has always been open to the </w:t>
      </w:r>
      <w:r>
        <w:rPr>
          <w:rFonts w:ascii="Book Antiqua" w:hAnsi="Book Antiqua" w:cs="Arial"/>
        </w:rPr>
        <w:t>Appellant’s</w:t>
      </w:r>
      <w:r w:rsidR="005D2117">
        <w:rPr>
          <w:rFonts w:ascii="Book Antiqua" w:hAnsi="Book Antiqua" w:cs="Arial"/>
        </w:rPr>
        <w:t xml:space="preserve"> representatives to seek to instruct a medical expert and have had the opportunity to do so since the rule 35 report was provided in October 2017.</w:t>
      </w:r>
    </w:p>
    <w:p w14:paraId="5134A78E" w14:textId="77777777" w:rsidR="005D2117" w:rsidRDefault="00421698" w:rsidP="003042CA">
      <w:pPr>
        <w:spacing w:before="240"/>
        <w:ind w:left="564" w:hanging="564"/>
        <w:jc w:val="both"/>
        <w:rPr>
          <w:rFonts w:ascii="Book Antiqua" w:hAnsi="Book Antiqua" w:cs="Arial"/>
        </w:rPr>
      </w:pPr>
      <w:r>
        <w:rPr>
          <w:rFonts w:ascii="Book Antiqua" w:hAnsi="Book Antiqua" w:cs="Arial"/>
        </w:rPr>
        <w:t>29.</w:t>
      </w:r>
      <w:r>
        <w:rPr>
          <w:rFonts w:ascii="Book Antiqua" w:hAnsi="Book Antiqua" w:cs="Arial"/>
        </w:rPr>
        <w:tab/>
      </w:r>
      <w:proofErr w:type="gramStart"/>
      <w:r w:rsidR="005D2117">
        <w:rPr>
          <w:rFonts w:ascii="Book Antiqua" w:hAnsi="Book Antiqua" w:cs="Arial"/>
        </w:rPr>
        <w:t>Consequently</w:t>
      </w:r>
      <w:proofErr w:type="gramEnd"/>
      <w:r w:rsidR="005D2117">
        <w:rPr>
          <w:rFonts w:ascii="Book Antiqua" w:hAnsi="Book Antiqua" w:cs="Arial"/>
        </w:rPr>
        <w:t xml:space="preserve"> I find no error of law in the approach of the FTTJ to the issue of the Rule 35 report.</w:t>
      </w:r>
    </w:p>
    <w:p w14:paraId="6C0CCB73" w14:textId="77777777" w:rsidR="005D2117" w:rsidRDefault="00421698" w:rsidP="003042CA">
      <w:pPr>
        <w:spacing w:before="240"/>
        <w:ind w:left="564" w:hanging="564"/>
        <w:jc w:val="both"/>
        <w:rPr>
          <w:rFonts w:ascii="Book Antiqua" w:hAnsi="Book Antiqua" w:cs="Arial"/>
        </w:rPr>
      </w:pPr>
      <w:r>
        <w:rPr>
          <w:rFonts w:ascii="Book Antiqua" w:hAnsi="Book Antiqua" w:cs="Arial"/>
        </w:rPr>
        <w:t>30.</w:t>
      </w:r>
      <w:r>
        <w:rPr>
          <w:rFonts w:ascii="Book Antiqua" w:hAnsi="Book Antiqua" w:cs="Arial"/>
        </w:rPr>
        <w:tab/>
      </w:r>
      <w:r w:rsidR="005D2117">
        <w:rPr>
          <w:rFonts w:ascii="Book Antiqua" w:hAnsi="Book Antiqua" w:cs="Arial"/>
        </w:rPr>
        <w:t xml:space="preserve">The grounds also challenge the judges’ assessment of </w:t>
      </w:r>
      <w:r>
        <w:rPr>
          <w:rFonts w:ascii="Book Antiqua" w:hAnsi="Book Antiqua" w:cs="Arial"/>
        </w:rPr>
        <w:t>Article</w:t>
      </w:r>
      <w:r w:rsidR="005D2117">
        <w:rPr>
          <w:rFonts w:ascii="Book Antiqua" w:hAnsi="Book Antiqua" w:cs="Arial"/>
        </w:rPr>
        <w:t xml:space="preserve"> 8. The grounds assert that the judge failed properly to consider the </w:t>
      </w:r>
      <w:r>
        <w:rPr>
          <w:rFonts w:ascii="Book Antiqua" w:hAnsi="Book Antiqua" w:cs="Arial"/>
        </w:rPr>
        <w:t>Article</w:t>
      </w:r>
      <w:r w:rsidR="005D2117">
        <w:rPr>
          <w:rFonts w:ascii="Book Antiqua" w:hAnsi="Book Antiqua" w:cs="Arial"/>
        </w:rPr>
        <w:t xml:space="preserve"> 8 rights of the </w:t>
      </w:r>
      <w:r>
        <w:rPr>
          <w:rFonts w:ascii="Book Antiqua" w:hAnsi="Book Antiqua" w:cs="Arial"/>
        </w:rPr>
        <w:t>Appellant</w:t>
      </w:r>
      <w:r w:rsidR="005D2117">
        <w:rPr>
          <w:rFonts w:ascii="Book Antiqua" w:hAnsi="Book Antiqua" w:cs="Arial"/>
        </w:rPr>
        <w:t xml:space="preserve"> (see grounds paragraphs 22 – 33).</w:t>
      </w:r>
    </w:p>
    <w:p w14:paraId="41E5FBF4" w14:textId="77777777" w:rsidR="000C3AC4" w:rsidRDefault="00421698" w:rsidP="003042CA">
      <w:pPr>
        <w:spacing w:before="240"/>
        <w:ind w:left="564" w:hanging="564"/>
        <w:jc w:val="both"/>
        <w:rPr>
          <w:rFonts w:ascii="Book Antiqua" w:hAnsi="Book Antiqua" w:cs="Arial"/>
        </w:rPr>
      </w:pPr>
      <w:r>
        <w:rPr>
          <w:rFonts w:ascii="Book Antiqua" w:hAnsi="Book Antiqua" w:cs="Arial"/>
        </w:rPr>
        <w:t>31.</w:t>
      </w:r>
      <w:r>
        <w:rPr>
          <w:rFonts w:ascii="Book Antiqua" w:hAnsi="Book Antiqua" w:cs="Arial"/>
        </w:rPr>
        <w:tab/>
      </w:r>
      <w:r w:rsidR="005D2117">
        <w:rPr>
          <w:rFonts w:ascii="Book Antiqua" w:hAnsi="Book Antiqua" w:cs="Arial"/>
        </w:rPr>
        <w:t xml:space="preserve">It is plain from reading those grounds that they are based on the assertion that the </w:t>
      </w:r>
      <w:r>
        <w:rPr>
          <w:rFonts w:ascii="Book Antiqua" w:hAnsi="Book Antiqua" w:cs="Arial"/>
        </w:rPr>
        <w:t>Appellant</w:t>
      </w:r>
      <w:r w:rsidR="005D2117">
        <w:rPr>
          <w:rFonts w:ascii="Book Antiqua" w:hAnsi="Book Antiqua" w:cs="Arial"/>
        </w:rPr>
        <w:t xml:space="preserve"> had been resident in the United Kingdom since 2001 and therefore had accrued 16 years residence. </w:t>
      </w:r>
      <w:proofErr w:type="gramStart"/>
      <w:r w:rsidR="005D2117">
        <w:rPr>
          <w:rFonts w:ascii="Book Antiqua" w:hAnsi="Book Antiqua" w:cs="Arial"/>
        </w:rPr>
        <w:t>However</w:t>
      </w:r>
      <w:proofErr w:type="gramEnd"/>
      <w:r w:rsidR="005D2117">
        <w:rPr>
          <w:rFonts w:ascii="Book Antiqua" w:hAnsi="Book Antiqua" w:cs="Arial"/>
        </w:rPr>
        <w:t xml:space="preserve"> that fails to take into account the findings of fact made by the judge that relate expressly to his arrival date and the length of his residence in the UK. </w:t>
      </w:r>
    </w:p>
    <w:p w14:paraId="2EFF9F2D" w14:textId="77777777" w:rsidR="005D2117" w:rsidRDefault="000C3AC4" w:rsidP="003042CA">
      <w:pPr>
        <w:spacing w:before="240"/>
        <w:ind w:left="564" w:hanging="564"/>
        <w:jc w:val="both"/>
        <w:rPr>
          <w:rFonts w:ascii="Book Antiqua" w:hAnsi="Book Antiqua" w:cs="Arial"/>
        </w:rPr>
      </w:pPr>
      <w:r>
        <w:rPr>
          <w:rFonts w:ascii="Book Antiqua" w:hAnsi="Book Antiqua" w:cs="Arial"/>
        </w:rPr>
        <w:t>32.</w:t>
      </w:r>
      <w:r>
        <w:rPr>
          <w:rFonts w:ascii="Book Antiqua" w:hAnsi="Book Antiqua" w:cs="Arial"/>
        </w:rPr>
        <w:tab/>
      </w:r>
      <w:r w:rsidR="005D2117">
        <w:rPr>
          <w:rFonts w:ascii="Book Antiqua" w:hAnsi="Book Antiqua" w:cs="Arial"/>
        </w:rPr>
        <w:t>The judge made the following findings of fact</w:t>
      </w:r>
      <w:r>
        <w:rPr>
          <w:rFonts w:ascii="Book Antiqua" w:hAnsi="Book Antiqua" w:cs="Arial"/>
        </w:rPr>
        <w:t xml:space="preserve"> from</w:t>
      </w:r>
      <w:r w:rsidR="005D2117">
        <w:rPr>
          <w:rFonts w:ascii="Book Antiqua" w:hAnsi="Book Antiqua" w:cs="Arial"/>
        </w:rPr>
        <w:t xml:space="preserve"> the totality of the evidence before her, including the oral evidence of two witnesses called on behalf of the </w:t>
      </w:r>
      <w:r w:rsidR="00421698">
        <w:rPr>
          <w:rFonts w:ascii="Book Antiqua" w:hAnsi="Book Antiqua" w:cs="Arial"/>
        </w:rPr>
        <w:t>Appellant</w:t>
      </w:r>
      <w:r w:rsidR="005D2117">
        <w:rPr>
          <w:rFonts w:ascii="Book Antiqua" w:hAnsi="Book Antiqua" w:cs="Arial"/>
        </w:rPr>
        <w:t xml:space="preserve">. The judge found that the </w:t>
      </w:r>
      <w:r w:rsidR="00421698">
        <w:rPr>
          <w:rFonts w:ascii="Book Antiqua" w:hAnsi="Book Antiqua" w:cs="Arial"/>
        </w:rPr>
        <w:t>Appellant</w:t>
      </w:r>
      <w:r w:rsidR="005D2117">
        <w:rPr>
          <w:rFonts w:ascii="Book Antiqua" w:hAnsi="Book Antiqua" w:cs="Arial"/>
        </w:rPr>
        <w:t xml:space="preserve"> had been inconsistent as to his arrival date in the UK; in the witness statement oral evidence he had said that i</w:t>
      </w:r>
      <w:r>
        <w:rPr>
          <w:rFonts w:ascii="Book Antiqua" w:hAnsi="Book Antiqua" w:cs="Arial"/>
        </w:rPr>
        <w:t>t was at the end of 2001 whereas</w:t>
      </w:r>
      <w:r w:rsidR="005D2117">
        <w:rPr>
          <w:rFonts w:ascii="Book Antiqua" w:hAnsi="Book Antiqua" w:cs="Arial"/>
        </w:rPr>
        <w:t xml:space="preserve"> in his asylum interview (Q 12</w:t>
      </w:r>
      <w:r>
        <w:rPr>
          <w:rFonts w:ascii="Book Antiqua" w:hAnsi="Book Antiqua" w:cs="Arial"/>
        </w:rPr>
        <w:t>) he stated that he</w:t>
      </w:r>
      <w:r w:rsidR="005D2117">
        <w:rPr>
          <w:rFonts w:ascii="Book Antiqua" w:hAnsi="Book Antiqua" w:cs="Arial"/>
        </w:rPr>
        <w:t xml:space="preserve"> left Pakistan in</w:t>
      </w:r>
      <w:r>
        <w:rPr>
          <w:rFonts w:ascii="Book Antiqua" w:hAnsi="Book Antiqua" w:cs="Arial"/>
        </w:rPr>
        <w:t xml:space="preserve"> the year 2000</w:t>
      </w:r>
      <w:r w:rsidR="005D2117">
        <w:rPr>
          <w:rFonts w:ascii="Book Antiqua" w:hAnsi="Book Antiqua" w:cs="Arial"/>
        </w:rPr>
        <w:t xml:space="preserve"> </w:t>
      </w:r>
      <w:r w:rsidR="005D2117">
        <w:rPr>
          <w:rFonts w:ascii="Book Antiqua" w:hAnsi="Book Antiqua" w:cs="Arial"/>
        </w:rPr>
        <w:lastRenderedPageBreak/>
        <w:t>by plane and flew to London Heathrow (Q3 .3 SI) but it was not possible that he could have left by plane in 2000 and arrived in 2001 as claimed. The judge found that he was inconsistent as to when he stated he had attended college between the years 2000 – 2003 which is not possible if he had arrived in the UK 2001 and was inconsistent with the evidence of his brother that he</w:t>
      </w:r>
      <w:r>
        <w:rPr>
          <w:rFonts w:ascii="Book Antiqua" w:hAnsi="Book Antiqua" w:cs="Arial"/>
        </w:rPr>
        <w:t xml:space="preserve"> had</w:t>
      </w:r>
      <w:r w:rsidR="005D2117">
        <w:rPr>
          <w:rFonts w:ascii="Book Antiqua" w:hAnsi="Book Antiqua" w:cs="Arial"/>
        </w:rPr>
        <w:t xml:space="preserve"> attended college in 2002. The judge rejected his account as to his education at paragraph 68 and recorded that in any event, the </w:t>
      </w:r>
      <w:r w:rsidR="00421698">
        <w:rPr>
          <w:rFonts w:ascii="Book Antiqua" w:hAnsi="Book Antiqua" w:cs="Arial"/>
        </w:rPr>
        <w:t>Appellant’s</w:t>
      </w:r>
      <w:r w:rsidR="005D2117">
        <w:rPr>
          <w:rFonts w:ascii="Book Antiqua" w:hAnsi="Book Antiqua" w:cs="Arial"/>
        </w:rPr>
        <w:t xml:space="preserve"> evidence was inconsistent with the answers in interview and the evidence given by his brother. A number of other inconsistencies were set out by the judge at paragraph 70 – 81 of the determination which related to his claim that he had been taken to the solicitors for advice in 2002 (see paragraph 71 – 72), that he had provided no evidence of his presence in the United Kingdom before his application for leave to remain in 2011 and that it was reasonable for the </w:t>
      </w:r>
      <w:r w:rsidR="00421698">
        <w:rPr>
          <w:rFonts w:ascii="Book Antiqua" w:hAnsi="Book Antiqua" w:cs="Arial"/>
        </w:rPr>
        <w:t>Appellant</w:t>
      </w:r>
      <w:r w:rsidR="005D2117">
        <w:rPr>
          <w:rFonts w:ascii="Book Antiqua" w:hAnsi="Book Antiqua" w:cs="Arial"/>
        </w:rPr>
        <w:t xml:space="preserve"> to have been able to produce some documentary evidence showing his enrolment at Lewisham College even if he only attended lessons for a short period. The judge also found it implausible that if he were on a school register age 14 in 2002 and then disappeared, the education authorities would not have enquired or investigated which school he moved on to given that he was below the school leaving age. Other findings of fact were made at paragraph 77 – 81.</w:t>
      </w:r>
      <w:r>
        <w:rPr>
          <w:rFonts w:ascii="Book Antiqua" w:hAnsi="Book Antiqua" w:cs="Arial"/>
        </w:rPr>
        <w:t xml:space="preserve"> The grounds assert that it was not possible for him to obtain supporting information to demonstrate his length of residence but the judge gave adequate and sustainable reasons for rejecting that submission as out above.</w:t>
      </w:r>
    </w:p>
    <w:p w14:paraId="1F8A4B87" w14:textId="77777777" w:rsidR="005D2117" w:rsidRDefault="000C3AC4" w:rsidP="003042CA">
      <w:pPr>
        <w:spacing w:before="240"/>
        <w:ind w:left="564" w:hanging="564"/>
        <w:jc w:val="both"/>
        <w:rPr>
          <w:rFonts w:ascii="Book Antiqua" w:hAnsi="Book Antiqua" w:cs="Arial"/>
        </w:rPr>
      </w:pPr>
      <w:r>
        <w:rPr>
          <w:rFonts w:ascii="Book Antiqua" w:hAnsi="Book Antiqua" w:cs="Arial"/>
        </w:rPr>
        <w:t>33.</w:t>
      </w:r>
      <w:r>
        <w:rPr>
          <w:rFonts w:ascii="Book Antiqua" w:hAnsi="Book Antiqua" w:cs="Arial"/>
        </w:rPr>
        <w:tab/>
      </w:r>
      <w:proofErr w:type="gramStart"/>
      <w:r>
        <w:rPr>
          <w:rFonts w:ascii="Book Antiqua" w:hAnsi="Book Antiqua" w:cs="Arial"/>
        </w:rPr>
        <w:t>Consequently</w:t>
      </w:r>
      <w:proofErr w:type="gramEnd"/>
      <w:r>
        <w:rPr>
          <w:rFonts w:ascii="Book Antiqua" w:hAnsi="Book Antiqua" w:cs="Arial"/>
        </w:rPr>
        <w:t xml:space="preserve"> the judge reached</w:t>
      </w:r>
      <w:r w:rsidR="005D2117">
        <w:rPr>
          <w:rFonts w:ascii="Book Antiqua" w:hAnsi="Book Antiqua" w:cs="Arial"/>
        </w:rPr>
        <w:t xml:space="preserve"> the overall conclusion that she did not accept the </w:t>
      </w:r>
      <w:r w:rsidR="00421698">
        <w:rPr>
          <w:rFonts w:ascii="Book Antiqua" w:hAnsi="Book Antiqua" w:cs="Arial"/>
        </w:rPr>
        <w:t>Appellant’s</w:t>
      </w:r>
      <w:r w:rsidR="005D2117">
        <w:rPr>
          <w:rFonts w:ascii="Book Antiqua" w:hAnsi="Book Antiqua" w:cs="Arial"/>
        </w:rPr>
        <w:t xml:space="preserve"> account of having been in the UK since 2001 and found as a fact that he had arrived in the UK shortly before his first claim made to the Home Office on 22 June 2011 when aged 22. </w:t>
      </w:r>
      <w:proofErr w:type="gramStart"/>
      <w:r w:rsidR="005D2117">
        <w:rPr>
          <w:rFonts w:ascii="Book Antiqua" w:hAnsi="Book Antiqua" w:cs="Arial"/>
        </w:rPr>
        <w:t>Th</w:t>
      </w:r>
      <w:r>
        <w:rPr>
          <w:rFonts w:ascii="Book Antiqua" w:hAnsi="Book Antiqua" w:cs="Arial"/>
        </w:rPr>
        <w:t>us</w:t>
      </w:r>
      <w:proofErr w:type="gramEnd"/>
      <w:r w:rsidR="005D2117">
        <w:rPr>
          <w:rFonts w:ascii="Book Antiqua" w:hAnsi="Book Antiqua" w:cs="Arial"/>
        </w:rPr>
        <w:t xml:space="preserve"> the findings of fact made in the earlier part of the determination</w:t>
      </w:r>
      <w:r>
        <w:rPr>
          <w:rFonts w:ascii="Book Antiqua" w:hAnsi="Book Antiqua" w:cs="Arial"/>
        </w:rPr>
        <w:t xml:space="preserve"> were</w:t>
      </w:r>
      <w:r w:rsidR="005D2117">
        <w:rPr>
          <w:rFonts w:ascii="Book Antiqua" w:hAnsi="Book Antiqua" w:cs="Arial"/>
        </w:rPr>
        <w:t xml:space="preserve"> the starting point of the </w:t>
      </w:r>
      <w:r w:rsidR="00421698">
        <w:rPr>
          <w:rFonts w:ascii="Book Antiqua" w:hAnsi="Book Antiqua" w:cs="Arial"/>
        </w:rPr>
        <w:t>Article</w:t>
      </w:r>
      <w:r w:rsidR="005D2117">
        <w:rPr>
          <w:rFonts w:ascii="Book Antiqua" w:hAnsi="Book Antiqua" w:cs="Arial"/>
        </w:rPr>
        <w:t xml:space="preserve"> 8 assessment.</w:t>
      </w:r>
    </w:p>
    <w:p w14:paraId="17804D24" w14:textId="77777777" w:rsidR="005D2117" w:rsidRDefault="000C3AC4" w:rsidP="003042CA">
      <w:pPr>
        <w:spacing w:before="240"/>
        <w:ind w:left="564" w:hanging="564"/>
        <w:jc w:val="both"/>
        <w:rPr>
          <w:rFonts w:ascii="Book Antiqua" w:hAnsi="Book Antiqua" w:cs="Arial"/>
        </w:rPr>
      </w:pPr>
      <w:r>
        <w:rPr>
          <w:rFonts w:ascii="Book Antiqua" w:hAnsi="Book Antiqua" w:cs="Arial"/>
        </w:rPr>
        <w:t>34.</w:t>
      </w:r>
      <w:r>
        <w:rPr>
          <w:rFonts w:ascii="Book Antiqua" w:hAnsi="Book Antiqua" w:cs="Arial"/>
        </w:rPr>
        <w:tab/>
      </w:r>
      <w:r w:rsidR="005D2117">
        <w:rPr>
          <w:rFonts w:ascii="Book Antiqua" w:hAnsi="Book Antiqua" w:cs="Arial"/>
        </w:rPr>
        <w:t xml:space="preserve">Mr </w:t>
      </w:r>
      <w:proofErr w:type="spellStart"/>
      <w:r w:rsidR="005D2117">
        <w:rPr>
          <w:rFonts w:ascii="Book Antiqua" w:hAnsi="Book Antiqua" w:cs="Arial"/>
        </w:rPr>
        <w:t>Mian</w:t>
      </w:r>
      <w:proofErr w:type="spellEnd"/>
      <w:r w:rsidR="005D2117">
        <w:rPr>
          <w:rFonts w:ascii="Book Antiqua" w:hAnsi="Book Antiqua" w:cs="Arial"/>
        </w:rPr>
        <w:t xml:space="preserve"> in his submissions did not make reference to any evidence to support the claim made that the </w:t>
      </w:r>
      <w:r w:rsidR="00421698">
        <w:rPr>
          <w:rFonts w:ascii="Book Antiqua" w:hAnsi="Book Antiqua" w:cs="Arial"/>
        </w:rPr>
        <w:t>Appellant</w:t>
      </w:r>
      <w:r w:rsidR="005D2117">
        <w:rPr>
          <w:rFonts w:ascii="Book Antiqua" w:hAnsi="Book Antiqua" w:cs="Arial"/>
        </w:rPr>
        <w:t xml:space="preserve"> faced very significant obstacles to his reintegration to Pakistan (see Paragraph 276ADE(</w:t>
      </w:r>
      <w:proofErr w:type="gramStart"/>
      <w:r w:rsidR="005D2117">
        <w:rPr>
          <w:rFonts w:ascii="Book Antiqua" w:hAnsi="Book Antiqua" w:cs="Arial"/>
        </w:rPr>
        <w:t>1)vi</w:t>
      </w:r>
      <w:proofErr w:type="gramEnd"/>
      <w:r w:rsidR="005D2117">
        <w:rPr>
          <w:rFonts w:ascii="Book Antiqua" w:hAnsi="Book Antiqua" w:cs="Arial"/>
        </w:rPr>
        <w:t xml:space="preserve">)). On the factual findings made by the FTTJ, the </w:t>
      </w:r>
      <w:r w:rsidR="00421698">
        <w:rPr>
          <w:rFonts w:ascii="Book Antiqua" w:hAnsi="Book Antiqua" w:cs="Arial"/>
        </w:rPr>
        <w:t>Appellant</w:t>
      </w:r>
      <w:r w:rsidR="005D2117">
        <w:rPr>
          <w:rFonts w:ascii="Book Antiqua" w:hAnsi="Book Antiqua" w:cs="Arial"/>
        </w:rPr>
        <w:t xml:space="preserve"> had been resident in the UK since 2011 and the age of 22. The judge found that he retained the language of his country of nationality and was familiar with the customs and social background given the length of his previous residence. The judge found that he had family members there and that was consistent with his interview (see Q10) where he stated he had a mother, two sisters and two brothers remaining. The judge found that he was not at risk from any family members in Pakistan. The judge also found that there were family members in the UK who visited Pakistan regularly. </w:t>
      </w:r>
      <w:proofErr w:type="gramStart"/>
      <w:r w:rsidR="005D2117">
        <w:rPr>
          <w:rFonts w:ascii="Book Antiqua" w:hAnsi="Book Antiqua" w:cs="Arial"/>
        </w:rPr>
        <w:t>Therefore</w:t>
      </w:r>
      <w:proofErr w:type="gramEnd"/>
      <w:r w:rsidR="005D2117">
        <w:rPr>
          <w:rFonts w:ascii="Book Antiqua" w:hAnsi="Book Antiqua" w:cs="Arial"/>
        </w:rPr>
        <w:t xml:space="preserve"> the conclusion reached by the judge at paragraph 86 that there were no very significant obstacles to his reintegration were open to the judge to make.</w:t>
      </w:r>
    </w:p>
    <w:p w14:paraId="301C226A" w14:textId="3DEC7352" w:rsidR="005D2117" w:rsidRDefault="000C3AC4" w:rsidP="003042CA">
      <w:pPr>
        <w:spacing w:before="240"/>
        <w:ind w:left="564" w:hanging="564"/>
        <w:jc w:val="both"/>
        <w:rPr>
          <w:rFonts w:ascii="Book Antiqua" w:hAnsi="Book Antiqua" w:cs="Arial"/>
        </w:rPr>
      </w:pPr>
      <w:r>
        <w:rPr>
          <w:rFonts w:ascii="Book Antiqua" w:hAnsi="Book Antiqua" w:cs="Arial"/>
        </w:rPr>
        <w:t>35.</w:t>
      </w:r>
      <w:r>
        <w:rPr>
          <w:rFonts w:ascii="Book Antiqua" w:hAnsi="Book Antiqua" w:cs="Arial"/>
        </w:rPr>
        <w:tab/>
      </w:r>
      <w:r w:rsidR="005D2117">
        <w:rPr>
          <w:rFonts w:ascii="Book Antiqua" w:hAnsi="Book Antiqua" w:cs="Arial"/>
        </w:rPr>
        <w:t xml:space="preserve">Mr </w:t>
      </w:r>
      <w:proofErr w:type="spellStart"/>
      <w:r w:rsidR="00670DD5">
        <w:rPr>
          <w:rFonts w:ascii="Book Antiqua" w:hAnsi="Book Antiqua" w:cs="Arial"/>
        </w:rPr>
        <w:t>Mian</w:t>
      </w:r>
      <w:proofErr w:type="spellEnd"/>
      <w:r w:rsidR="00670DD5">
        <w:rPr>
          <w:rFonts w:ascii="Book Antiqua" w:hAnsi="Book Antiqua" w:cs="Arial"/>
        </w:rPr>
        <w:t xml:space="preserve"> submitted</w:t>
      </w:r>
      <w:r w:rsidR="005D2117">
        <w:rPr>
          <w:rFonts w:ascii="Book Antiqua" w:hAnsi="Book Antiqua" w:cs="Arial"/>
        </w:rPr>
        <w:t xml:space="preserve"> that the judge failed to consider his relationship with his family relatives and that the judge was wrong to reach the conclusion she did at paragraph 87.  At that paragraph the judge considered the evidence but found that his relationships with his family United Kingdom were no </w:t>
      </w:r>
      <w:proofErr w:type="gramStart"/>
      <w:r w:rsidR="005D2117">
        <w:rPr>
          <w:rFonts w:ascii="Book Antiqua" w:hAnsi="Book Antiqua" w:cs="Arial"/>
        </w:rPr>
        <w:t>more close</w:t>
      </w:r>
      <w:r w:rsidR="003072A5">
        <w:rPr>
          <w:rFonts w:ascii="Book Antiqua" w:hAnsi="Book Antiqua" w:cs="Arial"/>
        </w:rPr>
        <w:t>r</w:t>
      </w:r>
      <w:proofErr w:type="gramEnd"/>
      <w:r w:rsidR="003072A5">
        <w:rPr>
          <w:rFonts w:ascii="Book Antiqua" w:hAnsi="Book Antiqua" w:cs="Arial"/>
        </w:rPr>
        <w:t xml:space="preserve"> than</w:t>
      </w:r>
      <w:r w:rsidR="005D2117">
        <w:rPr>
          <w:rFonts w:ascii="Book Antiqua" w:hAnsi="Book Antiqua" w:cs="Arial"/>
        </w:rPr>
        <w:t xml:space="preserve"> the normal bonds of such relationships. She further found that in an</w:t>
      </w:r>
      <w:r>
        <w:rPr>
          <w:rFonts w:ascii="Book Antiqua" w:hAnsi="Book Antiqua" w:cs="Arial"/>
        </w:rPr>
        <w:t>y event, his family members had</w:t>
      </w:r>
      <w:r w:rsidR="005D2117">
        <w:rPr>
          <w:rFonts w:ascii="Book Antiqua" w:hAnsi="Book Antiqua" w:cs="Arial"/>
        </w:rPr>
        <w:t xml:space="preserve"> the right to travel to Pakistan and return to the UK and so could maintain their </w:t>
      </w:r>
      <w:r w:rsidR="005D2117">
        <w:rPr>
          <w:rFonts w:ascii="Book Antiqua" w:hAnsi="Book Antiqua" w:cs="Arial"/>
        </w:rPr>
        <w:lastRenderedPageBreak/>
        <w:t>relationships with him through normal family visits. The judge referred to his brother’s evidence that he returned to Pakistan every 12 to 18 months.</w:t>
      </w:r>
    </w:p>
    <w:p w14:paraId="42610929" w14:textId="77777777" w:rsidR="005D2117" w:rsidRDefault="000C3AC4" w:rsidP="003042CA">
      <w:pPr>
        <w:spacing w:before="240"/>
        <w:ind w:left="564" w:hanging="564"/>
        <w:jc w:val="both"/>
        <w:rPr>
          <w:rFonts w:ascii="Book Antiqua" w:hAnsi="Book Antiqua" w:cs="Arial"/>
        </w:rPr>
      </w:pPr>
      <w:r>
        <w:rPr>
          <w:rFonts w:ascii="Book Antiqua" w:hAnsi="Book Antiqua" w:cs="Arial"/>
        </w:rPr>
        <w:t>36.</w:t>
      </w:r>
      <w:r>
        <w:rPr>
          <w:rFonts w:ascii="Book Antiqua" w:hAnsi="Book Antiqua" w:cs="Arial"/>
        </w:rPr>
        <w:tab/>
      </w:r>
      <w:r w:rsidR="005D2117">
        <w:rPr>
          <w:rFonts w:ascii="Book Antiqua" w:hAnsi="Book Antiqua" w:cs="Arial"/>
        </w:rPr>
        <w:t xml:space="preserve">By way of reply, Ms Ahmed submitted that the findings of fact were open to the judge to make. She provided </w:t>
      </w:r>
      <w:r>
        <w:rPr>
          <w:rFonts w:ascii="Book Antiqua" w:hAnsi="Book Antiqua" w:cs="Arial"/>
        </w:rPr>
        <w:t xml:space="preserve">general </w:t>
      </w:r>
      <w:r w:rsidR="005D2117">
        <w:rPr>
          <w:rFonts w:ascii="Book Antiqua" w:hAnsi="Book Antiqua" w:cs="Arial"/>
        </w:rPr>
        <w:t>case</w:t>
      </w:r>
      <w:r w:rsidR="00977754">
        <w:rPr>
          <w:rFonts w:ascii="Book Antiqua" w:hAnsi="Book Antiqua" w:cs="Arial"/>
        </w:rPr>
        <w:t xml:space="preserve"> </w:t>
      </w:r>
      <w:r w:rsidR="005D2117">
        <w:rPr>
          <w:rFonts w:ascii="Book Antiqua" w:hAnsi="Book Antiqua" w:cs="Arial"/>
        </w:rPr>
        <w:t xml:space="preserve">law which related to the establishment of family life between adults (see </w:t>
      </w:r>
      <w:r w:rsidR="005D2117" w:rsidRPr="00977754">
        <w:rPr>
          <w:rFonts w:ascii="Book Antiqua" w:hAnsi="Book Antiqua" w:cs="Arial"/>
          <w:u w:val="single"/>
        </w:rPr>
        <w:t>ECO</w:t>
      </w:r>
      <w:r w:rsidR="00977754" w:rsidRPr="00977754">
        <w:rPr>
          <w:rFonts w:ascii="Book Antiqua" w:hAnsi="Book Antiqua" w:cs="Arial"/>
          <w:u w:val="single"/>
        </w:rPr>
        <w:t xml:space="preserve"> </w:t>
      </w:r>
      <w:r w:rsidR="005D2117" w:rsidRPr="00977754">
        <w:rPr>
          <w:rFonts w:ascii="Book Antiqua" w:hAnsi="Book Antiqua" w:cs="Arial"/>
          <w:u w:val="single"/>
        </w:rPr>
        <w:t xml:space="preserve">v </w:t>
      </w:r>
      <w:proofErr w:type="spellStart"/>
      <w:r w:rsidR="005D2117" w:rsidRPr="00977754">
        <w:rPr>
          <w:rFonts w:ascii="Book Antiqua" w:hAnsi="Book Antiqua" w:cs="Arial"/>
          <w:u w:val="single"/>
        </w:rPr>
        <w:t>Kopoi</w:t>
      </w:r>
      <w:proofErr w:type="spellEnd"/>
      <w:r w:rsidR="005D2117">
        <w:rPr>
          <w:rFonts w:ascii="Book Antiqua" w:hAnsi="Book Antiqua" w:cs="Arial"/>
        </w:rPr>
        <w:t xml:space="preserve"> [2017] EWCA civ 1511. </w:t>
      </w:r>
    </w:p>
    <w:p w14:paraId="1FA93CC4" w14:textId="50A58B57" w:rsidR="00421698" w:rsidRDefault="000C3AC4" w:rsidP="00421698">
      <w:pPr>
        <w:spacing w:before="240"/>
        <w:ind w:left="564" w:hanging="564"/>
        <w:jc w:val="both"/>
        <w:rPr>
          <w:rFonts w:ascii="Book Antiqua" w:hAnsi="Book Antiqua" w:cs="Arial"/>
        </w:rPr>
      </w:pPr>
      <w:r>
        <w:rPr>
          <w:rFonts w:ascii="Book Antiqua" w:hAnsi="Book Antiqua" w:cs="Arial"/>
        </w:rPr>
        <w:t>37.</w:t>
      </w:r>
      <w:r>
        <w:rPr>
          <w:rFonts w:ascii="Book Antiqua" w:hAnsi="Book Antiqua" w:cs="Arial"/>
        </w:rPr>
        <w:tab/>
      </w:r>
      <w:r w:rsidR="005D2117">
        <w:rPr>
          <w:rFonts w:ascii="Book Antiqua" w:hAnsi="Book Antiqua" w:cs="Arial"/>
        </w:rPr>
        <w:t xml:space="preserve">As the case law set out, there is no presumption that a person has a family life even with members of their immediate family and that family life is not established between an adult child and his siblings (as in this case) unless something more exists </w:t>
      </w:r>
      <w:r w:rsidR="0047257A">
        <w:rPr>
          <w:rFonts w:ascii="Book Antiqua" w:hAnsi="Book Antiqua" w:cs="Arial"/>
        </w:rPr>
        <w:t xml:space="preserve">than </w:t>
      </w:r>
      <w:r w:rsidR="005D2117">
        <w:rPr>
          <w:rFonts w:ascii="Book Antiqua" w:hAnsi="Book Antiqua" w:cs="Arial"/>
        </w:rPr>
        <w:t xml:space="preserve">the normal emotional ties such as dependency (see decision in </w:t>
      </w:r>
      <w:proofErr w:type="spellStart"/>
      <w:r w:rsidR="005D2117" w:rsidRPr="00977754">
        <w:rPr>
          <w:rFonts w:ascii="Book Antiqua" w:hAnsi="Book Antiqua" w:cs="Arial"/>
          <w:u w:val="single"/>
        </w:rPr>
        <w:t>Kopoi</w:t>
      </w:r>
      <w:proofErr w:type="spellEnd"/>
      <w:r w:rsidR="005D2117" w:rsidRPr="00977754">
        <w:rPr>
          <w:rFonts w:ascii="Book Antiqua" w:hAnsi="Book Antiqua" w:cs="Arial"/>
          <w:u w:val="single"/>
        </w:rPr>
        <w:t xml:space="preserve"> </w:t>
      </w:r>
      <w:r w:rsidR="005D2117">
        <w:rPr>
          <w:rFonts w:ascii="Book Antiqua" w:hAnsi="Book Antiqua" w:cs="Arial"/>
        </w:rPr>
        <w:t xml:space="preserve">which refers to the earlier decision of </w:t>
      </w:r>
      <w:proofErr w:type="spellStart"/>
      <w:r w:rsidR="005D2117" w:rsidRPr="00977754">
        <w:rPr>
          <w:rFonts w:ascii="Book Antiqua" w:hAnsi="Book Antiqua" w:cs="Arial"/>
          <w:u w:val="single"/>
        </w:rPr>
        <w:t>Kugathas</w:t>
      </w:r>
      <w:proofErr w:type="spellEnd"/>
      <w:r w:rsidR="005D2117" w:rsidRPr="00977754">
        <w:rPr>
          <w:rFonts w:ascii="Book Antiqua" w:hAnsi="Book Antiqua" w:cs="Arial"/>
          <w:u w:val="single"/>
        </w:rPr>
        <w:t xml:space="preserve"> </w:t>
      </w:r>
      <w:r w:rsidR="005D2117">
        <w:rPr>
          <w:rFonts w:ascii="Book Antiqua" w:hAnsi="Book Antiqua" w:cs="Arial"/>
        </w:rPr>
        <w:t>at paragraphs</w:t>
      </w:r>
      <w:r>
        <w:rPr>
          <w:rFonts w:ascii="Book Antiqua" w:hAnsi="Book Antiqua" w:cs="Arial"/>
        </w:rPr>
        <w:t xml:space="preserve"> [17]</w:t>
      </w:r>
      <w:proofErr w:type="gramStart"/>
      <w:r>
        <w:rPr>
          <w:rFonts w:ascii="Book Antiqua" w:hAnsi="Book Antiqua" w:cs="Arial"/>
        </w:rPr>
        <w:t>-[</w:t>
      </w:r>
      <w:proofErr w:type="gramEnd"/>
      <w:r>
        <w:rPr>
          <w:rFonts w:ascii="Book Antiqua" w:hAnsi="Book Antiqua" w:cs="Arial"/>
        </w:rPr>
        <w:t>19]).</w:t>
      </w:r>
      <w:r w:rsidR="005D2117">
        <w:rPr>
          <w:rFonts w:ascii="Book Antiqua" w:hAnsi="Book Antiqua" w:cs="Arial"/>
        </w:rPr>
        <w:t xml:space="preserve"> The </w:t>
      </w:r>
      <w:r w:rsidR="00421698">
        <w:rPr>
          <w:rFonts w:ascii="Book Antiqua" w:hAnsi="Book Antiqua" w:cs="Arial"/>
        </w:rPr>
        <w:t>Appellant</w:t>
      </w:r>
      <w:r w:rsidR="005D2117">
        <w:rPr>
          <w:rFonts w:ascii="Book Antiqua" w:hAnsi="Book Antiqua" w:cs="Arial"/>
        </w:rPr>
        <w:t xml:space="preserve"> himself did not refer to any dependency upon his family relatives in his interview. At question 84 he was asked if his relatives were dependent upon him in any way. He replied “no they are not reliant on me for money. </w:t>
      </w:r>
      <w:proofErr w:type="gramStart"/>
      <w:r w:rsidR="005D2117">
        <w:rPr>
          <w:rFonts w:ascii="Book Antiqua" w:hAnsi="Book Antiqua" w:cs="Arial"/>
        </w:rPr>
        <w:t>Obviously</w:t>
      </w:r>
      <w:proofErr w:type="gramEnd"/>
      <w:r w:rsidR="005D2117">
        <w:rPr>
          <w:rFonts w:ascii="Book Antiqua" w:hAnsi="Book Antiqua" w:cs="Arial"/>
        </w:rPr>
        <w:t xml:space="preserve"> they want me to stay in the country</w:t>
      </w:r>
      <w:r>
        <w:rPr>
          <w:rFonts w:ascii="Book Antiqua" w:hAnsi="Book Antiqua" w:cs="Arial"/>
        </w:rPr>
        <w:t xml:space="preserve"> none</w:t>
      </w:r>
      <w:r w:rsidR="005D2117">
        <w:rPr>
          <w:rFonts w:ascii="Book Antiqua" w:hAnsi="Book Antiqua" w:cs="Arial"/>
        </w:rPr>
        <w:t xml:space="preserve"> of them are reliant on me.” He made reference to having had a girlfriend but that the relationship broken up. In his witness statement he made reference having two sisters in the UK who we saw regularly and had spent time with them</w:t>
      </w:r>
      <w:r>
        <w:rPr>
          <w:rFonts w:ascii="Book Antiqua" w:hAnsi="Book Antiqua" w:cs="Arial"/>
        </w:rPr>
        <w:t>. H</w:t>
      </w:r>
      <w:r w:rsidR="005D2117">
        <w:rPr>
          <w:rFonts w:ascii="Book Antiqua" w:hAnsi="Book Antiqua" w:cs="Arial"/>
        </w:rPr>
        <w:t xml:space="preserve">e made reference </w:t>
      </w:r>
      <w:r>
        <w:rPr>
          <w:rFonts w:ascii="Book Antiqua" w:hAnsi="Book Antiqua" w:cs="Arial"/>
        </w:rPr>
        <w:t xml:space="preserve">to </w:t>
      </w:r>
      <w:r w:rsidR="005D2117">
        <w:rPr>
          <w:rFonts w:ascii="Book Antiqua" w:hAnsi="Book Antiqua" w:cs="Arial"/>
        </w:rPr>
        <w:t>having looked after his niece upon arrival</w:t>
      </w:r>
      <w:r>
        <w:rPr>
          <w:rFonts w:ascii="Book Antiqua" w:hAnsi="Book Antiqua" w:cs="Arial"/>
        </w:rPr>
        <w:t xml:space="preserve"> (although that had to be read in the light of the finding of fact that he entered in 2011)</w:t>
      </w:r>
      <w:r w:rsidR="005D2117">
        <w:rPr>
          <w:rFonts w:ascii="Book Antiqua" w:hAnsi="Book Antiqua" w:cs="Arial"/>
        </w:rPr>
        <w:t xml:space="preserve"> and that his siblings in the UK had given him support and that he had attended family events (see paragraph 21). His brother provided a witness statement that said that the </w:t>
      </w:r>
      <w:r w:rsidR="00421698">
        <w:rPr>
          <w:rFonts w:ascii="Book Antiqua" w:hAnsi="Book Antiqua" w:cs="Arial"/>
        </w:rPr>
        <w:t>Appellant</w:t>
      </w:r>
      <w:r w:rsidR="005D2117">
        <w:rPr>
          <w:rFonts w:ascii="Book Antiqua" w:hAnsi="Book Antiqua" w:cs="Arial"/>
        </w:rPr>
        <w:t xml:space="preserve"> had lived with him since his arrival in the UK as a minor and that he had supported him financially. There was reference to him as having been a father figure to him. </w:t>
      </w:r>
      <w:proofErr w:type="gramStart"/>
      <w:r w:rsidR="005D2117">
        <w:rPr>
          <w:rFonts w:ascii="Book Antiqua" w:hAnsi="Book Antiqua" w:cs="Arial"/>
        </w:rPr>
        <w:t>However</w:t>
      </w:r>
      <w:proofErr w:type="gramEnd"/>
      <w:r w:rsidR="005D2117">
        <w:rPr>
          <w:rFonts w:ascii="Book Antiqua" w:hAnsi="Book Antiqua" w:cs="Arial"/>
        </w:rPr>
        <w:t xml:space="preserve"> that evidence has to be seen in the light of the findings of fact made by the judge that he had not entered the United Kingdom as a minor as asserted but had entered as a man aged 22 in the year 2011.</w:t>
      </w:r>
    </w:p>
    <w:p w14:paraId="3A8D00FF" w14:textId="77777777" w:rsidR="00421698" w:rsidRDefault="000C3AC4" w:rsidP="00421698">
      <w:pPr>
        <w:spacing w:before="240"/>
        <w:ind w:left="564" w:hanging="564"/>
        <w:jc w:val="both"/>
        <w:rPr>
          <w:rFonts w:ascii="Book Antiqua" w:hAnsi="Book Antiqua" w:cs="Arial"/>
        </w:rPr>
      </w:pPr>
      <w:r>
        <w:rPr>
          <w:rFonts w:ascii="Book Antiqua" w:hAnsi="Book Antiqua" w:cs="Arial"/>
        </w:rPr>
        <w:t>38.</w:t>
      </w:r>
      <w:r>
        <w:rPr>
          <w:rFonts w:ascii="Book Antiqua" w:hAnsi="Book Antiqua" w:cs="Arial"/>
        </w:rPr>
        <w:tab/>
      </w:r>
      <w:r w:rsidR="003327C3" w:rsidRPr="003327C3">
        <w:rPr>
          <w:rFonts w:ascii="Book Antiqua" w:hAnsi="Book Antiqua" w:cs="Arial"/>
        </w:rPr>
        <w:t xml:space="preserve">The only ground upon which the appeal could be brought to the First-tier </w:t>
      </w:r>
      <w:r w:rsidR="00421698">
        <w:rPr>
          <w:rFonts w:ascii="Book Antiqua" w:hAnsi="Book Antiqua" w:cs="Arial"/>
        </w:rPr>
        <w:t>Tribunal</w:t>
      </w:r>
      <w:r w:rsidR="003327C3" w:rsidRPr="003327C3">
        <w:rPr>
          <w:rFonts w:ascii="Book Antiqua" w:hAnsi="Book Antiqua" w:cs="Arial"/>
        </w:rPr>
        <w:t xml:space="preserve"> (oth</w:t>
      </w:r>
      <w:r>
        <w:rPr>
          <w:rFonts w:ascii="Book Antiqua" w:hAnsi="Book Antiqua" w:cs="Arial"/>
        </w:rPr>
        <w:t xml:space="preserve">er than on protection grounds) </w:t>
      </w:r>
      <w:r w:rsidR="003327C3" w:rsidRPr="003327C3">
        <w:rPr>
          <w:rFonts w:ascii="Book Antiqua" w:hAnsi="Book Antiqua" w:cs="Arial"/>
        </w:rPr>
        <w:t xml:space="preserve">was that the decision to remove the </w:t>
      </w:r>
      <w:r w:rsidR="00421698">
        <w:rPr>
          <w:rFonts w:ascii="Book Antiqua" w:hAnsi="Book Antiqua" w:cs="Arial"/>
        </w:rPr>
        <w:t>Appellant</w:t>
      </w:r>
      <w:r w:rsidR="003327C3" w:rsidRPr="003327C3">
        <w:rPr>
          <w:rFonts w:ascii="Book Antiqua" w:hAnsi="Book Antiqua" w:cs="Arial"/>
        </w:rPr>
        <w:t xml:space="preserve"> was unlawful under Section 6 of the Human Rights Act 1998 that is, it was contrary to </w:t>
      </w:r>
      <w:r w:rsidR="00421698">
        <w:rPr>
          <w:rFonts w:ascii="Book Antiqua" w:hAnsi="Book Antiqua" w:cs="Arial"/>
        </w:rPr>
        <w:t>Article</w:t>
      </w:r>
      <w:r w:rsidR="003327C3" w:rsidRPr="003327C3">
        <w:rPr>
          <w:rFonts w:ascii="Book Antiqua" w:hAnsi="Book Antiqua" w:cs="Arial"/>
        </w:rPr>
        <w:t xml:space="preserve"> 8 of the ECHR. The judge determined that he could not meet the Immigration Rules (relevant to under </w:t>
      </w:r>
      <w:r w:rsidR="00421698">
        <w:rPr>
          <w:rFonts w:ascii="Book Antiqua" w:hAnsi="Book Antiqua" w:cs="Arial"/>
        </w:rPr>
        <w:t>Article</w:t>
      </w:r>
      <w:r w:rsidR="003327C3" w:rsidRPr="003327C3">
        <w:rPr>
          <w:rFonts w:ascii="Book Antiqua" w:hAnsi="Book Antiqua" w:cs="Arial"/>
        </w:rPr>
        <w:t xml:space="preserve"> 8) and this was a matter of weight in determining the proportionality of removal.  The Immigration Rules reflect the Secretary of State’s view as to where the public interest lies in the proportionality assessment under </w:t>
      </w:r>
      <w:r w:rsidR="00421698">
        <w:rPr>
          <w:rFonts w:ascii="Book Antiqua" w:hAnsi="Book Antiqua" w:cs="Arial"/>
        </w:rPr>
        <w:t>Article</w:t>
      </w:r>
      <w:r w:rsidR="003327C3" w:rsidRPr="003327C3">
        <w:rPr>
          <w:rFonts w:ascii="Book Antiqua" w:hAnsi="Book Antiqua" w:cs="Arial"/>
        </w:rPr>
        <w:t xml:space="preserve"> 8</w:t>
      </w:r>
      <w:r w:rsidR="003327C3">
        <w:rPr>
          <w:rFonts w:ascii="Book Antiqua" w:hAnsi="Book Antiqua" w:cs="Arial"/>
        </w:rPr>
        <w:t xml:space="preserve">. </w:t>
      </w:r>
      <w:r w:rsidR="005D2117" w:rsidRPr="003327C3">
        <w:rPr>
          <w:rFonts w:ascii="Book Antiqua" w:hAnsi="Book Antiqua" w:cs="Arial"/>
        </w:rPr>
        <w:t xml:space="preserve">Looking at the evidence as a whole, it was open to the judge to reach the conclusion that his relationships with family members were no </w:t>
      </w:r>
      <w:proofErr w:type="gramStart"/>
      <w:r w:rsidR="005D2117" w:rsidRPr="003327C3">
        <w:rPr>
          <w:rFonts w:ascii="Book Antiqua" w:hAnsi="Book Antiqua" w:cs="Arial"/>
        </w:rPr>
        <w:t>more close</w:t>
      </w:r>
      <w:proofErr w:type="gramEnd"/>
      <w:r w:rsidR="005D2117" w:rsidRPr="003327C3">
        <w:rPr>
          <w:rFonts w:ascii="Book Antiqua" w:hAnsi="Book Antiqua" w:cs="Arial"/>
        </w:rPr>
        <w:t xml:space="preserve"> than the normal bonds of such relationships between siblings and that no real issues of dependency had been established beyond financial dependency.</w:t>
      </w:r>
      <w:r w:rsidR="003327C3" w:rsidRPr="003327C3">
        <w:rPr>
          <w:rFonts w:ascii="Book Antiqua" w:hAnsi="Book Antiqua" w:cs="Arial"/>
        </w:rPr>
        <w:t xml:space="preserve"> </w:t>
      </w:r>
      <w:r w:rsidR="003327C3">
        <w:rPr>
          <w:rFonts w:ascii="Book Antiqua" w:hAnsi="Book Antiqua" w:cs="Arial"/>
        </w:rPr>
        <w:t xml:space="preserve">Even if the judge had found that family life was established, the judge reached the conclusion that any such relationships could be maintained from Pakistan given that the evidence before the judge was that his brother returned there every 12 to 18 months. The judge had found that they were no very significant obstacles to his reintegration taking into account as length of residence since 2011 and that he retained language, cultural and family ties to Pakistan. He had entered the United Kingdom unlawfully and had established his private life and family life at the time when he had no lawful presence.  </w:t>
      </w:r>
      <w:proofErr w:type="gramStart"/>
      <w:r w:rsidR="003327C3">
        <w:rPr>
          <w:rFonts w:ascii="Book Antiqua" w:hAnsi="Book Antiqua" w:cs="Arial"/>
        </w:rPr>
        <w:t>Consequently</w:t>
      </w:r>
      <w:proofErr w:type="gramEnd"/>
      <w:r w:rsidR="003327C3">
        <w:rPr>
          <w:rFonts w:ascii="Book Antiqua" w:hAnsi="Book Antiqua" w:cs="Arial"/>
        </w:rPr>
        <w:t xml:space="preserve"> the decision she reached that the decision was proportionate in maintaining immigration control and </w:t>
      </w:r>
      <w:r w:rsidR="003327C3">
        <w:rPr>
          <w:rFonts w:ascii="Book Antiqua" w:hAnsi="Book Antiqua" w:cs="Arial"/>
        </w:rPr>
        <w:lastRenderedPageBreak/>
        <w:t>not in breach of Section 6 of the Human Rights Act 1998 was a conclusion that was open to her on the evidence.</w:t>
      </w:r>
    </w:p>
    <w:p w14:paraId="4E6C0FA7" w14:textId="77777777" w:rsidR="00195F50" w:rsidRPr="003327C3" w:rsidRDefault="000C3AC4" w:rsidP="00421698">
      <w:pPr>
        <w:spacing w:before="240"/>
        <w:ind w:left="564" w:hanging="564"/>
        <w:jc w:val="both"/>
        <w:rPr>
          <w:rFonts w:ascii="Book Antiqua" w:hAnsi="Book Antiqua" w:cs="Arial"/>
        </w:rPr>
      </w:pPr>
      <w:r>
        <w:rPr>
          <w:rFonts w:ascii="Book Antiqua" w:hAnsi="Book Antiqua" w:cs="Arial"/>
        </w:rPr>
        <w:t>39.</w:t>
      </w:r>
      <w:r>
        <w:rPr>
          <w:rFonts w:ascii="Book Antiqua" w:hAnsi="Book Antiqua" w:cs="Arial"/>
        </w:rPr>
        <w:tab/>
      </w:r>
      <w:r w:rsidR="00195F50" w:rsidRPr="003327C3">
        <w:rPr>
          <w:rFonts w:ascii="Book Antiqua" w:hAnsi="Book Antiqua" w:cs="Arial"/>
        </w:rPr>
        <w:t xml:space="preserve">Accordingly, I am not satisfied that it has been demonstrated that the decision of the First-tier </w:t>
      </w:r>
      <w:r w:rsidR="00421698">
        <w:rPr>
          <w:rFonts w:ascii="Book Antiqua" w:hAnsi="Book Antiqua" w:cs="Arial"/>
        </w:rPr>
        <w:t>Tribunal</w:t>
      </w:r>
      <w:r w:rsidR="00195F50" w:rsidRPr="003327C3">
        <w:rPr>
          <w:rFonts w:ascii="Book Antiqua" w:hAnsi="Book Antiqua" w:cs="Arial"/>
        </w:rPr>
        <w:t xml:space="preserve"> judge involve</w:t>
      </w:r>
      <w:r w:rsidR="00097F75" w:rsidRPr="003327C3">
        <w:rPr>
          <w:rFonts w:ascii="Book Antiqua" w:hAnsi="Book Antiqua" w:cs="Arial"/>
        </w:rPr>
        <w:t>d</w:t>
      </w:r>
      <w:r w:rsidR="00195F50" w:rsidRPr="003327C3">
        <w:rPr>
          <w:rFonts w:ascii="Book Antiqua" w:hAnsi="Book Antiqua" w:cs="Arial"/>
        </w:rPr>
        <w:t xml:space="preserve"> the making of an error on a point of law.</w:t>
      </w:r>
    </w:p>
    <w:p w14:paraId="22A14B6B" w14:textId="77777777" w:rsidR="00421698" w:rsidRDefault="00C33667" w:rsidP="00421698">
      <w:pPr>
        <w:spacing w:before="240"/>
        <w:jc w:val="both"/>
        <w:rPr>
          <w:rFonts w:ascii="Book Antiqua" w:hAnsi="Book Antiqua" w:cs="Arial"/>
        </w:rPr>
      </w:pPr>
      <w:r w:rsidRPr="00FC20F4">
        <w:rPr>
          <w:rFonts w:ascii="Book Antiqua" w:hAnsi="Book Antiqua" w:cs="Arial"/>
          <w:b/>
          <w:u w:val="single"/>
        </w:rPr>
        <w:t>Decision:</w:t>
      </w:r>
    </w:p>
    <w:p w14:paraId="20D701DE" w14:textId="77777777" w:rsidR="00C33667" w:rsidRPr="00421698" w:rsidRDefault="00C33667" w:rsidP="00421698">
      <w:pPr>
        <w:spacing w:before="240"/>
        <w:jc w:val="both"/>
        <w:rPr>
          <w:rFonts w:ascii="Book Antiqua" w:hAnsi="Book Antiqua" w:cs="Arial"/>
        </w:rPr>
      </w:pPr>
      <w:r w:rsidRPr="00832D6E">
        <w:rPr>
          <w:rFonts w:ascii="Book Antiqua" w:hAnsi="Book Antiqua" w:cs="Arial"/>
        </w:rPr>
        <w:t xml:space="preserve">The decision of the First-tier </w:t>
      </w:r>
      <w:r w:rsidR="00421698">
        <w:rPr>
          <w:rFonts w:ascii="Book Antiqua" w:hAnsi="Book Antiqua" w:cs="Arial"/>
        </w:rPr>
        <w:t>Tribunal</w:t>
      </w:r>
      <w:r w:rsidRPr="00832D6E">
        <w:rPr>
          <w:rFonts w:ascii="Book Antiqua" w:hAnsi="Book Antiqua" w:cs="Arial"/>
        </w:rPr>
        <w:t xml:space="preserve"> did </w:t>
      </w:r>
      <w:r w:rsidR="00832D6E" w:rsidRPr="00832D6E">
        <w:rPr>
          <w:rFonts w:ascii="Book Antiqua" w:hAnsi="Book Antiqua" w:cs="Arial"/>
        </w:rPr>
        <w:t xml:space="preserve">not </w:t>
      </w:r>
      <w:r w:rsidRPr="00832D6E">
        <w:rPr>
          <w:rFonts w:ascii="Book Antiqua" w:hAnsi="Book Antiqua" w:cs="Arial"/>
        </w:rPr>
        <w:t>involve the making of an error on a point of law</w:t>
      </w:r>
      <w:r w:rsidR="00156178" w:rsidRPr="00832D6E">
        <w:rPr>
          <w:rFonts w:ascii="Book Antiqua" w:hAnsi="Book Antiqua" w:cs="Arial"/>
        </w:rPr>
        <w:t xml:space="preserve"> and </w:t>
      </w:r>
      <w:r w:rsidR="00832D6E">
        <w:rPr>
          <w:rFonts w:ascii="Book Antiqua" w:hAnsi="Book Antiqua" w:cs="Arial"/>
        </w:rPr>
        <w:t>the appeal is dismissed. The decision of the FTTJ stands.</w:t>
      </w:r>
    </w:p>
    <w:p w14:paraId="736F6BC0" w14:textId="77777777" w:rsidR="00832D6E" w:rsidRPr="00832D6E" w:rsidRDefault="00FC20F4" w:rsidP="00832D6E">
      <w:pPr>
        <w:spacing w:before="240"/>
        <w:ind w:left="567"/>
        <w:jc w:val="both"/>
        <w:rPr>
          <w:rFonts w:ascii="Book Antiqua" w:hAnsi="Book Antiqua" w:cs="Arial"/>
          <w:b/>
        </w:rPr>
      </w:pPr>
      <w:r>
        <w:rPr>
          <w:rFonts w:ascii="Book Antiqua" w:hAnsi="Book Antiqua" w:cs="Arial"/>
          <w:b/>
        </w:rPr>
        <w:t xml:space="preserve"> </w:t>
      </w:r>
    </w:p>
    <w:p w14:paraId="1485973E" w14:textId="77777777" w:rsidR="00C33667" w:rsidRPr="00C77259" w:rsidRDefault="00C33667" w:rsidP="00C33667">
      <w:pPr>
        <w:jc w:val="both"/>
        <w:rPr>
          <w:rFonts w:ascii="Book Antiqua" w:hAnsi="Book Antiqua" w:cs="Arial"/>
        </w:rPr>
      </w:pPr>
      <w:r w:rsidRPr="00C77259">
        <w:rPr>
          <w:rFonts w:ascii="Book Antiqua" w:hAnsi="Book Antiqua" w:cs="Arial"/>
          <w:b/>
        </w:rPr>
        <w:t xml:space="preserve">Direction Regarding Anonymity – Rule 14 of the </w:t>
      </w:r>
      <w:r w:rsidR="00421698">
        <w:rPr>
          <w:rFonts w:ascii="Book Antiqua" w:hAnsi="Book Antiqua" w:cs="Arial"/>
          <w:b/>
        </w:rPr>
        <w:t>Tribunal</w:t>
      </w:r>
      <w:r w:rsidRPr="00C77259">
        <w:rPr>
          <w:rFonts w:ascii="Book Antiqua" w:hAnsi="Book Antiqua" w:cs="Arial"/>
          <w:b/>
        </w:rPr>
        <w:t xml:space="preserve"> Procedure (Upper </w:t>
      </w:r>
      <w:r w:rsidR="00421698">
        <w:rPr>
          <w:rFonts w:ascii="Book Antiqua" w:hAnsi="Book Antiqua" w:cs="Arial"/>
          <w:b/>
        </w:rPr>
        <w:t>Tribunal</w:t>
      </w:r>
      <w:r w:rsidRPr="00C77259">
        <w:rPr>
          <w:rFonts w:ascii="Book Antiqua" w:hAnsi="Book Antiqua" w:cs="Arial"/>
          <w:b/>
        </w:rPr>
        <w:t>) Rules 2008</w:t>
      </w:r>
    </w:p>
    <w:p w14:paraId="6407EDFA" w14:textId="77777777" w:rsidR="00C33667" w:rsidRPr="00C77259" w:rsidRDefault="00C33667" w:rsidP="00C33667">
      <w:pPr>
        <w:jc w:val="both"/>
        <w:rPr>
          <w:rFonts w:ascii="Book Antiqua" w:hAnsi="Book Antiqua" w:cs="Arial"/>
        </w:rPr>
      </w:pPr>
    </w:p>
    <w:p w14:paraId="1F418277" w14:textId="77777777" w:rsidR="00847259" w:rsidRDefault="00C33667" w:rsidP="00847259">
      <w:pPr>
        <w:jc w:val="both"/>
        <w:rPr>
          <w:rFonts w:ascii="Book Antiqua" w:hAnsi="Book Antiqua" w:cs="Arial"/>
        </w:rPr>
      </w:pPr>
      <w:r w:rsidRPr="00C77259">
        <w:rPr>
          <w:rFonts w:ascii="Book Antiqua" w:hAnsi="Book Antiqua" w:cs="Arial"/>
        </w:rPr>
        <w:t xml:space="preserve">Unless and </w:t>
      </w:r>
      <w:r w:rsidRPr="00C77259">
        <w:rPr>
          <w:rFonts w:ascii="Book Antiqua" w:hAnsi="Book Antiqua"/>
        </w:rPr>
        <w:t xml:space="preserve">until a </w:t>
      </w:r>
      <w:r w:rsidR="00421698">
        <w:rPr>
          <w:rFonts w:ascii="Book Antiqua" w:hAnsi="Book Antiqua"/>
        </w:rPr>
        <w:t>Tribunal</w:t>
      </w:r>
      <w:r w:rsidRPr="00C77259">
        <w:rPr>
          <w:rFonts w:ascii="Book Antiqua" w:hAnsi="Book Antiqua"/>
        </w:rPr>
        <w:t xml:space="preserve"> or court directs otherwise, the </w:t>
      </w:r>
      <w:r w:rsidR="00421698">
        <w:rPr>
          <w:rFonts w:ascii="Book Antiqua" w:hAnsi="Book Antiqua"/>
        </w:rPr>
        <w:t>Appellant</w:t>
      </w:r>
      <w:r w:rsidRPr="00C77259">
        <w:rPr>
          <w:rFonts w:ascii="Book Antiqua" w:hAnsi="Book Antiqua"/>
        </w:rPr>
        <w:t xml:space="preserve"> is granted anonymity.  No report of these proceedings shall directly or indire</w:t>
      </w:r>
      <w:r>
        <w:rPr>
          <w:rFonts w:ascii="Book Antiqua" w:hAnsi="Book Antiqua"/>
        </w:rPr>
        <w:t>ctly identify him.</w:t>
      </w:r>
      <w:r w:rsidRPr="00C77259">
        <w:rPr>
          <w:rFonts w:ascii="Book Antiqua" w:hAnsi="Book Antiqua"/>
        </w:rPr>
        <w:t xml:space="preserve">  This direction applies both to the </w:t>
      </w:r>
      <w:r w:rsidR="00421698">
        <w:rPr>
          <w:rFonts w:ascii="Book Antiqua" w:hAnsi="Book Antiqua"/>
        </w:rPr>
        <w:t>Appellant</w:t>
      </w:r>
      <w:r w:rsidRPr="00C77259">
        <w:rPr>
          <w:rFonts w:ascii="Book Antiqua" w:hAnsi="Book Antiqua"/>
        </w:rPr>
        <w:t xml:space="preserve"> and to the </w:t>
      </w:r>
      <w:r w:rsidR="00421698">
        <w:rPr>
          <w:rFonts w:ascii="Book Antiqua" w:hAnsi="Book Antiqua"/>
        </w:rPr>
        <w:t>Respondent</w:t>
      </w:r>
      <w:r w:rsidRPr="00C77259">
        <w:rPr>
          <w:rFonts w:ascii="Book Antiqua" w:hAnsi="Book Antiqua"/>
        </w:rPr>
        <w:t>.  Failure to comply with this direction could lead to contempt of court proceedings.</w:t>
      </w:r>
    </w:p>
    <w:p w14:paraId="2F36BF43" w14:textId="77777777" w:rsidR="00847259" w:rsidRDefault="00847259" w:rsidP="00847259">
      <w:pPr>
        <w:jc w:val="both"/>
        <w:rPr>
          <w:rFonts w:ascii="Book Antiqua" w:hAnsi="Book Antiqua" w:cs="Arial"/>
        </w:rPr>
      </w:pPr>
    </w:p>
    <w:p w14:paraId="52F70704" w14:textId="77777777" w:rsidR="00A509FA" w:rsidRPr="00AE6DDE" w:rsidRDefault="00A509FA" w:rsidP="00847259">
      <w:pPr>
        <w:jc w:val="both"/>
        <w:rPr>
          <w:rFonts w:ascii="Book Antiqua" w:hAnsi="Book Antiqua" w:cs="Arial"/>
        </w:rPr>
      </w:pPr>
    </w:p>
    <w:p w14:paraId="69D507CE" w14:textId="77777777"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F80F56">
        <w:rPr>
          <w:rFonts w:ascii="Book Antiqua" w:hAnsi="Book Antiqua" w:cs="Arial"/>
        </w:rPr>
        <w:t xml:space="preserve">                                          </w:t>
      </w:r>
      <w:r w:rsidR="001F2716" w:rsidRPr="00AE6DDE">
        <w:rPr>
          <w:rFonts w:ascii="Book Antiqua" w:hAnsi="Book Antiqua" w:cs="Arial"/>
        </w:rPr>
        <w:t>Date</w:t>
      </w:r>
      <w:r w:rsidR="00832D6E">
        <w:rPr>
          <w:rFonts w:ascii="Book Antiqua" w:hAnsi="Book Antiqua" w:cs="Arial"/>
        </w:rPr>
        <w:t>: 12/6/2018</w:t>
      </w:r>
    </w:p>
    <w:p w14:paraId="13B11CE1" w14:textId="77777777" w:rsidR="001F2716" w:rsidRPr="00AE6DDE" w:rsidRDefault="001F2716" w:rsidP="00847259">
      <w:pPr>
        <w:jc w:val="both"/>
        <w:rPr>
          <w:rFonts w:ascii="Book Antiqua" w:hAnsi="Book Antiqua" w:cs="Arial"/>
        </w:rPr>
      </w:pPr>
    </w:p>
    <w:p w14:paraId="0CAD94D2" w14:textId="77777777" w:rsidR="0062078F" w:rsidRDefault="00832D6E" w:rsidP="00847259">
      <w:pPr>
        <w:jc w:val="both"/>
        <w:rPr>
          <w:rFonts w:ascii="Book Antiqua" w:hAnsi="Book Antiqua" w:cs="Arial"/>
          <w:color w:val="000000"/>
        </w:rPr>
      </w:pPr>
      <w:r>
        <w:rPr>
          <w:rFonts w:ascii="Book Antiqua" w:hAnsi="Book Antiqua" w:cs="Arial"/>
          <w:color w:val="000000"/>
        </w:rPr>
        <w:t xml:space="preserve">Upper </w:t>
      </w:r>
      <w:r w:rsidR="00421698">
        <w:rPr>
          <w:rFonts w:ascii="Book Antiqua" w:hAnsi="Book Antiqua" w:cs="Arial"/>
          <w:color w:val="000000"/>
        </w:rPr>
        <w:t>Tribunal</w:t>
      </w:r>
      <w:r>
        <w:rPr>
          <w:rFonts w:ascii="Book Antiqua" w:hAnsi="Book Antiqua" w:cs="Arial"/>
          <w:color w:val="000000"/>
        </w:rPr>
        <w:t xml:space="preserve"> Judge Reeds</w:t>
      </w:r>
      <w:r w:rsidR="00CB575C">
        <w:rPr>
          <w:rFonts w:ascii="Book Antiqua" w:hAnsi="Book Antiqua" w:cs="Arial"/>
          <w:color w:val="000000"/>
        </w:rPr>
        <w:t xml:space="preserve"> </w:t>
      </w:r>
    </w:p>
    <w:p w14:paraId="7A32EECA" w14:textId="77777777" w:rsidR="00847259" w:rsidRDefault="00847259" w:rsidP="00847259">
      <w:pPr>
        <w:jc w:val="both"/>
        <w:rPr>
          <w:rFonts w:ascii="Book Antiqua" w:hAnsi="Book Antiqua" w:cs="Arial"/>
          <w:color w:val="000000"/>
        </w:rPr>
      </w:pPr>
    </w:p>
    <w:p w14:paraId="0EFFA58F" w14:textId="77777777" w:rsidR="00B95326" w:rsidRPr="00AE6DDE" w:rsidRDefault="00B95326" w:rsidP="00F80F56">
      <w:pPr>
        <w:rPr>
          <w:rFonts w:ascii="Book Antiqua" w:hAnsi="Book Antiqua" w:cs="Arial"/>
        </w:rPr>
      </w:pPr>
    </w:p>
    <w:p w14:paraId="007F2144" w14:textId="77777777" w:rsidR="00B95326" w:rsidRPr="00AE6DDE" w:rsidRDefault="00B95326" w:rsidP="00B95326">
      <w:pPr>
        <w:rPr>
          <w:rFonts w:ascii="Book Antiqua" w:hAnsi="Book Antiqua" w:cs="Arial"/>
        </w:rPr>
      </w:pPr>
    </w:p>
    <w:p w14:paraId="282BD7AA" w14:textId="77777777" w:rsidR="00B95326" w:rsidRPr="00AE6DDE" w:rsidRDefault="00B95326" w:rsidP="00B95326">
      <w:pPr>
        <w:rPr>
          <w:rFonts w:ascii="Book Antiqua" w:hAnsi="Book Antiqua" w:cs="Arial"/>
        </w:rPr>
      </w:pPr>
    </w:p>
    <w:sectPr w:rsidR="00B95326" w:rsidRPr="00AE6DDE"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6FC73" w14:textId="77777777" w:rsidR="006C2837" w:rsidRDefault="006C2837">
      <w:r>
        <w:separator/>
      </w:r>
    </w:p>
  </w:endnote>
  <w:endnote w:type="continuationSeparator" w:id="0">
    <w:p w14:paraId="56C90561" w14:textId="77777777" w:rsidR="006C2837" w:rsidRDefault="006C2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5CB03" w14:textId="6B603F6A" w:rsidR="00B91DE7" w:rsidRPr="00AE6DDE" w:rsidRDefault="00B91DE7"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553CEF">
      <w:rPr>
        <w:rStyle w:val="PageNumber"/>
        <w:rFonts w:ascii="Book Antiqua" w:hAnsi="Book Antiqua" w:cs="Arial"/>
        <w:noProof/>
        <w:sz w:val="16"/>
        <w:szCs w:val="16"/>
      </w:rPr>
      <w:t>9</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4F67D" w14:textId="77777777" w:rsidR="00B91DE7" w:rsidRPr="00AE6DDE" w:rsidRDefault="00B91DE7"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63D2B" w14:textId="77777777" w:rsidR="006C2837" w:rsidRDefault="006C2837">
      <w:r>
        <w:separator/>
      </w:r>
    </w:p>
  </w:footnote>
  <w:footnote w:type="continuationSeparator" w:id="0">
    <w:p w14:paraId="66C71DD0" w14:textId="77777777" w:rsidR="006C2837" w:rsidRDefault="006C2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24516" w14:textId="77777777" w:rsidR="00B91DE7" w:rsidRPr="00AE6DDE" w:rsidRDefault="00B91DE7"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sidR="00EB2250">
      <w:rPr>
        <w:rFonts w:ascii="Book Antiqua" w:hAnsi="Book Antiqua" w:cs="Arial"/>
        <w:sz w:val="16"/>
        <w:szCs w:val="16"/>
      </w:rPr>
      <w:t xml:space="preserve"> PA/10748/2017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F8EFB" w14:textId="77777777" w:rsidR="00B91DE7" w:rsidRPr="00AE6DDE" w:rsidRDefault="00B91DE7">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lvl>
    <w:lvl w:ilvl="1">
      <w:start w:val="1"/>
      <w:numFmt w:val="lowerRoman"/>
      <w:lvlText w:val="(%2)"/>
      <w:lvlJc w:val="left"/>
      <w:pPr>
        <w:tabs>
          <w:tab w:val="num" w:pos="1134"/>
        </w:tabs>
        <w:ind w:left="1134" w:hanging="567"/>
      </w:pPr>
    </w:lvl>
    <w:lvl w:ilvl="2">
      <w:start w:val="1"/>
      <w:numFmt w:val="lowerLetter"/>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55C00191"/>
    <w:multiLevelType w:val="hybridMultilevel"/>
    <w:tmpl w:val="A4A62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A5467D"/>
    <w:multiLevelType w:val="hybridMultilevel"/>
    <w:tmpl w:val="DBB2B954"/>
    <w:lvl w:ilvl="0" w:tplc="0809000F">
      <w:start w:val="3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167D46-B169-457E-BD8A-1F8289CAD9CF}"/>
    <w:docVar w:name="dgnword-eventsink" w:val="273350384"/>
  </w:docVars>
  <w:rsids>
    <w:rsidRoot w:val="0010568D"/>
    <w:rsid w:val="00000621"/>
    <w:rsid w:val="000036C2"/>
    <w:rsid w:val="00033D3D"/>
    <w:rsid w:val="00062F02"/>
    <w:rsid w:val="00071A7E"/>
    <w:rsid w:val="000746C0"/>
    <w:rsid w:val="00074D1D"/>
    <w:rsid w:val="00085C6C"/>
    <w:rsid w:val="00092580"/>
    <w:rsid w:val="00093D4D"/>
    <w:rsid w:val="00097F75"/>
    <w:rsid w:val="000A3F67"/>
    <w:rsid w:val="000B24F7"/>
    <w:rsid w:val="000C3AC4"/>
    <w:rsid w:val="000C4CC2"/>
    <w:rsid w:val="000C61AA"/>
    <w:rsid w:val="000D5D94"/>
    <w:rsid w:val="000E7724"/>
    <w:rsid w:val="000F1A0E"/>
    <w:rsid w:val="00100617"/>
    <w:rsid w:val="0010568D"/>
    <w:rsid w:val="001165A7"/>
    <w:rsid w:val="0015056F"/>
    <w:rsid w:val="00155F45"/>
    <w:rsid w:val="00156178"/>
    <w:rsid w:val="00167D3A"/>
    <w:rsid w:val="00173946"/>
    <w:rsid w:val="00195F50"/>
    <w:rsid w:val="00197947"/>
    <w:rsid w:val="001A3082"/>
    <w:rsid w:val="001B186A"/>
    <w:rsid w:val="001B2F75"/>
    <w:rsid w:val="001F2716"/>
    <w:rsid w:val="00207617"/>
    <w:rsid w:val="00224D49"/>
    <w:rsid w:val="0023134B"/>
    <w:rsid w:val="002376E5"/>
    <w:rsid w:val="0024559C"/>
    <w:rsid w:val="00253D70"/>
    <w:rsid w:val="00254DBC"/>
    <w:rsid w:val="00283659"/>
    <w:rsid w:val="002A2B4C"/>
    <w:rsid w:val="002C6BD4"/>
    <w:rsid w:val="002D083B"/>
    <w:rsid w:val="002D68BF"/>
    <w:rsid w:val="002D72B7"/>
    <w:rsid w:val="002F6B98"/>
    <w:rsid w:val="003042CA"/>
    <w:rsid w:val="003072A5"/>
    <w:rsid w:val="003327C3"/>
    <w:rsid w:val="00336A55"/>
    <w:rsid w:val="00336CBF"/>
    <w:rsid w:val="00343FE3"/>
    <w:rsid w:val="003546C8"/>
    <w:rsid w:val="00363F30"/>
    <w:rsid w:val="0037401A"/>
    <w:rsid w:val="003841D6"/>
    <w:rsid w:val="003A0375"/>
    <w:rsid w:val="003A7CF2"/>
    <w:rsid w:val="003B6113"/>
    <w:rsid w:val="003C5CE5"/>
    <w:rsid w:val="003E267B"/>
    <w:rsid w:val="003E52CC"/>
    <w:rsid w:val="003E7CD1"/>
    <w:rsid w:val="003F4C61"/>
    <w:rsid w:val="004011C8"/>
    <w:rsid w:val="00402B9E"/>
    <w:rsid w:val="00421698"/>
    <w:rsid w:val="004249CB"/>
    <w:rsid w:val="0044127D"/>
    <w:rsid w:val="004448DB"/>
    <w:rsid w:val="00446C9A"/>
    <w:rsid w:val="00447988"/>
    <w:rsid w:val="00452F2B"/>
    <w:rsid w:val="00471E3C"/>
    <w:rsid w:val="0047257A"/>
    <w:rsid w:val="00477193"/>
    <w:rsid w:val="00491187"/>
    <w:rsid w:val="004A1848"/>
    <w:rsid w:val="004A6F4A"/>
    <w:rsid w:val="004B104B"/>
    <w:rsid w:val="004E4717"/>
    <w:rsid w:val="004F672C"/>
    <w:rsid w:val="0050388A"/>
    <w:rsid w:val="00507FEC"/>
    <w:rsid w:val="00510F0E"/>
    <w:rsid w:val="005420FD"/>
    <w:rsid w:val="005473D4"/>
    <w:rsid w:val="005479E1"/>
    <w:rsid w:val="00553CEF"/>
    <w:rsid w:val="00553E0A"/>
    <w:rsid w:val="005570FD"/>
    <w:rsid w:val="005575EA"/>
    <w:rsid w:val="0057790C"/>
    <w:rsid w:val="00593795"/>
    <w:rsid w:val="00596130"/>
    <w:rsid w:val="005A300F"/>
    <w:rsid w:val="005A75FF"/>
    <w:rsid w:val="005C2B9C"/>
    <w:rsid w:val="005D10AB"/>
    <w:rsid w:val="005D2117"/>
    <w:rsid w:val="005E3B61"/>
    <w:rsid w:val="00601D8F"/>
    <w:rsid w:val="00617C41"/>
    <w:rsid w:val="0062078F"/>
    <w:rsid w:val="00653E97"/>
    <w:rsid w:val="00670DD5"/>
    <w:rsid w:val="00677CF9"/>
    <w:rsid w:val="00684A74"/>
    <w:rsid w:val="00690B8A"/>
    <w:rsid w:val="0069203D"/>
    <w:rsid w:val="006C2837"/>
    <w:rsid w:val="006E47C4"/>
    <w:rsid w:val="006F256B"/>
    <w:rsid w:val="006F2CF1"/>
    <w:rsid w:val="00703184"/>
    <w:rsid w:val="007038ED"/>
    <w:rsid w:val="00703BC3"/>
    <w:rsid w:val="00704B61"/>
    <w:rsid w:val="007552A9"/>
    <w:rsid w:val="00755D2B"/>
    <w:rsid w:val="00761858"/>
    <w:rsid w:val="00767D59"/>
    <w:rsid w:val="00776E97"/>
    <w:rsid w:val="00780F86"/>
    <w:rsid w:val="007912AD"/>
    <w:rsid w:val="00795FB2"/>
    <w:rsid w:val="007965EE"/>
    <w:rsid w:val="007A0794"/>
    <w:rsid w:val="007A20D6"/>
    <w:rsid w:val="007B0824"/>
    <w:rsid w:val="007B5D3C"/>
    <w:rsid w:val="007E026B"/>
    <w:rsid w:val="00821B72"/>
    <w:rsid w:val="00823EF2"/>
    <w:rsid w:val="00827025"/>
    <w:rsid w:val="008303B8"/>
    <w:rsid w:val="00832D6E"/>
    <w:rsid w:val="00833DCE"/>
    <w:rsid w:val="00833DDE"/>
    <w:rsid w:val="0083768F"/>
    <w:rsid w:val="00847259"/>
    <w:rsid w:val="008478F6"/>
    <w:rsid w:val="00854534"/>
    <w:rsid w:val="00871D34"/>
    <w:rsid w:val="00874D45"/>
    <w:rsid w:val="008B07B3"/>
    <w:rsid w:val="008B270C"/>
    <w:rsid w:val="008B5078"/>
    <w:rsid w:val="008C3D3D"/>
    <w:rsid w:val="008D4131"/>
    <w:rsid w:val="008F1932"/>
    <w:rsid w:val="008F56F0"/>
    <w:rsid w:val="009063DF"/>
    <w:rsid w:val="00920CA3"/>
    <w:rsid w:val="00921062"/>
    <w:rsid w:val="00926B61"/>
    <w:rsid w:val="00937FE7"/>
    <w:rsid w:val="00947565"/>
    <w:rsid w:val="009619EA"/>
    <w:rsid w:val="00965C3E"/>
    <w:rsid w:val="009722BC"/>
    <w:rsid w:val="009727A3"/>
    <w:rsid w:val="00977754"/>
    <w:rsid w:val="00984E64"/>
    <w:rsid w:val="00987774"/>
    <w:rsid w:val="009A11E8"/>
    <w:rsid w:val="009B443B"/>
    <w:rsid w:val="009C090C"/>
    <w:rsid w:val="009D1EA3"/>
    <w:rsid w:val="009F5220"/>
    <w:rsid w:val="00A15234"/>
    <w:rsid w:val="00A201AB"/>
    <w:rsid w:val="00A30596"/>
    <w:rsid w:val="00A31C8B"/>
    <w:rsid w:val="00A509FA"/>
    <w:rsid w:val="00A57B5D"/>
    <w:rsid w:val="00A845DC"/>
    <w:rsid w:val="00A92942"/>
    <w:rsid w:val="00AC4F6E"/>
    <w:rsid w:val="00AC5034"/>
    <w:rsid w:val="00AD5231"/>
    <w:rsid w:val="00AE6DDE"/>
    <w:rsid w:val="00AE7D4D"/>
    <w:rsid w:val="00AF4C07"/>
    <w:rsid w:val="00B26AA2"/>
    <w:rsid w:val="00B3524D"/>
    <w:rsid w:val="00B40F69"/>
    <w:rsid w:val="00B46616"/>
    <w:rsid w:val="00B7040A"/>
    <w:rsid w:val="00B83391"/>
    <w:rsid w:val="00B87C01"/>
    <w:rsid w:val="00B91DE7"/>
    <w:rsid w:val="00B95326"/>
    <w:rsid w:val="00BB1E78"/>
    <w:rsid w:val="00BD4196"/>
    <w:rsid w:val="00BF22CA"/>
    <w:rsid w:val="00BF23BB"/>
    <w:rsid w:val="00BF66E5"/>
    <w:rsid w:val="00C20856"/>
    <w:rsid w:val="00C26032"/>
    <w:rsid w:val="00C33667"/>
    <w:rsid w:val="00C345E1"/>
    <w:rsid w:val="00C43BFD"/>
    <w:rsid w:val="00C53074"/>
    <w:rsid w:val="00C75925"/>
    <w:rsid w:val="00CB575C"/>
    <w:rsid w:val="00CB6E35"/>
    <w:rsid w:val="00CD3634"/>
    <w:rsid w:val="00CD58CE"/>
    <w:rsid w:val="00CD59AC"/>
    <w:rsid w:val="00CD7FEA"/>
    <w:rsid w:val="00CE1A46"/>
    <w:rsid w:val="00D20757"/>
    <w:rsid w:val="00D22636"/>
    <w:rsid w:val="00D404AE"/>
    <w:rsid w:val="00D40FD9"/>
    <w:rsid w:val="00D45631"/>
    <w:rsid w:val="00D53769"/>
    <w:rsid w:val="00D85C13"/>
    <w:rsid w:val="00D87AF7"/>
    <w:rsid w:val="00D9111A"/>
    <w:rsid w:val="00D91BE3"/>
    <w:rsid w:val="00D94AFC"/>
    <w:rsid w:val="00DB2C83"/>
    <w:rsid w:val="00DB70AE"/>
    <w:rsid w:val="00DD1BBC"/>
    <w:rsid w:val="00DD5071"/>
    <w:rsid w:val="00DD5C39"/>
    <w:rsid w:val="00DE7DB7"/>
    <w:rsid w:val="00DF09E9"/>
    <w:rsid w:val="00E00973"/>
    <w:rsid w:val="00E00A0A"/>
    <w:rsid w:val="00E04B26"/>
    <w:rsid w:val="00E066DE"/>
    <w:rsid w:val="00E07F57"/>
    <w:rsid w:val="00E30683"/>
    <w:rsid w:val="00E37CE4"/>
    <w:rsid w:val="00E41FBD"/>
    <w:rsid w:val="00E453D8"/>
    <w:rsid w:val="00E50BCE"/>
    <w:rsid w:val="00E574BF"/>
    <w:rsid w:val="00E61292"/>
    <w:rsid w:val="00E67616"/>
    <w:rsid w:val="00E77C4D"/>
    <w:rsid w:val="00E81AE1"/>
    <w:rsid w:val="00E81D01"/>
    <w:rsid w:val="00E845A5"/>
    <w:rsid w:val="00E917CD"/>
    <w:rsid w:val="00EB2250"/>
    <w:rsid w:val="00EB5FC7"/>
    <w:rsid w:val="00EE45D8"/>
    <w:rsid w:val="00F22EDA"/>
    <w:rsid w:val="00F30CCF"/>
    <w:rsid w:val="00F4277C"/>
    <w:rsid w:val="00F74FA7"/>
    <w:rsid w:val="00F80F56"/>
    <w:rsid w:val="00FB54F9"/>
    <w:rsid w:val="00FB6DB1"/>
    <w:rsid w:val="00FB77FD"/>
    <w:rsid w:val="00FC20F4"/>
    <w:rsid w:val="00FC244D"/>
    <w:rsid w:val="00FF6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85964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NormalWeb">
    <w:name w:val="Normal (Web)"/>
    <w:basedOn w:val="Normal"/>
    <w:uiPriority w:val="99"/>
    <w:unhideWhenUsed/>
    <w:rsid w:val="006F256B"/>
    <w:pPr>
      <w:spacing w:before="100" w:beforeAutospacing="1" w:after="100" w:afterAutospacing="1"/>
    </w:pPr>
  </w:style>
  <w:style w:type="paragraph" w:styleId="ListParagraph">
    <w:name w:val="List Paragraph"/>
    <w:basedOn w:val="Normal"/>
    <w:uiPriority w:val="34"/>
    <w:qFormat/>
    <w:rsid w:val="00670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76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4352</Words>
  <Characters>20644</Characters>
  <Application>Microsoft Office Word</Application>
  <DocSecurity>0</DocSecurity>
  <Lines>172</Lines>
  <Paragraphs>49</Paragraphs>
  <ScaleCrop>false</ScaleCrop>
  <Company/>
  <LinksUpToDate>false</LinksUpToDate>
  <CharactersWithSpaces>24947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2018-07-10T12:41:00Z</dcterms:created>
  <dcterms:modified xsi:type="dcterms:W3CDTF">2018-07-10T12:41:00Z</dcterms:modified>
</cp:coreProperties>
</file>