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972CDB" w:rsidP="00643BFC">
      <w:pPr>
        <w:jc w:val="center"/>
        <w:rPr>
          <w:rFonts w:ascii="Book Antiqua" w:hAnsi="Book Antiqua" w:cs="Arial"/>
          <w:caps/>
          <w:color w:val="000000"/>
          <w:sz w:val="16"/>
          <w:szCs w:val="16"/>
        </w:rPr>
      </w:pPr>
      <w:r>
        <w:rPr>
          <w:noProof/>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0D43A2">
        <w:rPr>
          <w:rFonts w:ascii="Book Antiqua" w:hAnsi="Book Antiqua" w:cs="Arial"/>
          <w:color w:val="000000"/>
        </w:rPr>
        <w:t xml:space="preserve"> </w:t>
      </w:r>
      <w:bookmarkStart w:id="0" w:name="_GoBack"/>
      <w:r w:rsidR="002E6013">
        <w:rPr>
          <w:rFonts w:ascii="Book Antiqua" w:hAnsi="Book Antiqua" w:cs="Arial"/>
          <w:caps/>
          <w:color w:val="000000"/>
        </w:rPr>
        <w:t>PA/10809/2016</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4"/>
        <w:gridCol w:w="524"/>
        <w:gridCol w:w="3960"/>
      </w:tblGrid>
      <w:tr w:rsidR="00D22636" w:rsidRPr="000704BB" w:rsidTr="001D7B26">
        <w:tc>
          <w:tcPr>
            <w:tcW w:w="5524"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2E6013">
              <w:rPr>
                <w:rFonts w:ascii="Book Antiqua" w:hAnsi="Book Antiqua" w:cs="Arial"/>
                <w:b/>
              </w:rPr>
              <w:t>Field House</w:t>
            </w:r>
          </w:p>
        </w:tc>
        <w:tc>
          <w:tcPr>
            <w:tcW w:w="4484" w:type="dxa"/>
            <w:gridSpan w:val="2"/>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1D7B26">
        <w:tc>
          <w:tcPr>
            <w:tcW w:w="5524"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2E6013">
              <w:rPr>
                <w:rFonts w:ascii="Book Antiqua" w:hAnsi="Book Antiqua" w:cs="Arial"/>
                <w:b/>
              </w:rPr>
              <w:t>20 June 2018</w:t>
            </w:r>
          </w:p>
        </w:tc>
        <w:tc>
          <w:tcPr>
            <w:tcW w:w="4484" w:type="dxa"/>
            <w:gridSpan w:val="2"/>
          </w:tcPr>
          <w:p w:rsidR="00D22636" w:rsidRPr="000704BB" w:rsidRDefault="001D7B26" w:rsidP="004A1848">
            <w:pPr>
              <w:jc w:val="both"/>
              <w:rPr>
                <w:rFonts w:ascii="Book Antiqua" w:hAnsi="Book Antiqua" w:cs="Arial"/>
                <w:b/>
              </w:rPr>
            </w:pPr>
            <w:r>
              <w:rPr>
                <w:rFonts w:ascii="Book Antiqua" w:hAnsi="Book Antiqua" w:cs="Arial"/>
                <w:b/>
              </w:rPr>
              <w:t xml:space="preserve">On 06 July 2018 </w:t>
            </w:r>
          </w:p>
        </w:tc>
      </w:tr>
      <w:tr w:rsidR="001D7B26" w:rsidRPr="000704BB" w:rsidTr="00C7558F">
        <w:trPr>
          <w:gridAfter w:val="1"/>
          <w:wAfter w:w="3960" w:type="dxa"/>
        </w:trPr>
        <w:tc>
          <w:tcPr>
            <w:tcW w:w="6048" w:type="dxa"/>
            <w:gridSpan w:val="2"/>
          </w:tcPr>
          <w:p w:rsidR="001D7B26" w:rsidRPr="000704BB" w:rsidRDefault="001D7B2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r w:rsidR="000B6967">
        <w:rPr>
          <w:rFonts w:ascii="Book Antiqua" w:hAnsi="Book Antiqua" w:cs="Arial"/>
          <w:b/>
          <w:color w:val="000000"/>
        </w:rPr>
        <w:t>Mc</w:t>
      </w:r>
      <w:r w:rsidR="008856CB">
        <w:rPr>
          <w:rFonts w:ascii="Book Antiqua" w:hAnsi="Book Antiqua" w:cs="Arial"/>
          <w:b/>
          <w:color w:val="000000"/>
        </w:rPr>
        <w:t>WILLIAM</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2E6013" w:rsidP="00A15234">
      <w:pPr>
        <w:jc w:val="center"/>
        <w:rPr>
          <w:rFonts w:ascii="Book Antiqua" w:hAnsi="Book Antiqua" w:cs="Arial"/>
          <w:b/>
          <w:caps/>
        </w:rPr>
      </w:pPr>
      <w:r>
        <w:rPr>
          <w:rFonts w:ascii="Book Antiqua" w:hAnsi="Book Antiqua" w:cs="Arial"/>
          <w:b/>
          <w:caps/>
        </w:rPr>
        <w:t>hm</w:t>
      </w:r>
    </w:p>
    <w:p w:rsidR="00C7558F" w:rsidRDefault="00C7558F" w:rsidP="00C7558F">
      <w:pPr>
        <w:jc w:val="center"/>
        <w:rPr>
          <w:rFonts w:ascii="Book Antiqua" w:hAnsi="Book Antiqua" w:cs="Arial"/>
          <w:b/>
          <w:caps/>
        </w:rPr>
      </w:pPr>
      <w:r w:rsidRPr="00C7558F">
        <w:rPr>
          <w:rFonts w:ascii="Book Antiqua" w:hAnsi="Book Antiqua" w:cs="Arial"/>
          <w:b/>
          <w:caps/>
        </w:rPr>
        <w:t xml:space="preserve">(ANONYMITY DIRECTION </w:t>
      </w:r>
      <w:r w:rsidR="002E6013">
        <w:rPr>
          <w:rFonts w:ascii="Book Antiqua" w:hAnsi="Book Antiqua" w:cs="Arial"/>
          <w:b/>
          <w:caps/>
        </w:rPr>
        <w:t>made</w:t>
      </w:r>
      <w:r w:rsidRPr="00C7558F">
        <w:rPr>
          <w:rFonts w:ascii="Book Antiqua" w:hAnsi="Book Antiqua" w:cs="Arial"/>
          <w:b/>
          <w:caps/>
        </w:rPr>
        <w:t>)</w:t>
      </w:r>
    </w:p>
    <w:p w:rsidR="00704B61" w:rsidRPr="000704BB" w:rsidRDefault="00704B61" w:rsidP="00A15234">
      <w:pPr>
        <w:jc w:val="center"/>
        <w:rPr>
          <w:rFonts w:ascii="Book Antiqua" w:hAnsi="Book Antiqua" w:cs="Arial"/>
          <w:b/>
        </w:rPr>
      </w:pP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170128"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00DD5071"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704B61">
      <w:pPr>
        <w:jc w:val="center"/>
        <w:rPr>
          <w:rFonts w:ascii="Book Antiqua" w:hAnsi="Book Antiqua" w:cs="Arial"/>
          <w:b/>
        </w:rPr>
      </w:pP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2E6013">
        <w:rPr>
          <w:rFonts w:ascii="Book Antiqua" w:hAnsi="Book Antiqua" w:cs="Arial"/>
        </w:rPr>
        <w:t>Mr D Bandegani, Counsel instructed by Duncan Lewis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2E6013">
        <w:rPr>
          <w:rFonts w:ascii="Book Antiqua" w:hAnsi="Book Antiqua" w:cs="Arial"/>
        </w:rPr>
        <w:t>Mr T Melvin, Home Office Presenting Officer</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Default="00C7558F" w:rsidP="00402B9E">
      <w:pPr>
        <w:tabs>
          <w:tab w:val="left" w:pos="2520"/>
        </w:tabs>
        <w:jc w:val="center"/>
        <w:rPr>
          <w:rFonts w:ascii="Book Antiqua" w:hAnsi="Book Antiqua" w:cs="Arial"/>
          <w:b/>
          <w:u w:val="single"/>
        </w:rPr>
      </w:pPr>
    </w:p>
    <w:p w:rsidR="00C7558F" w:rsidRPr="000704BB" w:rsidRDefault="00C7558F" w:rsidP="00402B9E">
      <w:pPr>
        <w:tabs>
          <w:tab w:val="left" w:pos="2520"/>
        </w:tabs>
        <w:jc w:val="center"/>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2E6013">
        <w:rPr>
          <w:rFonts w:ascii="Book Antiqua" w:hAnsi="Book Antiqua" w:cs="Arial"/>
        </w:rPr>
        <w:t xml:space="preserve">The Appellant is a citizen of Afghanistan.  His date of birth is 2 March 1993.  </w:t>
      </w:r>
      <w:r w:rsidR="009540A2">
        <w:rPr>
          <w:rFonts w:ascii="Book Antiqua" w:hAnsi="Book Antiqua" w:cs="Arial"/>
        </w:rPr>
        <w:t xml:space="preserve">He </w:t>
      </w:r>
      <w:r w:rsidR="002E6013">
        <w:rPr>
          <w:rFonts w:ascii="Book Antiqua" w:hAnsi="Book Antiqua" w:cs="Arial"/>
        </w:rPr>
        <w:t>made an asylum claim</w:t>
      </w:r>
      <w:r w:rsidR="00E33863">
        <w:rPr>
          <w:rFonts w:ascii="Book Antiqua" w:hAnsi="Book Antiqua" w:cs="Arial"/>
        </w:rPr>
        <w:t xml:space="preserve">. This </w:t>
      </w:r>
      <w:r w:rsidR="00295B40">
        <w:rPr>
          <w:rFonts w:ascii="Book Antiqua" w:hAnsi="Book Antiqua" w:cs="Arial"/>
        </w:rPr>
        <w:t xml:space="preserve">was </w:t>
      </w:r>
      <w:r w:rsidR="002E6013">
        <w:rPr>
          <w:rFonts w:ascii="Book Antiqua" w:hAnsi="Book Antiqua" w:cs="Arial"/>
        </w:rPr>
        <w:t>refused by the Secretary of State</w:t>
      </w:r>
      <w:r w:rsidR="00E33863">
        <w:rPr>
          <w:rFonts w:ascii="Book Antiqua" w:hAnsi="Book Antiqua" w:cs="Arial"/>
        </w:rPr>
        <w:t xml:space="preserve"> on </w:t>
      </w:r>
      <w:r w:rsidR="002E6013">
        <w:rPr>
          <w:rFonts w:ascii="Book Antiqua" w:hAnsi="Book Antiqua" w:cs="Arial"/>
        </w:rPr>
        <w:t>27</w:t>
      </w:r>
      <w:r w:rsidR="002E6013" w:rsidRPr="002E6013">
        <w:rPr>
          <w:rFonts w:ascii="Book Antiqua" w:hAnsi="Book Antiqua" w:cs="Arial"/>
          <w:vertAlign w:val="superscript"/>
        </w:rPr>
        <w:t>th</w:t>
      </w:r>
      <w:r w:rsidR="002E6013">
        <w:rPr>
          <w:rFonts w:ascii="Book Antiqua" w:hAnsi="Book Antiqua" w:cs="Arial"/>
        </w:rPr>
        <w:t xml:space="preserve"> September 2016.  The Appellant appealed against that decision</w:t>
      </w:r>
      <w:r w:rsidR="00E33863">
        <w:rPr>
          <w:rFonts w:ascii="Book Antiqua" w:hAnsi="Book Antiqua" w:cs="Arial"/>
        </w:rPr>
        <w:t xml:space="preserve">. </w:t>
      </w:r>
      <w:r w:rsidR="00505195">
        <w:rPr>
          <w:rFonts w:ascii="Book Antiqua" w:hAnsi="Book Antiqua" w:cs="Arial"/>
        </w:rPr>
        <w:t>His appeal</w:t>
      </w:r>
      <w:r w:rsidR="002E6013">
        <w:rPr>
          <w:rFonts w:ascii="Book Antiqua" w:hAnsi="Book Antiqua" w:cs="Arial"/>
        </w:rPr>
        <w:t xml:space="preserve"> was dismissed by Judge of </w:t>
      </w:r>
      <w:r w:rsidR="002E6013">
        <w:rPr>
          <w:rFonts w:ascii="Book Antiqua" w:hAnsi="Book Antiqua" w:cs="Arial"/>
        </w:rPr>
        <w:lastRenderedPageBreak/>
        <w:t>the First-tier Tribunal Meyler in a decision promulgated on 16 May 2017</w:t>
      </w:r>
      <w:r w:rsidR="00E33863">
        <w:rPr>
          <w:rFonts w:ascii="Book Antiqua" w:hAnsi="Book Antiqua" w:cs="Arial"/>
        </w:rPr>
        <w:t>,</w:t>
      </w:r>
      <w:r w:rsidR="002E6013">
        <w:rPr>
          <w:rFonts w:ascii="Book Antiqua" w:hAnsi="Book Antiqua" w:cs="Arial"/>
        </w:rPr>
        <w:t xml:space="preserve"> following a hearing on 8 May 2017.  Permission was granted to the Appellant by Upper Tribunal Judge Perkins on 16 October 2017.  Th</w:t>
      </w:r>
      <w:r w:rsidR="009540A2">
        <w:rPr>
          <w:rFonts w:ascii="Book Antiqua" w:hAnsi="Book Antiqua" w:cs="Arial"/>
        </w:rPr>
        <w:t xml:space="preserve">e </w:t>
      </w:r>
      <w:r w:rsidR="002E6013">
        <w:rPr>
          <w:rFonts w:ascii="Book Antiqua" w:hAnsi="Book Antiqua" w:cs="Arial"/>
        </w:rPr>
        <w:t xml:space="preserve">matter came before me </w:t>
      </w:r>
      <w:r w:rsidR="00295B40">
        <w:rPr>
          <w:rFonts w:ascii="Book Antiqua" w:hAnsi="Book Antiqua" w:cs="Arial"/>
        </w:rPr>
        <w:t xml:space="preserve">on 20 June 2018 </w:t>
      </w:r>
      <w:r w:rsidR="002E6013">
        <w:rPr>
          <w:rFonts w:ascii="Book Antiqua" w:hAnsi="Book Antiqua" w:cs="Arial"/>
        </w:rPr>
        <w:t>to determine whether Judge Meyler made an error of law.</w:t>
      </w:r>
    </w:p>
    <w:p w:rsidR="002E6013" w:rsidRDefault="002E6013" w:rsidP="00BF23BB">
      <w:pPr>
        <w:tabs>
          <w:tab w:val="left" w:pos="567"/>
        </w:tabs>
        <w:ind w:left="567" w:hanging="567"/>
        <w:jc w:val="both"/>
        <w:rPr>
          <w:rFonts w:ascii="Book Antiqua" w:hAnsi="Book Antiqua" w:cs="Arial"/>
        </w:rPr>
      </w:pPr>
    </w:p>
    <w:p w:rsidR="002E6013" w:rsidRDefault="002E6013" w:rsidP="00BF23BB">
      <w:pPr>
        <w:tabs>
          <w:tab w:val="left" w:pos="567"/>
        </w:tabs>
        <w:ind w:left="567" w:hanging="567"/>
        <w:jc w:val="both"/>
        <w:rPr>
          <w:rFonts w:ascii="Book Antiqua" w:hAnsi="Book Antiqua" w:cs="Arial"/>
        </w:rPr>
      </w:pPr>
    </w:p>
    <w:p w:rsidR="002E6013" w:rsidRDefault="002E6013"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Appellant</w:t>
      </w:r>
      <w:r w:rsidR="00417179">
        <w:rPr>
          <w:rFonts w:ascii="Book Antiqua" w:hAnsi="Book Antiqua" w:cs="Arial"/>
        </w:rPr>
        <w:t>’s evidence was that he is</w:t>
      </w:r>
      <w:r>
        <w:rPr>
          <w:rFonts w:ascii="Book Antiqua" w:hAnsi="Book Antiqua" w:cs="Arial"/>
        </w:rPr>
        <w:t xml:space="preserve"> from a village near the city of Khunduz. </w:t>
      </w:r>
      <w:r w:rsidR="00295B40">
        <w:rPr>
          <w:rFonts w:ascii="Book Antiqua" w:hAnsi="Book Antiqua" w:cs="Arial"/>
        </w:rPr>
        <w:t xml:space="preserve"> </w:t>
      </w:r>
      <w:r w:rsidR="00417179">
        <w:rPr>
          <w:rFonts w:ascii="Book Antiqua" w:hAnsi="Book Antiqua" w:cs="Arial"/>
        </w:rPr>
        <w:t xml:space="preserve">He </w:t>
      </w:r>
      <w:r>
        <w:rPr>
          <w:rFonts w:ascii="Book Antiqua" w:hAnsi="Book Antiqua" w:cs="Arial"/>
        </w:rPr>
        <w:t>worked for a Chinese telecommunications company, ZTE</w:t>
      </w:r>
      <w:r w:rsidR="00E33863">
        <w:rPr>
          <w:rFonts w:ascii="Book Antiqua" w:hAnsi="Book Antiqua" w:cs="Arial"/>
        </w:rPr>
        <w:t>,</w:t>
      </w:r>
      <w:r>
        <w:rPr>
          <w:rFonts w:ascii="Book Antiqua" w:hAnsi="Book Antiqua" w:cs="Arial"/>
        </w:rPr>
        <w:t xml:space="preserve"> from July 2013 until July 2014.  He worked for another telecommu</w:t>
      </w:r>
      <w:r w:rsidR="0087227A">
        <w:rPr>
          <w:rFonts w:ascii="Book Antiqua" w:hAnsi="Book Antiqua" w:cs="Arial"/>
        </w:rPr>
        <w:t xml:space="preserve">nications company, </w:t>
      </w:r>
      <w:r>
        <w:rPr>
          <w:rFonts w:ascii="Book Antiqua" w:hAnsi="Book Antiqua" w:cs="Arial"/>
        </w:rPr>
        <w:t>M</w:t>
      </w:r>
      <w:r w:rsidR="0087227A">
        <w:rPr>
          <w:rFonts w:ascii="Book Antiqua" w:hAnsi="Book Antiqua" w:cs="Arial"/>
        </w:rPr>
        <w:t>awj</w:t>
      </w:r>
      <w:r>
        <w:rPr>
          <w:rFonts w:ascii="Book Antiqua" w:hAnsi="Book Antiqua" w:cs="Arial"/>
        </w:rPr>
        <w:t xml:space="preserve"> Atlas</w:t>
      </w:r>
      <w:r w:rsidR="00E33863">
        <w:rPr>
          <w:rFonts w:ascii="Book Antiqua" w:hAnsi="Book Antiqua" w:cs="Arial"/>
        </w:rPr>
        <w:t>,</w:t>
      </w:r>
      <w:r>
        <w:rPr>
          <w:rFonts w:ascii="Book Antiqua" w:hAnsi="Book Antiqua" w:cs="Arial"/>
        </w:rPr>
        <w:t xml:space="preserve"> from August 2014 until August 2015.  </w:t>
      </w:r>
      <w:r w:rsidR="00417179">
        <w:rPr>
          <w:rFonts w:ascii="Book Antiqua" w:hAnsi="Book Antiqua" w:cs="Arial"/>
        </w:rPr>
        <w:t>As</w:t>
      </w:r>
      <w:r>
        <w:rPr>
          <w:rFonts w:ascii="Book Antiqua" w:hAnsi="Book Antiqua" w:cs="Arial"/>
        </w:rPr>
        <w:t xml:space="preserve"> result of his employment he was targeted by the Taliban.  For both companies he worked as a supervisor/team leader and w</w:t>
      </w:r>
      <w:r w:rsidR="00F4027F">
        <w:rPr>
          <w:rFonts w:ascii="Book Antiqua" w:hAnsi="Book Antiqua" w:cs="Arial"/>
        </w:rPr>
        <w:t>a</w:t>
      </w:r>
      <w:r>
        <w:rPr>
          <w:rFonts w:ascii="Book Antiqua" w:hAnsi="Book Antiqua" w:cs="Arial"/>
        </w:rPr>
        <w:t>s involved in transporting telecommunications equipment around the country.</w:t>
      </w:r>
      <w:r w:rsidR="00F4027F">
        <w:rPr>
          <w:rFonts w:ascii="Book Antiqua" w:hAnsi="Book Antiqua" w:cs="Arial"/>
        </w:rPr>
        <w:t xml:space="preserve">  </w:t>
      </w:r>
      <w:r w:rsidR="00417179">
        <w:rPr>
          <w:rFonts w:ascii="Book Antiqua" w:hAnsi="Book Antiqua" w:cs="Arial"/>
        </w:rPr>
        <w:t>He w</w:t>
      </w:r>
      <w:r w:rsidR="00295B40">
        <w:rPr>
          <w:rFonts w:ascii="Book Antiqua" w:hAnsi="Book Antiqua" w:cs="Arial"/>
        </w:rPr>
        <w:t xml:space="preserve">as </w:t>
      </w:r>
      <w:r w:rsidR="00F4027F">
        <w:rPr>
          <w:rFonts w:ascii="Book Antiqua" w:hAnsi="Book Antiqua" w:cs="Arial"/>
        </w:rPr>
        <w:t xml:space="preserve">targeted by the Taliban </w:t>
      </w:r>
      <w:r w:rsidR="007E6320">
        <w:rPr>
          <w:rFonts w:ascii="Book Antiqua" w:hAnsi="Book Antiqua" w:cs="Arial"/>
        </w:rPr>
        <w:t>because of</w:t>
      </w:r>
      <w:r w:rsidR="00F4027F">
        <w:rPr>
          <w:rFonts w:ascii="Book Antiqua" w:hAnsi="Book Antiqua" w:cs="Arial"/>
        </w:rPr>
        <w:t xml:space="preserve"> his employment.  After eighteen months of working in this capacity the Taliban discovered his occupation and made threats to him accusing him of spying.  </w:t>
      </w:r>
      <w:r w:rsidR="00295B40">
        <w:rPr>
          <w:rFonts w:ascii="Book Antiqua" w:hAnsi="Book Antiqua" w:cs="Arial"/>
        </w:rPr>
        <w:t>It was accepted that as</w:t>
      </w:r>
      <w:r w:rsidR="00F4027F">
        <w:rPr>
          <w:rFonts w:ascii="Book Antiqua" w:hAnsi="Book Antiqua" w:cs="Arial"/>
        </w:rPr>
        <w:t xml:space="preserve"> result the Appellant moved to Kabul where he shared a flat with a friend.  He stayed in Kabul for two or three months</w:t>
      </w:r>
      <w:r w:rsidR="00417179">
        <w:rPr>
          <w:rFonts w:ascii="Book Antiqua" w:hAnsi="Book Antiqua" w:cs="Arial"/>
        </w:rPr>
        <w:t>. W</w:t>
      </w:r>
      <w:r w:rsidR="00295B40">
        <w:rPr>
          <w:rFonts w:ascii="Book Antiqua" w:hAnsi="Book Antiqua" w:cs="Arial"/>
        </w:rPr>
        <w:t xml:space="preserve">hilst in Kabul </w:t>
      </w:r>
      <w:r w:rsidR="00F4027F">
        <w:rPr>
          <w:rFonts w:ascii="Book Antiqua" w:hAnsi="Book Antiqua" w:cs="Arial"/>
        </w:rPr>
        <w:t>there was a</w:t>
      </w:r>
      <w:r w:rsidR="00295B40">
        <w:rPr>
          <w:rFonts w:ascii="Book Antiqua" w:hAnsi="Book Antiqua" w:cs="Arial"/>
        </w:rPr>
        <w:t xml:space="preserve"> shooting </w:t>
      </w:r>
      <w:r w:rsidR="00F4027F">
        <w:rPr>
          <w:rFonts w:ascii="Book Antiqua" w:hAnsi="Book Antiqua" w:cs="Arial"/>
        </w:rPr>
        <w:t>incident</w:t>
      </w:r>
      <w:r w:rsidR="00295B40">
        <w:rPr>
          <w:rFonts w:ascii="Book Antiqua" w:hAnsi="Book Antiqua" w:cs="Arial"/>
        </w:rPr>
        <w:t xml:space="preserve"> during which his friend was shot and</w:t>
      </w:r>
      <w:r w:rsidR="00417179">
        <w:rPr>
          <w:rFonts w:ascii="Book Antiqua" w:hAnsi="Book Antiqua" w:cs="Arial"/>
        </w:rPr>
        <w:t xml:space="preserve"> the Appellant </w:t>
      </w:r>
      <w:r w:rsidR="00295B40">
        <w:rPr>
          <w:rFonts w:ascii="Book Antiqua" w:hAnsi="Book Antiqua" w:cs="Arial"/>
        </w:rPr>
        <w:t xml:space="preserve">was able to </w:t>
      </w:r>
      <w:r w:rsidR="00F4027F">
        <w:rPr>
          <w:rFonts w:ascii="Book Antiqua" w:hAnsi="Book Antiqua" w:cs="Arial"/>
        </w:rPr>
        <w:t>escape unharmed.  He fled Afghanistan with the help of his maternal uncle.</w:t>
      </w:r>
    </w:p>
    <w:p w:rsidR="00F4027F" w:rsidRPr="00E33863" w:rsidRDefault="00F4027F" w:rsidP="00BF23BB">
      <w:pPr>
        <w:tabs>
          <w:tab w:val="left" w:pos="567"/>
        </w:tabs>
        <w:ind w:left="567" w:hanging="567"/>
        <w:jc w:val="both"/>
        <w:rPr>
          <w:rFonts w:ascii="Book Antiqua" w:hAnsi="Book Antiqua" w:cs="Arial"/>
          <w:i/>
        </w:rPr>
      </w:pPr>
    </w:p>
    <w:p w:rsidR="00F4027F" w:rsidRPr="00E33863" w:rsidRDefault="00F4027F" w:rsidP="00BF23BB">
      <w:pPr>
        <w:tabs>
          <w:tab w:val="left" w:pos="567"/>
        </w:tabs>
        <w:ind w:left="567" w:hanging="567"/>
        <w:jc w:val="both"/>
        <w:rPr>
          <w:rFonts w:ascii="Book Antiqua" w:hAnsi="Book Antiqua" w:cs="Arial"/>
          <w:i/>
        </w:rPr>
      </w:pPr>
      <w:r w:rsidRPr="00E33863">
        <w:rPr>
          <w:rFonts w:ascii="Book Antiqua" w:hAnsi="Book Antiqua" w:cs="Arial"/>
          <w:i/>
        </w:rPr>
        <w:t>The Findings of the First-tier Tribunal</w:t>
      </w:r>
    </w:p>
    <w:p w:rsidR="00F4027F" w:rsidRDefault="00F4027F" w:rsidP="00BF23BB">
      <w:pPr>
        <w:tabs>
          <w:tab w:val="left" w:pos="567"/>
        </w:tabs>
        <w:ind w:left="567" w:hanging="567"/>
        <w:jc w:val="both"/>
        <w:rPr>
          <w:rFonts w:ascii="Book Antiqua" w:hAnsi="Book Antiqua" w:cs="Arial"/>
        </w:rPr>
      </w:pPr>
    </w:p>
    <w:p w:rsidR="00E33863" w:rsidRDefault="00F4027F"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r>
      <w:r w:rsidR="00417179">
        <w:rPr>
          <w:rFonts w:ascii="Book Antiqua" w:hAnsi="Book Antiqua" w:cs="Arial"/>
        </w:rPr>
        <w:t xml:space="preserve">The judge heard evidence from the Appellant. </w:t>
      </w:r>
      <w:r w:rsidR="00E33863">
        <w:rPr>
          <w:rFonts w:ascii="Book Antiqua" w:hAnsi="Book Antiqua" w:cs="Arial"/>
        </w:rPr>
        <w:t>Whilst the judge had misgivings about aspects of the</w:t>
      </w:r>
      <w:r w:rsidR="009540A2">
        <w:rPr>
          <w:rFonts w:ascii="Book Antiqua" w:hAnsi="Book Antiqua" w:cs="Arial"/>
        </w:rPr>
        <w:t xml:space="preserve"> Appellant’s </w:t>
      </w:r>
      <w:r w:rsidR="00E33863">
        <w:rPr>
          <w:rFonts w:ascii="Book Antiqua" w:hAnsi="Book Antiqua" w:cs="Arial"/>
        </w:rPr>
        <w:t xml:space="preserve">claim, </w:t>
      </w:r>
      <w:r w:rsidR="00505195">
        <w:rPr>
          <w:rFonts w:ascii="Book Antiqua" w:hAnsi="Book Antiqua" w:cs="Arial"/>
        </w:rPr>
        <w:t>he accepted</w:t>
      </w:r>
      <w:r>
        <w:rPr>
          <w:rFonts w:ascii="Book Antiqua" w:hAnsi="Book Antiqua" w:cs="Arial"/>
        </w:rPr>
        <w:t xml:space="preserve"> </w:t>
      </w:r>
      <w:r w:rsidR="009540A2">
        <w:rPr>
          <w:rFonts w:ascii="Book Antiqua" w:hAnsi="Book Antiqua" w:cs="Arial"/>
        </w:rPr>
        <w:t xml:space="preserve">his </w:t>
      </w:r>
      <w:r>
        <w:rPr>
          <w:rFonts w:ascii="Book Antiqua" w:hAnsi="Book Antiqua" w:cs="Arial"/>
        </w:rPr>
        <w:t xml:space="preserve">account about his employment and the threats he received and concluded that he would be at risk on return to his home area of Khunduz.  The judge </w:t>
      </w:r>
      <w:r w:rsidR="00E33863">
        <w:rPr>
          <w:rFonts w:ascii="Book Antiqua" w:hAnsi="Book Antiqua" w:cs="Arial"/>
        </w:rPr>
        <w:t xml:space="preserve">found </w:t>
      </w:r>
      <w:r>
        <w:rPr>
          <w:rFonts w:ascii="Book Antiqua" w:hAnsi="Book Antiqua" w:cs="Arial"/>
        </w:rPr>
        <w:t>that the Appellant was perceived as a “low level collaborator” as a result of his employment</w:t>
      </w:r>
      <w:r w:rsidR="00E33863">
        <w:rPr>
          <w:rFonts w:ascii="Book Antiqua" w:hAnsi="Book Antiqua" w:cs="Arial"/>
        </w:rPr>
        <w:t xml:space="preserve">. </w:t>
      </w:r>
      <w:r>
        <w:rPr>
          <w:rFonts w:ascii="Book Antiqua" w:hAnsi="Book Antiqua" w:cs="Arial"/>
        </w:rPr>
        <w:t xml:space="preserve"> </w:t>
      </w:r>
    </w:p>
    <w:p w:rsidR="00E33863" w:rsidRDefault="00E33863" w:rsidP="00BF23BB">
      <w:pPr>
        <w:tabs>
          <w:tab w:val="left" w:pos="567"/>
        </w:tabs>
        <w:ind w:left="567" w:hanging="567"/>
        <w:jc w:val="both"/>
        <w:rPr>
          <w:rFonts w:ascii="Book Antiqua" w:hAnsi="Book Antiqua" w:cs="Arial"/>
        </w:rPr>
      </w:pPr>
    </w:p>
    <w:p w:rsidR="00AB5A05" w:rsidRDefault="00F4027F" w:rsidP="00BF23BB">
      <w:pPr>
        <w:tabs>
          <w:tab w:val="left" w:pos="567"/>
        </w:tabs>
        <w:ind w:left="567" w:hanging="567"/>
        <w:jc w:val="both"/>
        <w:rPr>
          <w:rFonts w:ascii="Book Antiqua" w:hAnsi="Book Antiqua" w:cs="Arial"/>
        </w:rPr>
      </w:pPr>
      <w:r>
        <w:rPr>
          <w:rFonts w:ascii="Book Antiqua" w:hAnsi="Book Antiqua" w:cs="Arial"/>
        </w:rPr>
        <w:t xml:space="preserve"> 4.</w:t>
      </w:r>
      <w:r>
        <w:rPr>
          <w:rFonts w:ascii="Book Antiqua" w:hAnsi="Book Antiqua" w:cs="Arial"/>
        </w:rPr>
        <w:tab/>
        <w:t>The judge went on to consider the Appellant’s evidence about what happened to him in Kabul.  The judge did not accept the evidence about the</w:t>
      </w:r>
      <w:r w:rsidR="00E33863">
        <w:rPr>
          <w:rFonts w:ascii="Book Antiqua" w:hAnsi="Book Antiqua" w:cs="Arial"/>
        </w:rPr>
        <w:t xml:space="preserve"> shooting</w:t>
      </w:r>
      <w:r>
        <w:rPr>
          <w:rFonts w:ascii="Book Antiqua" w:hAnsi="Book Antiqua" w:cs="Arial"/>
        </w:rPr>
        <w:t xml:space="preserve"> incident</w:t>
      </w:r>
      <w:r w:rsidR="00E33863">
        <w:rPr>
          <w:rFonts w:ascii="Book Antiqua" w:hAnsi="Book Antiqua" w:cs="Arial"/>
        </w:rPr>
        <w:t xml:space="preserve">. </w:t>
      </w:r>
      <w:r>
        <w:rPr>
          <w:rFonts w:ascii="Book Antiqua" w:hAnsi="Book Antiqua" w:cs="Arial"/>
        </w:rPr>
        <w:t xml:space="preserve"> The judge noted that there was nothing from the Appellant or his friend’s account to link the attack in Kabul with the threats in Kunduz save that the Appellant had no other enemies.  The judge found that this did not exclude other possibilities</w:t>
      </w:r>
      <w:r w:rsidR="00E33863">
        <w:rPr>
          <w:rFonts w:ascii="Book Antiqua" w:hAnsi="Book Antiqua" w:cs="Arial"/>
        </w:rPr>
        <w:t>,</w:t>
      </w:r>
      <w:r>
        <w:rPr>
          <w:rFonts w:ascii="Book Antiqua" w:hAnsi="Book Antiqua" w:cs="Arial"/>
        </w:rPr>
        <w:t xml:space="preserve"> including that the attack may have been targeted at his friend</w:t>
      </w:r>
      <w:r w:rsidR="00E33863">
        <w:rPr>
          <w:rFonts w:ascii="Book Antiqua" w:hAnsi="Book Antiqua" w:cs="Arial"/>
        </w:rPr>
        <w:t xml:space="preserve">. </w:t>
      </w:r>
      <w:r>
        <w:rPr>
          <w:rFonts w:ascii="Book Antiqua" w:hAnsi="Book Antiqua" w:cs="Arial"/>
        </w:rPr>
        <w:t xml:space="preserve">The judge noted that nothing was said by the assailant to link him to the Taliban.  He noted that there was nothing much known about the Appellant’s friend and he did not say very much about himself in his </w:t>
      </w:r>
      <w:r w:rsidR="00E33863">
        <w:rPr>
          <w:rFonts w:ascii="Book Antiqua" w:hAnsi="Book Antiqua" w:cs="Arial"/>
        </w:rPr>
        <w:t xml:space="preserve">witness </w:t>
      </w:r>
      <w:r>
        <w:rPr>
          <w:rFonts w:ascii="Book Antiqua" w:hAnsi="Book Antiqua" w:cs="Arial"/>
        </w:rPr>
        <w:t>statement.</w:t>
      </w:r>
      <w:r w:rsidR="00AB5A05">
        <w:rPr>
          <w:rFonts w:ascii="Book Antiqua" w:hAnsi="Book Antiqua" w:cs="Arial"/>
        </w:rPr>
        <w:t xml:space="preserve">  The judge found that the Appellant might have been caught in a robbery or the incident may have been a case of mistaken identity.  </w:t>
      </w:r>
      <w:r w:rsidR="00E33863">
        <w:rPr>
          <w:rFonts w:ascii="Book Antiqua" w:hAnsi="Book Antiqua" w:cs="Arial"/>
        </w:rPr>
        <w:t xml:space="preserve">He </w:t>
      </w:r>
      <w:r w:rsidR="00AB5A05">
        <w:rPr>
          <w:rFonts w:ascii="Book Antiqua" w:hAnsi="Book Antiqua" w:cs="Arial"/>
        </w:rPr>
        <w:t>may simply have been caught up in general criminal violence</w:t>
      </w:r>
      <w:r w:rsidR="00E33863">
        <w:rPr>
          <w:rFonts w:ascii="Book Antiqua" w:hAnsi="Book Antiqua" w:cs="Arial"/>
        </w:rPr>
        <w:t>, according to the judge</w:t>
      </w:r>
      <w:r w:rsidR="00AB5A05">
        <w:rPr>
          <w:rFonts w:ascii="Book Antiqua" w:hAnsi="Book Antiqua" w:cs="Arial"/>
        </w:rPr>
        <w:t xml:space="preserve">.  The judge </w:t>
      </w:r>
      <w:r w:rsidR="007E6320">
        <w:rPr>
          <w:rFonts w:ascii="Book Antiqua" w:hAnsi="Book Antiqua" w:cs="Arial"/>
        </w:rPr>
        <w:t>considered</w:t>
      </w:r>
      <w:r w:rsidR="00AB5A05">
        <w:rPr>
          <w:rFonts w:ascii="Book Antiqua" w:hAnsi="Book Antiqua" w:cs="Arial"/>
        </w:rPr>
        <w:t xml:space="preserve"> a letter that the Appellant submitted in support of his evidence which purported to be from the police.  The letter recounted that the incident occurred in July 2016.  The judge noted that this was after the Appellant left Afghanistan.  The date was translated by the court interpreter as 17</w:t>
      </w:r>
      <w:r w:rsidR="00E33863">
        <w:rPr>
          <w:rFonts w:ascii="Book Antiqua" w:hAnsi="Book Antiqua" w:cs="Arial"/>
        </w:rPr>
        <w:t xml:space="preserve"> </w:t>
      </w:r>
      <w:r w:rsidR="00AB5A05">
        <w:rPr>
          <w:rFonts w:ascii="Book Antiqua" w:hAnsi="Book Antiqua" w:cs="Arial"/>
        </w:rPr>
        <w:t xml:space="preserve">or 18 August 2016 which did not assist the Appellant.  The judge concluded that the letter was unreliable and undermined the Appellant’s account that the incident occurred.  The judge concluded that the evidence </w:t>
      </w:r>
      <w:r w:rsidR="00AB5A05">
        <w:rPr>
          <w:rFonts w:ascii="Book Antiqua" w:hAnsi="Book Antiqua" w:cs="Arial"/>
        </w:rPr>
        <w:lastRenderedPageBreak/>
        <w:t>from the Appellant’s friend and photographs of his injuries added “little probative value</w:t>
      </w:r>
      <w:r w:rsidR="00E33863">
        <w:rPr>
          <w:rFonts w:ascii="Book Antiqua" w:hAnsi="Book Antiqua" w:cs="Arial"/>
        </w:rPr>
        <w:t xml:space="preserve">…” when considered in the </w:t>
      </w:r>
      <w:r w:rsidR="00AB5A05">
        <w:rPr>
          <w:rFonts w:ascii="Book Antiqua" w:hAnsi="Book Antiqua" w:cs="Arial"/>
        </w:rPr>
        <w:t>round</w:t>
      </w:r>
      <w:r w:rsidR="00E33863">
        <w:rPr>
          <w:rFonts w:ascii="Book Antiqua" w:hAnsi="Book Antiqua" w:cs="Arial"/>
        </w:rPr>
        <w:t xml:space="preserve">. </w:t>
      </w:r>
    </w:p>
    <w:p w:rsidR="00AB5A05" w:rsidRDefault="00AB5A05" w:rsidP="00BF23BB">
      <w:pPr>
        <w:tabs>
          <w:tab w:val="left" w:pos="567"/>
        </w:tabs>
        <w:ind w:left="567" w:hanging="567"/>
        <w:jc w:val="both"/>
        <w:rPr>
          <w:rFonts w:ascii="Book Antiqua" w:hAnsi="Book Antiqua" w:cs="Arial"/>
        </w:rPr>
      </w:pPr>
    </w:p>
    <w:p w:rsidR="00E33863" w:rsidRDefault="00AB5A05"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E33863">
        <w:rPr>
          <w:rFonts w:ascii="Book Antiqua" w:hAnsi="Book Antiqua" w:cs="Arial"/>
        </w:rPr>
        <w:t xml:space="preserve">The judge did not accept the Appellant’s evidence that he was pursued to Kabul by the Taliban.  The judge found at [29] that the Appellant would not </w:t>
      </w:r>
      <w:r w:rsidR="007E6320">
        <w:rPr>
          <w:rFonts w:ascii="Book Antiqua" w:hAnsi="Book Antiqua" w:cs="Arial"/>
        </w:rPr>
        <w:t>be</w:t>
      </w:r>
      <w:r w:rsidR="00E33863">
        <w:rPr>
          <w:rFonts w:ascii="Book Antiqua" w:hAnsi="Book Antiqua" w:cs="Arial"/>
        </w:rPr>
        <w:t xml:space="preserve"> sufficiently high profile or of sufficient adverse interest to cause the Taliban “to pursue [the Appellant] all the way to Kabul”.  Having found that the Appellant would not be at risk from the Taliban should he relocate to Kabul, the judge went on to consider whether relocation would be unreasonable or unduly harsh.</w:t>
      </w:r>
    </w:p>
    <w:p w:rsidR="00E33863" w:rsidRDefault="00E33863" w:rsidP="00BF23BB">
      <w:pPr>
        <w:tabs>
          <w:tab w:val="left" w:pos="567"/>
        </w:tabs>
        <w:ind w:left="567" w:hanging="567"/>
        <w:jc w:val="both"/>
        <w:rPr>
          <w:rFonts w:ascii="Book Antiqua" w:hAnsi="Book Antiqua" w:cs="Arial"/>
        </w:rPr>
      </w:pPr>
    </w:p>
    <w:p w:rsidR="00A41BF7" w:rsidRDefault="00E33863" w:rsidP="00BF23BB">
      <w:pPr>
        <w:tabs>
          <w:tab w:val="left" w:pos="567"/>
        </w:tabs>
        <w:ind w:left="567" w:hanging="567"/>
        <w:jc w:val="both"/>
        <w:rPr>
          <w:rFonts w:ascii="Book Antiqua" w:hAnsi="Book Antiqua" w:cs="Arial"/>
        </w:rPr>
      </w:pPr>
      <w:r>
        <w:rPr>
          <w:rFonts w:ascii="Book Antiqua" w:hAnsi="Book Antiqua" w:cs="Arial"/>
        </w:rPr>
        <w:t xml:space="preserve"> </w:t>
      </w:r>
      <w:r w:rsidR="00A41BF7">
        <w:rPr>
          <w:rFonts w:ascii="Book Antiqua" w:hAnsi="Book Antiqua" w:cs="Arial"/>
        </w:rPr>
        <w:t>6.</w:t>
      </w:r>
      <w:r w:rsidR="00A41BF7">
        <w:rPr>
          <w:rFonts w:ascii="Book Antiqua" w:hAnsi="Book Antiqua" w:cs="Arial"/>
        </w:rPr>
        <w:tab/>
        <w:t>The judge said as follows:</w:t>
      </w:r>
    </w:p>
    <w:p w:rsidR="00DD4B5B" w:rsidRPr="00AD1D90" w:rsidRDefault="00A41BF7" w:rsidP="00AD1D90">
      <w:pPr>
        <w:tabs>
          <w:tab w:val="left" w:pos="567"/>
        </w:tabs>
        <w:spacing w:before="120" w:after="120"/>
        <w:ind w:left="1701" w:right="567" w:hanging="567"/>
        <w:jc w:val="both"/>
        <w:rPr>
          <w:rFonts w:ascii="Book Antiqua" w:hAnsi="Book Antiqua" w:cs="Arial"/>
          <w:sz w:val="22"/>
        </w:rPr>
      </w:pPr>
      <w:r w:rsidRPr="00AD1D90">
        <w:rPr>
          <w:rFonts w:ascii="Book Antiqua" w:hAnsi="Book Antiqua" w:cs="Arial"/>
          <w:sz w:val="22"/>
        </w:rPr>
        <w:t>“30.</w:t>
      </w:r>
      <w:r w:rsidR="00DD4B5B" w:rsidRPr="00AD1D90">
        <w:rPr>
          <w:rFonts w:ascii="Book Antiqua" w:hAnsi="Book Antiqua" w:cs="Arial"/>
          <w:sz w:val="22"/>
        </w:rPr>
        <w:tab/>
      </w:r>
      <w:r w:rsidRPr="00AD1D90">
        <w:rPr>
          <w:rFonts w:ascii="Book Antiqua" w:hAnsi="Book Antiqua" w:cs="Arial"/>
          <w:sz w:val="22"/>
        </w:rPr>
        <w:t xml:space="preserve">I now consider whether it would be unreasonable or unduly harsh for the Appellant to return to Kabul.  I take </w:t>
      </w:r>
      <w:r w:rsidR="00DD4B5B" w:rsidRPr="00AD1D90">
        <w:rPr>
          <w:rFonts w:ascii="Book Antiqua" w:hAnsi="Book Antiqua" w:cs="Arial"/>
          <w:sz w:val="22"/>
        </w:rPr>
        <w:t>cognisance</w:t>
      </w:r>
      <w:r w:rsidRPr="00AD1D90">
        <w:rPr>
          <w:rFonts w:ascii="Book Antiqua" w:hAnsi="Book Antiqua" w:cs="Arial"/>
          <w:sz w:val="22"/>
        </w:rPr>
        <w:t xml:space="preserve"> of the country information before </w:t>
      </w:r>
      <w:r w:rsidR="00505195" w:rsidRPr="00AD1D90">
        <w:rPr>
          <w:rFonts w:ascii="Book Antiqua" w:hAnsi="Book Antiqua" w:cs="Arial"/>
          <w:sz w:val="22"/>
        </w:rPr>
        <w:t>me that</w:t>
      </w:r>
      <w:r w:rsidRPr="00AD1D90">
        <w:rPr>
          <w:rFonts w:ascii="Book Antiqua" w:hAnsi="Book Antiqua" w:cs="Arial"/>
          <w:sz w:val="22"/>
        </w:rPr>
        <w:t xml:space="preserve"> in general, those who are perceived to have a low profile would be able to relocate.  I find that there are no specific individual circumstances that could lead to continued targeting in the Appellant’s case.  The Appellant has stepped down from his position in that he no longer works for the company in question and has moved away from the Taliban stronghold in Khunduz.  He would be considered to be low profile and would no longer find himself in an area under insurgents</w:t>
      </w:r>
      <w:r w:rsidR="001B78FC" w:rsidRPr="00AD1D90">
        <w:rPr>
          <w:rFonts w:ascii="Book Antiqua" w:hAnsi="Book Antiqua" w:cs="Arial"/>
          <w:sz w:val="22"/>
        </w:rPr>
        <w:t>’</w:t>
      </w:r>
      <w:r w:rsidRPr="00AD1D90">
        <w:rPr>
          <w:rFonts w:ascii="Book Antiqua" w:hAnsi="Book Antiqua" w:cs="Arial"/>
          <w:sz w:val="22"/>
        </w:rPr>
        <w:t xml:space="preserve"> sustained control or strong influence.  I find that there would not be a real risk of harm for the Appellant in the safer areas of Afghanistan which are not under the insurgents</w:t>
      </w:r>
      <w:r w:rsidR="001B78FC" w:rsidRPr="00AD1D90">
        <w:rPr>
          <w:rFonts w:ascii="Book Antiqua" w:hAnsi="Book Antiqua" w:cs="Arial"/>
          <w:sz w:val="22"/>
        </w:rPr>
        <w:t>’</w:t>
      </w:r>
      <w:r w:rsidRPr="00AD1D90">
        <w:rPr>
          <w:rFonts w:ascii="Book Antiqua" w:hAnsi="Book Antiqua" w:cs="Arial"/>
          <w:sz w:val="22"/>
        </w:rPr>
        <w:t xml:space="preserve"> control such as Kabul.  He is a young, healthy adult and does not need to return to the family there.  There would be no reason for the Taliban to continue to target him in light of his evidence that the Taliban knew exactly what his work involved; i.e. physical transportation of equipment rather than active intelligence seeking or spying.  If the Appellant chose to pursue similar work in the future in Kabul, there are certain steps to avoid further targeting, such as concealing his employment from his family, not travel with documentation </w:t>
      </w:r>
      <w:r w:rsidR="001B78FC" w:rsidRPr="00AD1D90">
        <w:rPr>
          <w:rFonts w:ascii="Book Antiqua" w:hAnsi="Book Antiqua" w:cs="Arial"/>
          <w:sz w:val="22"/>
        </w:rPr>
        <w:t>that would identif</w:t>
      </w:r>
      <w:r w:rsidRPr="00AD1D90">
        <w:rPr>
          <w:rFonts w:ascii="Book Antiqua" w:hAnsi="Book Antiqua" w:cs="Arial"/>
          <w:sz w:val="22"/>
        </w:rPr>
        <w:t>y them as an employee of an international organisation and deleting contact information from his phone.  I find it would not be unreasonable for him to take those steps.</w:t>
      </w:r>
    </w:p>
    <w:p w:rsidR="00A41BF7" w:rsidRPr="00AD1D90" w:rsidRDefault="00A41BF7" w:rsidP="00AD1D90">
      <w:pPr>
        <w:tabs>
          <w:tab w:val="left" w:pos="567"/>
        </w:tabs>
        <w:spacing w:before="120" w:after="120"/>
        <w:ind w:left="1701" w:right="567" w:hanging="567"/>
        <w:jc w:val="both"/>
        <w:rPr>
          <w:rFonts w:ascii="Book Antiqua" w:hAnsi="Book Antiqua" w:cs="Arial"/>
          <w:sz w:val="22"/>
        </w:rPr>
      </w:pPr>
      <w:r w:rsidRPr="00AD1D90">
        <w:rPr>
          <w:rFonts w:ascii="Book Antiqua" w:hAnsi="Book Antiqua" w:cs="Arial"/>
          <w:sz w:val="22"/>
        </w:rPr>
        <w:t>31.</w:t>
      </w:r>
      <w:r w:rsidR="00DD4B5B" w:rsidRPr="00AD1D90">
        <w:rPr>
          <w:rFonts w:ascii="Book Antiqua" w:hAnsi="Book Antiqua" w:cs="Arial"/>
          <w:sz w:val="22"/>
        </w:rPr>
        <w:tab/>
      </w:r>
      <w:r w:rsidRPr="00AD1D90">
        <w:rPr>
          <w:rFonts w:ascii="Book Antiqua" w:hAnsi="Book Antiqua" w:cs="Arial"/>
          <w:sz w:val="22"/>
        </w:rPr>
        <w:t>I accordingly find that although there may have been a real risk for the Appellant in his home area, he can safely relocate to Kabul</w:t>
      </w:r>
      <w:r w:rsidR="00DD4B5B" w:rsidRPr="00AD1D90">
        <w:rPr>
          <w:rFonts w:ascii="Book Antiqua" w:hAnsi="Book Antiqua" w:cs="Arial"/>
          <w:sz w:val="22"/>
        </w:rPr>
        <w:t>.  In all the circumstances, I find there is no reasonable degree of likelihood of persecution for the Appellant in Kabul and no real risk of serious harm there.  I find it would not be unduly harsh for him to relocate to Kabul given that he is a young, healthy male who is resourceful and has a sound education and a good level of work experience.”</w:t>
      </w:r>
    </w:p>
    <w:p w:rsidR="00DD4B5B" w:rsidRPr="00E33863" w:rsidRDefault="00DD4B5B" w:rsidP="00BF23BB">
      <w:pPr>
        <w:tabs>
          <w:tab w:val="left" w:pos="567"/>
        </w:tabs>
        <w:ind w:left="567" w:hanging="567"/>
        <w:jc w:val="both"/>
        <w:rPr>
          <w:rFonts w:ascii="Book Antiqua" w:hAnsi="Book Antiqua" w:cs="Arial"/>
          <w:i/>
        </w:rPr>
      </w:pPr>
      <w:r w:rsidRPr="00E33863">
        <w:rPr>
          <w:rFonts w:ascii="Book Antiqua" w:hAnsi="Book Antiqua" w:cs="Arial"/>
          <w:i/>
        </w:rPr>
        <w:t>The Ground</w:t>
      </w:r>
      <w:r w:rsidR="00E33863" w:rsidRPr="00E33863">
        <w:rPr>
          <w:rFonts w:ascii="Book Antiqua" w:hAnsi="Book Antiqua" w:cs="Arial"/>
          <w:i/>
        </w:rPr>
        <w:t>s</w:t>
      </w:r>
      <w:r w:rsidRPr="00E33863">
        <w:rPr>
          <w:rFonts w:ascii="Book Antiqua" w:hAnsi="Book Antiqua" w:cs="Arial"/>
          <w:i/>
        </w:rPr>
        <w:t xml:space="preserve"> Seeking Permission to Appeal</w:t>
      </w:r>
    </w:p>
    <w:p w:rsidR="00DD4B5B" w:rsidRDefault="00DD4B5B" w:rsidP="00BF23BB">
      <w:pPr>
        <w:tabs>
          <w:tab w:val="left" w:pos="567"/>
        </w:tabs>
        <w:ind w:left="567" w:hanging="567"/>
        <w:jc w:val="both"/>
        <w:rPr>
          <w:rFonts w:ascii="Book Antiqua" w:hAnsi="Book Antiqua" w:cs="Arial"/>
        </w:rPr>
      </w:pPr>
    </w:p>
    <w:p w:rsidR="001B78FC" w:rsidRDefault="006C0042" w:rsidP="00BF23BB">
      <w:pPr>
        <w:tabs>
          <w:tab w:val="left" w:pos="567"/>
        </w:tabs>
        <w:ind w:left="567" w:hanging="567"/>
        <w:jc w:val="both"/>
        <w:rPr>
          <w:rFonts w:ascii="Book Antiqua" w:hAnsi="Book Antiqua" w:cs="Arial"/>
        </w:rPr>
      </w:pPr>
      <w:r>
        <w:rPr>
          <w:rFonts w:ascii="Book Antiqua" w:hAnsi="Book Antiqua" w:cs="Arial"/>
        </w:rPr>
        <w:t>7</w:t>
      </w:r>
      <w:r w:rsidR="00DD4B5B">
        <w:rPr>
          <w:rFonts w:ascii="Book Antiqua" w:hAnsi="Book Antiqua" w:cs="Arial"/>
        </w:rPr>
        <w:t>.</w:t>
      </w:r>
      <w:r w:rsidR="00DD4B5B">
        <w:rPr>
          <w:rFonts w:ascii="Book Antiqua" w:hAnsi="Book Antiqua" w:cs="Arial"/>
        </w:rPr>
        <w:tab/>
      </w:r>
      <w:r>
        <w:rPr>
          <w:rFonts w:ascii="Book Antiqua" w:hAnsi="Book Antiqua" w:cs="Arial"/>
        </w:rPr>
        <w:t>The grounds</w:t>
      </w:r>
      <w:r w:rsidR="00E33863">
        <w:rPr>
          <w:rFonts w:ascii="Book Antiqua" w:hAnsi="Book Antiqua" w:cs="Arial"/>
        </w:rPr>
        <w:t xml:space="preserve"> seeking permission </w:t>
      </w:r>
      <w:r>
        <w:rPr>
          <w:rFonts w:ascii="Book Antiqua" w:hAnsi="Book Antiqua" w:cs="Arial"/>
        </w:rPr>
        <w:t>submit that the</w:t>
      </w:r>
      <w:r w:rsidR="00E33863">
        <w:rPr>
          <w:rFonts w:ascii="Book Antiqua" w:hAnsi="Book Antiqua" w:cs="Arial"/>
        </w:rPr>
        <w:t xml:space="preserve"> judge’s approach to assessing the Appellant’s </w:t>
      </w:r>
      <w:r>
        <w:rPr>
          <w:rFonts w:ascii="Book Antiqua" w:hAnsi="Book Antiqua" w:cs="Arial"/>
        </w:rPr>
        <w:t xml:space="preserve">evidence was inadequate. </w:t>
      </w:r>
      <w:r w:rsidR="00E33863">
        <w:rPr>
          <w:rFonts w:ascii="Book Antiqua" w:hAnsi="Book Antiqua" w:cs="Arial"/>
        </w:rPr>
        <w:t xml:space="preserve">The </w:t>
      </w:r>
      <w:r>
        <w:rPr>
          <w:rFonts w:ascii="Book Antiqua" w:hAnsi="Book Antiqua" w:cs="Arial"/>
        </w:rPr>
        <w:t xml:space="preserve">judge failed to adequately consider the Appellant’s evidence in relation to Article 15(c).  </w:t>
      </w:r>
      <w:r w:rsidR="00E33863">
        <w:rPr>
          <w:rFonts w:ascii="Book Antiqua" w:hAnsi="Book Antiqua" w:cs="Arial"/>
        </w:rPr>
        <w:t xml:space="preserve">He </w:t>
      </w:r>
      <w:r>
        <w:rPr>
          <w:rFonts w:ascii="Book Antiqua" w:hAnsi="Book Antiqua" w:cs="Arial"/>
        </w:rPr>
        <w:t>failed to consider points raised in the skeleton argument</w:t>
      </w:r>
      <w:r w:rsidR="00E33863">
        <w:rPr>
          <w:rFonts w:ascii="Book Antiqua" w:hAnsi="Book Antiqua" w:cs="Arial"/>
        </w:rPr>
        <w:t xml:space="preserve"> and did not </w:t>
      </w:r>
      <w:r>
        <w:rPr>
          <w:rFonts w:ascii="Book Antiqua" w:hAnsi="Book Antiqua" w:cs="Arial"/>
        </w:rPr>
        <w:t>take into account that the country situation in Afghanistan drastically deteriorated</w:t>
      </w:r>
      <w:r w:rsidR="0058013B">
        <w:rPr>
          <w:rFonts w:ascii="Book Antiqua" w:hAnsi="Book Antiqua" w:cs="Arial"/>
        </w:rPr>
        <w:t xml:space="preserve"> and re</w:t>
      </w:r>
      <w:r>
        <w:rPr>
          <w:rFonts w:ascii="Book Antiqua" w:hAnsi="Book Antiqua" w:cs="Arial"/>
        </w:rPr>
        <w:t xml:space="preserve">location would be unduly harsh.  There was a significant quantity of objective evidence submitted to support that the situation </w:t>
      </w:r>
      <w:r>
        <w:rPr>
          <w:rFonts w:ascii="Book Antiqua" w:hAnsi="Book Antiqua" w:cs="Arial"/>
        </w:rPr>
        <w:lastRenderedPageBreak/>
        <w:t xml:space="preserve">in Kabul has deteriorated and is sufficiently volatile to engage Article 15(c).  The judge failed to place any weight on or consider this evidence.  </w:t>
      </w:r>
    </w:p>
    <w:p w:rsidR="001B78FC" w:rsidRDefault="001B78FC" w:rsidP="00BF23BB">
      <w:pPr>
        <w:tabs>
          <w:tab w:val="left" w:pos="567"/>
        </w:tabs>
        <w:ind w:left="567" w:hanging="567"/>
        <w:jc w:val="both"/>
        <w:rPr>
          <w:rFonts w:ascii="Book Antiqua" w:hAnsi="Book Antiqua" w:cs="Arial"/>
        </w:rPr>
      </w:pPr>
    </w:p>
    <w:p w:rsidR="00DD4B5B" w:rsidRDefault="001B78FC"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006C0042">
        <w:rPr>
          <w:rFonts w:ascii="Book Antiqua" w:hAnsi="Book Antiqua" w:cs="Arial"/>
        </w:rPr>
        <w:t xml:space="preserve">At the start of the hearing before me Mr Bandegani accepted that </w:t>
      </w:r>
      <w:r w:rsidR="00417179">
        <w:rPr>
          <w:rFonts w:ascii="Book Antiqua" w:hAnsi="Book Antiqua" w:cs="Arial"/>
        </w:rPr>
        <w:t xml:space="preserve">the appeal </w:t>
      </w:r>
      <w:r w:rsidR="006C0042">
        <w:rPr>
          <w:rFonts w:ascii="Book Antiqua" w:hAnsi="Book Antiqua" w:cs="Arial"/>
        </w:rPr>
        <w:t xml:space="preserve">could not succeed under Article 15(c) applying </w:t>
      </w:r>
      <w:r w:rsidR="006C0042" w:rsidRPr="001B376E">
        <w:rPr>
          <w:rFonts w:ascii="Book Antiqua" w:hAnsi="Book Antiqua" w:cs="Arial"/>
          <w:i/>
        </w:rPr>
        <w:t>AK (applying Article 15(c)) Afghanistan C</w:t>
      </w:r>
      <w:r w:rsidRPr="001B376E">
        <w:rPr>
          <w:rFonts w:ascii="Book Antiqua" w:hAnsi="Book Antiqua" w:cs="Arial"/>
          <w:i/>
        </w:rPr>
        <w:t>G</w:t>
      </w:r>
      <w:r w:rsidR="006C0042" w:rsidRPr="001B376E">
        <w:rPr>
          <w:rFonts w:ascii="Book Antiqua" w:hAnsi="Book Antiqua" w:cs="Arial"/>
          <w:i/>
        </w:rPr>
        <w:t xml:space="preserve"> [2012] UKUT 163.</w:t>
      </w:r>
      <w:r w:rsidR="006C0042">
        <w:rPr>
          <w:rFonts w:ascii="Book Antiqua" w:hAnsi="Book Antiqua" w:cs="Arial"/>
        </w:rPr>
        <w:t xml:space="preserve">  </w:t>
      </w:r>
      <w:r w:rsidR="0058013B">
        <w:rPr>
          <w:rFonts w:ascii="Book Antiqua" w:hAnsi="Book Antiqua" w:cs="Arial"/>
        </w:rPr>
        <w:t xml:space="preserve">Mr Bandegani relied on his skeleton argument.  He argued that the </w:t>
      </w:r>
      <w:r w:rsidR="006C0042">
        <w:rPr>
          <w:rFonts w:ascii="Book Antiqua" w:hAnsi="Book Antiqua" w:cs="Arial"/>
        </w:rPr>
        <w:t xml:space="preserve">judge </w:t>
      </w:r>
      <w:r w:rsidR="00417179">
        <w:rPr>
          <w:rFonts w:ascii="Book Antiqua" w:hAnsi="Book Antiqua" w:cs="Arial"/>
        </w:rPr>
        <w:t xml:space="preserve">erred in his assessment of whether relocation </w:t>
      </w:r>
      <w:r w:rsidR="006D6B97">
        <w:rPr>
          <w:rFonts w:ascii="Book Antiqua" w:hAnsi="Book Antiqua" w:cs="Arial"/>
        </w:rPr>
        <w:t xml:space="preserve">to Kabul </w:t>
      </w:r>
      <w:r w:rsidR="00417179">
        <w:rPr>
          <w:rFonts w:ascii="Book Antiqua" w:hAnsi="Book Antiqua" w:cs="Arial"/>
        </w:rPr>
        <w:t>was reasonable</w:t>
      </w:r>
      <w:r w:rsidR="006D6B97">
        <w:rPr>
          <w:rFonts w:ascii="Book Antiqua" w:hAnsi="Book Antiqua" w:cs="Arial"/>
        </w:rPr>
        <w:t xml:space="preserve"> having failed to consider </w:t>
      </w:r>
      <w:r w:rsidR="006C0042">
        <w:rPr>
          <w:rFonts w:ascii="Book Antiqua" w:hAnsi="Book Antiqua" w:cs="Arial"/>
        </w:rPr>
        <w:t>“all the circumstances” adopting an “individualised, holistic assessment</w:t>
      </w:r>
      <w:r w:rsidR="006C0042" w:rsidRPr="003F1F9B">
        <w:rPr>
          <w:rFonts w:ascii="Book Antiqua" w:hAnsi="Book Antiqua" w:cs="Arial"/>
        </w:rPr>
        <w:t xml:space="preserve">” per </w:t>
      </w:r>
      <w:r w:rsidR="006C0042" w:rsidRPr="001B376E">
        <w:rPr>
          <w:rFonts w:ascii="Book Antiqua" w:hAnsi="Book Antiqua" w:cs="Arial"/>
          <w:i/>
        </w:rPr>
        <w:t>Januzi v Secretary of State for the Home Department and Ors</w:t>
      </w:r>
      <w:r w:rsidR="006C0042" w:rsidRPr="001B376E">
        <w:rPr>
          <w:rFonts w:ascii="Book Antiqua" w:hAnsi="Book Antiqua" w:cs="Arial"/>
        </w:rPr>
        <w:t xml:space="preserve"> </w:t>
      </w:r>
      <w:r w:rsidR="006C0042" w:rsidRPr="001B376E">
        <w:rPr>
          <w:rFonts w:ascii="Book Antiqua" w:hAnsi="Book Antiqua" w:cs="Arial"/>
          <w:i/>
        </w:rPr>
        <w:t>[2006]</w:t>
      </w:r>
      <w:r w:rsidR="006C0042">
        <w:rPr>
          <w:rFonts w:ascii="Book Antiqua" w:hAnsi="Book Antiqua" w:cs="Arial"/>
        </w:rPr>
        <w:t xml:space="preserve"> UKHL 5 and </w:t>
      </w:r>
      <w:r w:rsidR="006C0042" w:rsidRPr="001B376E">
        <w:rPr>
          <w:rFonts w:ascii="Book Antiqua" w:hAnsi="Book Antiqua" w:cs="Arial"/>
          <w:i/>
        </w:rPr>
        <w:t xml:space="preserve">Secretary of State for the Home Department </w:t>
      </w:r>
      <w:r w:rsidR="00BF7F4D" w:rsidRPr="001B376E">
        <w:rPr>
          <w:rFonts w:ascii="Book Antiqua" w:hAnsi="Book Antiqua" w:cs="Arial"/>
          <w:i/>
        </w:rPr>
        <w:t>v</w:t>
      </w:r>
      <w:r w:rsidR="006C0042" w:rsidRPr="001B376E">
        <w:rPr>
          <w:rFonts w:ascii="Book Antiqua" w:hAnsi="Book Antiqua" w:cs="Arial"/>
          <w:i/>
        </w:rPr>
        <w:t xml:space="preserve"> AH (Sudan) and Ors</w:t>
      </w:r>
      <w:r w:rsidR="006C0042" w:rsidRPr="00D47EAB">
        <w:rPr>
          <w:rFonts w:ascii="Book Antiqua" w:hAnsi="Book Antiqua" w:cs="Arial"/>
        </w:rPr>
        <w:t xml:space="preserve"> (FC) </w:t>
      </w:r>
      <w:r w:rsidR="006C0042" w:rsidRPr="001B376E">
        <w:rPr>
          <w:rFonts w:ascii="Book Antiqua" w:hAnsi="Book Antiqua" w:cs="Arial"/>
          <w:i/>
        </w:rPr>
        <w:t>[2007] UKHL 49,</w:t>
      </w:r>
      <w:r w:rsidR="006C0042">
        <w:rPr>
          <w:rFonts w:ascii="Book Antiqua" w:hAnsi="Book Antiqua" w:cs="Arial"/>
        </w:rPr>
        <w:t xml:space="preserve"> and/or the First-tier Tribunal perpetrated a material error of law by failing to take into account as part of that assessment a large amount of relevant country material which demonstrated</w:t>
      </w:r>
      <w:r w:rsidR="00D47EAB">
        <w:rPr>
          <w:rFonts w:ascii="Book Antiqua" w:hAnsi="Book Antiqua" w:cs="Arial"/>
        </w:rPr>
        <w:t>,</w:t>
      </w:r>
      <w:r w:rsidR="006C0042">
        <w:rPr>
          <w:rFonts w:ascii="Book Antiqua" w:hAnsi="Book Antiqua" w:cs="Arial"/>
        </w:rPr>
        <w:t xml:space="preserve"> inter alia indiscrim</w:t>
      </w:r>
      <w:r w:rsidR="00BF7F4D">
        <w:rPr>
          <w:rFonts w:ascii="Book Antiqua" w:hAnsi="Book Antiqua" w:cs="Arial"/>
        </w:rPr>
        <w:t>in</w:t>
      </w:r>
      <w:r w:rsidR="006C0042">
        <w:rPr>
          <w:rFonts w:ascii="Book Antiqua" w:hAnsi="Book Antiqua" w:cs="Arial"/>
        </w:rPr>
        <w:t>ate violence and degraded socio-economic conditions in Kabul.</w:t>
      </w:r>
    </w:p>
    <w:p w:rsidR="006C0042" w:rsidRDefault="006C0042" w:rsidP="00BF23BB">
      <w:pPr>
        <w:tabs>
          <w:tab w:val="left" w:pos="567"/>
        </w:tabs>
        <w:ind w:left="567" w:hanging="567"/>
        <w:jc w:val="both"/>
        <w:rPr>
          <w:rFonts w:ascii="Book Antiqua" w:hAnsi="Book Antiqua" w:cs="Arial"/>
        </w:rPr>
      </w:pPr>
    </w:p>
    <w:p w:rsidR="006C0042" w:rsidRDefault="00505195"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I raised with Mr Bandegani that the grounds on the face of them challenged the failure of the judge to determine the appeal under Article 15(c).  </w:t>
      </w:r>
      <w:r w:rsidR="006C0042">
        <w:rPr>
          <w:rFonts w:ascii="Book Antiqua" w:hAnsi="Book Antiqua" w:cs="Arial"/>
        </w:rPr>
        <w:t>However</w:t>
      </w:r>
      <w:r w:rsidR="003F1F9B">
        <w:rPr>
          <w:rFonts w:ascii="Book Antiqua" w:hAnsi="Book Antiqua" w:cs="Arial"/>
        </w:rPr>
        <w:t>,</w:t>
      </w:r>
      <w:r w:rsidR="006C0042">
        <w:rPr>
          <w:rFonts w:ascii="Book Antiqua" w:hAnsi="Book Antiqua" w:cs="Arial"/>
        </w:rPr>
        <w:t xml:space="preserve"> Mr Bandegani was able to persuade me that the grounds are sufficiently wide enough to incorporate a challenge to the assessment of reasonableness in the context of relocation</w:t>
      </w:r>
      <w:r w:rsidR="002F6302">
        <w:rPr>
          <w:rFonts w:ascii="Book Antiqua" w:hAnsi="Book Antiqua" w:cs="Arial"/>
        </w:rPr>
        <w:t>.  As a matter of fact</w:t>
      </w:r>
      <w:r w:rsidR="00D47EAB">
        <w:rPr>
          <w:rFonts w:ascii="Book Antiqua" w:hAnsi="Book Antiqua" w:cs="Arial"/>
        </w:rPr>
        <w:t>,</w:t>
      </w:r>
      <w:r w:rsidR="002F6302">
        <w:rPr>
          <w:rFonts w:ascii="Book Antiqua" w:hAnsi="Book Antiqua" w:cs="Arial"/>
        </w:rPr>
        <w:t xml:space="preserve"> the Respondent’s response under Rule 24 of the 2008 Procedure Rules engaged with the issue</w:t>
      </w:r>
      <w:r w:rsidR="0058013B">
        <w:rPr>
          <w:rFonts w:ascii="Book Antiqua" w:hAnsi="Book Antiqua" w:cs="Arial"/>
        </w:rPr>
        <w:t xml:space="preserve"> of relocation and reasonableness. </w:t>
      </w:r>
      <w:r w:rsidR="002F6302">
        <w:rPr>
          <w:rFonts w:ascii="Book Antiqua" w:hAnsi="Book Antiqua" w:cs="Arial"/>
        </w:rPr>
        <w:t>Mr Melvin did not address me on the issue of whether the grounds were sufficiently comprehensive to support a challenge to the judge’s decision in respect of relocation under the Refugee Convention.</w:t>
      </w:r>
    </w:p>
    <w:p w:rsidR="00CB58EA" w:rsidRDefault="00CB58EA" w:rsidP="00BF23BB">
      <w:pPr>
        <w:tabs>
          <w:tab w:val="left" w:pos="567"/>
        </w:tabs>
        <w:ind w:left="567" w:hanging="567"/>
        <w:jc w:val="both"/>
        <w:rPr>
          <w:rFonts w:ascii="Book Antiqua" w:hAnsi="Book Antiqua" w:cs="Arial"/>
        </w:rPr>
      </w:pPr>
    </w:p>
    <w:p w:rsidR="00CB58EA" w:rsidRPr="00CB58EA" w:rsidRDefault="00CB58EA" w:rsidP="00BF23BB">
      <w:pPr>
        <w:tabs>
          <w:tab w:val="left" w:pos="567"/>
        </w:tabs>
        <w:ind w:left="567" w:hanging="567"/>
        <w:jc w:val="both"/>
        <w:rPr>
          <w:rFonts w:ascii="Book Antiqua" w:hAnsi="Book Antiqua" w:cs="Arial"/>
          <w:i/>
        </w:rPr>
      </w:pPr>
      <w:r>
        <w:rPr>
          <w:rFonts w:ascii="Book Antiqua" w:hAnsi="Book Antiqua" w:cs="Arial"/>
          <w:i/>
        </w:rPr>
        <w:t>Relocation</w:t>
      </w:r>
    </w:p>
    <w:p w:rsidR="002F6302" w:rsidRDefault="002F6302" w:rsidP="00BF23BB">
      <w:pPr>
        <w:tabs>
          <w:tab w:val="left" w:pos="567"/>
        </w:tabs>
        <w:ind w:left="567" w:hanging="567"/>
        <w:jc w:val="both"/>
        <w:rPr>
          <w:rFonts w:ascii="Book Antiqua" w:hAnsi="Book Antiqua" w:cs="Arial"/>
        </w:rPr>
      </w:pPr>
    </w:p>
    <w:p w:rsidR="002F6302" w:rsidRDefault="00505195" w:rsidP="00BF23BB">
      <w:pPr>
        <w:tabs>
          <w:tab w:val="left" w:pos="567"/>
        </w:tabs>
        <w:ind w:left="567" w:hanging="567"/>
        <w:jc w:val="both"/>
        <w:rPr>
          <w:rFonts w:ascii="Book Antiqua" w:hAnsi="Book Antiqua" w:cs="Arial"/>
        </w:rPr>
      </w:pPr>
      <w:r>
        <w:rPr>
          <w:rFonts w:ascii="Book Antiqua" w:hAnsi="Book Antiqua" w:cs="Arial"/>
        </w:rPr>
        <w:t>10</w:t>
      </w:r>
      <w:r w:rsidR="002F6302">
        <w:rPr>
          <w:rFonts w:ascii="Book Antiqua" w:hAnsi="Book Antiqua" w:cs="Arial"/>
        </w:rPr>
        <w:t>.</w:t>
      </w:r>
      <w:r w:rsidR="002F6302">
        <w:rPr>
          <w:rFonts w:ascii="Book Antiqua" w:hAnsi="Book Antiqua" w:cs="Arial"/>
        </w:rPr>
        <w:tab/>
        <w:t xml:space="preserve">I remind myself what the House of Lords said in </w:t>
      </w:r>
      <w:r w:rsidR="002F6302" w:rsidRPr="001B376E">
        <w:rPr>
          <w:rFonts w:ascii="Book Antiqua" w:hAnsi="Book Antiqua" w:cs="Arial"/>
          <w:i/>
        </w:rPr>
        <w:t>AH</w:t>
      </w:r>
      <w:r w:rsidR="002F6302">
        <w:rPr>
          <w:rFonts w:ascii="Book Antiqua" w:hAnsi="Book Antiqua" w:cs="Arial"/>
        </w:rPr>
        <w:t xml:space="preserve"> </w:t>
      </w:r>
      <w:r w:rsidR="002F6302" w:rsidRPr="001B376E">
        <w:rPr>
          <w:rFonts w:ascii="Book Antiqua" w:hAnsi="Book Antiqua" w:cs="Arial"/>
          <w:i/>
        </w:rPr>
        <w:t>(Sudan)</w:t>
      </w:r>
      <w:r w:rsidR="002F6302">
        <w:rPr>
          <w:rFonts w:ascii="Book Antiqua" w:hAnsi="Book Antiqua" w:cs="Arial"/>
        </w:rPr>
        <w:t xml:space="preserve"> at paragraph 5</w:t>
      </w:r>
      <w:r w:rsidR="0058013B">
        <w:rPr>
          <w:rFonts w:ascii="Book Antiqua" w:hAnsi="Book Antiqua" w:cs="Arial"/>
        </w:rPr>
        <w:t xml:space="preserve"> in respect of internal relocation;</w:t>
      </w:r>
    </w:p>
    <w:p w:rsidR="00BF7F4D" w:rsidRPr="00AD1D90" w:rsidRDefault="002F6302" w:rsidP="00AD1D90">
      <w:pPr>
        <w:tabs>
          <w:tab w:val="left" w:pos="567"/>
        </w:tabs>
        <w:spacing w:before="120" w:after="120"/>
        <w:ind w:left="1134" w:right="567"/>
        <w:jc w:val="both"/>
        <w:rPr>
          <w:rFonts w:ascii="Book Antiqua" w:hAnsi="Book Antiqua" w:cs="Arial"/>
          <w:sz w:val="22"/>
        </w:rPr>
      </w:pPr>
      <w:r w:rsidRPr="00AD1D90">
        <w:rPr>
          <w:rFonts w:ascii="Book Antiqua" w:hAnsi="Book Antiqua" w:cs="Arial"/>
          <w:sz w:val="22"/>
        </w:rPr>
        <w:t xml:space="preserve">“In paragraph 21 of my opinion in </w:t>
      </w:r>
      <w:r w:rsidRPr="00AD1D90">
        <w:rPr>
          <w:rFonts w:ascii="Book Antiqua" w:hAnsi="Book Antiqua" w:cs="Arial"/>
          <w:sz w:val="22"/>
          <w:u w:val="single"/>
        </w:rPr>
        <w:t>Januzi</w:t>
      </w:r>
      <w:r w:rsidRPr="00AD1D90">
        <w:rPr>
          <w:rFonts w:ascii="Book Antiqua" w:hAnsi="Book Antiqua" w:cs="Arial"/>
          <w:sz w:val="22"/>
        </w:rPr>
        <w:t xml:space="preserve"> I summarised the correct approach to the problem of internal relocation in terms with which all my noble and learned friend</w:t>
      </w:r>
      <w:r w:rsidR="00D47EAB" w:rsidRPr="00AD1D90">
        <w:rPr>
          <w:rFonts w:ascii="Book Antiqua" w:hAnsi="Book Antiqua" w:cs="Arial"/>
          <w:sz w:val="22"/>
        </w:rPr>
        <w:t>s</w:t>
      </w:r>
      <w:r w:rsidRPr="00AD1D90">
        <w:rPr>
          <w:rFonts w:ascii="Book Antiqua" w:hAnsi="Book Antiqua" w:cs="Arial"/>
          <w:sz w:val="22"/>
        </w:rPr>
        <w:t xml:space="preserve"> agreed:</w:t>
      </w:r>
    </w:p>
    <w:p w:rsidR="00BF7F4D" w:rsidRPr="00AD1D90" w:rsidRDefault="002F6302" w:rsidP="00AD1D90">
      <w:pPr>
        <w:tabs>
          <w:tab w:val="left" w:pos="567"/>
        </w:tabs>
        <w:spacing w:before="120" w:after="120"/>
        <w:ind w:left="1701" w:right="567"/>
        <w:jc w:val="both"/>
        <w:rPr>
          <w:rFonts w:ascii="Book Antiqua" w:hAnsi="Book Antiqua" w:cs="Arial"/>
          <w:sz w:val="22"/>
        </w:rPr>
      </w:pPr>
      <w:r w:rsidRPr="00AD1D90">
        <w:rPr>
          <w:rFonts w:ascii="Book Antiqua" w:hAnsi="Book Antiqua" w:cs="Arial"/>
          <w:sz w:val="22"/>
        </w:rPr>
        <w:t>‘The decision-maker, taking account of all relevant circumstances pertaining to the claimant and his country of origin, must decide whether it is reasonable to expect the claimant to relocate or whether it would be unduly harsh to expect him to do so ...</w:t>
      </w:r>
      <w:r w:rsidR="00D47EAB" w:rsidRPr="00AD1D90">
        <w:rPr>
          <w:rFonts w:ascii="Book Antiqua" w:hAnsi="Book Antiqua" w:cs="Arial"/>
          <w:sz w:val="22"/>
        </w:rPr>
        <w:t>. T</w:t>
      </w:r>
      <w:r w:rsidRPr="00AD1D90">
        <w:rPr>
          <w:rFonts w:ascii="Book Antiqua" w:hAnsi="Book Antiqua" w:cs="Arial"/>
          <w:sz w:val="22"/>
        </w:rPr>
        <w:t xml:space="preserve">here is, as Simon Brown LJ aptly observed in </w:t>
      </w:r>
      <w:r w:rsidR="00D47EAB" w:rsidRPr="00AD1D90">
        <w:rPr>
          <w:rFonts w:ascii="Book Antiqua" w:hAnsi="Book Antiqua" w:cs="Arial"/>
          <w:sz w:val="22"/>
        </w:rPr>
        <w:t>S</w:t>
      </w:r>
      <w:r w:rsidRPr="00AD1D90">
        <w:rPr>
          <w:rFonts w:ascii="Book Antiqua" w:hAnsi="Book Antiqua" w:cs="Arial"/>
          <w:sz w:val="22"/>
          <w:u w:val="single"/>
        </w:rPr>
        <w:t>vazas v Secretary of State for the Home Department</w:t>
      </w:r>
      <w:r w:rsidRPr="00AD1D90">
        <w:rPr>
          <w:rFonts w:ascii="Book Antiqua" w:hAnsi="Book Antiqua" w:cs="Arial"/>
          <w:sz w:val="22"/>
        </w:rPr>
        <w:t xml:space="preserve"> [2002] 1 WLR 1891, para 55a spectrum of cases.  The decision-make</w:t>
      </w:r>
      <w:r w:rsidR="00B96D47" w:rsidRPr="00AD1D90">
        <w:rPr>
          <w:rFonts w:ascii="Book Antiqua" w:hAnsi="Book Antiqua" w:cs="Arial"/>
          <w:sz w:val="22"/>
        </w:rPr>
        <w:t>r</w:t>
      </w:r>
      <w:r w:rsidRPr="00AD1D90">
        <w:rPr>
          <w:rFonts w:ascii="Book Antiqua" w:hAnsi="Book Antiqua" w:cs="Arial"/>
          <w:sz w:val="22"/>
        </w:rPr>
        <w:t xml:space="preserve"> must do his best to decide, on such material as is available, where on the spectrum the particular case falls ...</w:t>
      </w:r>
      <w:r w:rsidR="00AD1D90">
        <w:rPr>
          <w:rFonts w:ascii="Book Antiqua" w:hAnsi="Book Antiqua" w:cs="Arial"/>
          <w:sz w:val="22"/>
        </w:rPr>
        <w:t xml:space="preserve"> </w:t>
      </w:r>
      <w:r w:rsidR="00B96D47" w:rsidRPr="00AD1D90">
        <w:rPr>
          <w:rFonts w:ascii="Book Antiqua" w:hAnsi="Book Antiqua" w:cs="Arial"/>
          <w:sz w:val="22"/>
        </w:rPr>
        <w:t>A</w:t>
      </w:r>
      <w:r w:rsidRPr="00AD1D90">
        <w:rPr>
          <w:rFonts w:ascii="Book Antiqua" w:hAnsi="Book Antiqua" w:cs="Arial"/>
          <w:sz w:val="22"/>
        </w:rPr>
        <w:t>ll must depend on a fair assessment of the relevant facts.’</w:t>
      </w:r>
    </w:p>
    <w:p w:rsidR="002F6302" w:rsidRPr="00AD1D90" w:rsidRDefault="002F6302" w:rsidP="00AD1D90">
      <w:pPr>
        <w:tabs>
          <w:tab w:val="left" w:pos="567"/>
        </w:tabs>
        <w:spacing w:before="120" w:after="120"/>
        <w:ind w:left="1134" w:right="567"/>
        <w:jc w:val="both"/>
        <w:rPr>
          <w:rFonts w:ascii="Book Antiqua" w:hAnsi="Book Antiqua" w:cs="Arial"/>
          <w:sz w:val="22"/>
        </w:rPr>
      </w:pPr>
      <w:r w:rsidRPr="00AD1D90">
        <w:rPr>
          <w:rFonts w:ascii="Book Antiqua" w:hAnsi="Book Antiqua" w:cs="Arial"/>
          <w:sz w:val="22"/>
        </w:rPr>
        <w:t xml:space="preserve">Although specifically directed to a secondary issue in the case, these observations are plainly of general application.  It is not easy to see how the Rule could be more simply or clearly expressed.  It is, or should be, evident that the enquiry must be directed to the situation of the particular applicant, whose age, gender, experience, health, skills and family ties may all be very relevant.  There is no warrant for excluding, or giving priority to, consideration of the applicant’s way of life in the place of persecution.  There is no warrant for excluding, or giving priority to, consideration of conditions generally prevailing in the home country.  I do not </w:t>
      </w:r>
      <w:r w:rsidRPr="00AD1D90">
        <w:rPr>
          <w:rFonts w:ascii="Book Antiqua" w:hAnsi="Book Antiqua" w:cs="Arial"/>
          <w:sz w:val="22"/>
        </w:rPr>
        <w:lastRenderedPageBreak/>
        <w:t>under estimate the difficulty of making decisions in some cases.  But the difficulty lies in applying the test, not in expressing it.  The humanitarian object of the Refugee Convention is to secure a reasonable measure of protection for those with a well-founded fear of persecution in their home country or some part of it; it is not to procure a general levelling up of living standards around the world, desirable though of course that is.”</w:t>
      </w:r>
    </w:p>
    <w:p w:rsidR="002F6302" w:rsidRDefault="002F6302" w:rsidP="00BF23BB">
      <w:pPr>
        <w:tabs>
          <w:tab w:val="left" w:pos="567"/>
        </w:tabs>
        <w:ind w:left="567" w:hanging="567"/>
        <w:jc w:val="both"/>
        <w:rPr>
          <w:rFonts w:ascii="Book Antiqua" w:hAnsi="Book Antiqua" w:cs="Arial"/>
        </w:rPr>
      </w:pPr>
      <w:r>
        <w:rPr>
          <w:rFonts w:ascii="Book Antiqua" w:hAnsi="Book Antiqua" w:cs="Arial"/>
        </w:rPr>
        <w:t>1</w:t>
      </w:r>
      <w:r w:rsidR="00505195">
        <w:rPr>
          <w:rFonts w:ascii="Book Antiqua" w:hAnsi="Book Antiqua" w:cs="Arial"/>
        </w:rPr>
        <w:t>1</w:t>
      </w:r>
      <w:r>
        <w:rPr>
          <w:rFonts w:ascii="Book Antiqua" w:hAnsi="Book Antiqua" w:cs="Arial"/>
        </w:rPr>
        <w:t>.</w:t>
      </w:r>
      <w:r>
        <w:rPr>
          <w:rFonts w:ascii="Book Antiqua" w:hAnsi="Book Antiqua" w:cs="Arial"/>
        </w:rPr>
        <w:tab/>
      </w:r>
      <w:r w:rsidR="0058013B">
        <w:rPr>
          <w:rFonts w:ascii="Book Antiqua" w:hAnsi="Book Antiqua" w:cs="Arial"/>
        </w:rPr>
        <w:t xml:space="preserve">The </w:t>
      </w:r>
      <w:r w:rsidR="00BF7F4D">
        <w:rPr>
          <w:rFonts w:ascii="Book Antiqua" w:hAnsi="Book Antiqua" w:cs="Arial"/>
        </w:rPr>
        <w:t xml:space="preserve">relevant country guidance at the date of the promulgation of the judge’s decision was </w:t>
      </w:r>
      <w:r w:rsidR="00BF7F4D" w:rsidRPr="001B376E">
        <w:rPr>
          <w:rFonts w:ascii="Book Antiqua" w:hAnsi="Book Antiqua" w:cs="Arial"/>
          <w:i/>
        </w:rPr>
        <w:t>AK</w:t>
      </w:r>
      <w:r w:rsidR="0058013B" w:rsidRPr="001B376E">
        <w:rPr>
          <w:rFonts w:ascii="Book Antiqua" w:hAnsi="Book Antiqua" w:cs="Arial"/>
          <w:i/>
        </w:rPr>
        <w:t xml:space="preserve"> </w:t>
      </w:r>
      <w:r w:rsidR="00BF7F4D" w:rsidRPr="001B376E">
        <w:rPr>
          <w:rFonts w:ascii="Book Antiqua" w:hAnsi="Book Antiqua" w:cs="Arial"/>
          <w:i/>
        </w:rPr>
        <w:t>(Article 15(c)) Afghanistan CG</w:t>
      </w:r>
      <w:r w:rsidR="00BF7F4D">
        <w:rPr>
          <w:rFonts w:ascii="Book Antiqua" w:hAnsi="Book Antiqua" w:cs="Arial"/>
        </w:rPr>
        <w:t xml:space="preserve"> </w:t>
      </w:r>
      <w:r w:rsidR="00BF7F4D" w:rsidRPr="001B376E">
        <w:rPr>
          <w:rFonts w:ascii="Book Antiqua" w:hAnsi="Book Antiqua" w:cs="Arial"/>
          <w:i/>
        </w:rPr>
        <w:t>[2012] UKUT 00163</w:t>
      </w:r>
      <w:r w:rsidR="00BF7F4D">
        <w:rPr>
          <w:rFonts w:ascii="Book Antiqua" w:hAnsi="Book Antiqua" w:cs="Arial"/>
        </w:rPr>
        <w:t xml:space="preserve">.  </w:t>
      </w:r>
      <w:r w:rsidR="007E6320">
        <w:rPr>
          <w:rFonts w:ascii="Book Antiqua" w:hAnsi="Book Antiqua" w:cs="Arial"/>
        </w:rPr>
        <w:t>About</w:t>
      </w:r>
      <w:r w:rsidR="00BF7F4D">
        <w:rPr>
          <w:rFonts w:ascii="Book Antiqua" w:hAnsi="Book Antiqua" w:cs="Arial"/>
        </w:rPr>
        <w:t xml:space="preserve"> relocation to Kabul the Upper Tribunal stated as </w:t>
      </w:r>
      <w:r w:rsidR="007E6320">
        <w:rPr>
          <w:rFonts w:ascii="Book Antiqua" w:hAnsi="Book Antiqua" w:cs="Arial"/>
        </w:rPr>
        <w:t>follows: -</w:t>
      </w:r>
    </w:p>
    <w:p w:rsidR="00BF7F4D" w:rsidRPr="00AD1D90" w:rsidRDefault="00BF7F4D" w:rsidP="00AD1D90">
      <w:pPr>
        <w:spacing w:before="120" w:after="120"/>
        <w:ind w:left="1701" w:right="567" w:hanging="567"/>
        <w:jc w:val="both"/>
        <w:rPr>
          <w:rFonts w:ascii="Book Antiqua" w:hAnsi="Book Antiqua" w:cs="Arial"/>
          <w:sz w:val="22"/>
        </w:rPr>
      </w:pPr>
      <w:r w:rsidRPr="00AD1D90">
        <w:rPr>
          <w:rFonts w:ascii="Book Antiqua" w:hAnsi="Book Antiqua" w:cs="Arial"/>
          <w:sz w:val="22"/>
        </w:rPr>
        <w:t>“243.</w:t>
      </w:r>
      <w:r w:rsidR="006F1873" w:rsidRPr="00AD1D90">
        <w:rPr>
          <w:rFonts w:ascii="Book Antiqua" w:hAnsi="Book Antiqua" w:cs="Arial"/>
          <w:sz w:val="22"/>
        </w:rPr>
        <w:tab/>
      </w:r>
      <w:r w:rsidRPr="00AD1D90">
        <w:rPr>
          <w:rFonts w:ascii="Book Antiqua" w:hAnsi="Book Antiqua" w:cs="Arial"/>
          <w:sz w:val="22"/>
        </w:rPr>
        <w:t xml:space="preserve">As regards Kabul City, we have already discussed the situation in that city and we cannot see that for the purposes of deciding either refugee eligibility or subsidiary protection eligibility (and we are only formally tasked with deciding the latter) that conditions in that city make relocation there </w:t>
      </w:r>
      <w:r w:rsidRPr="00AD1D90">
        <w:rPr>
          <w:rFonts w:ascii="Book Antiqua" w:hAnsi="Book Antiqua" w:cs="Arial"/>
          <w:i/>
          <w:sz w:val="22"/>
        </w:rPr>
        <w:t>in general</w:t>
      </w:r>
      <w:r w:rsidRPr="00AD1D90">
        <w:rPr>
          <w:rFonts w:ascii="Book Antiqua" w:hAnsi="Book Antiqua" w:cs="Arial"/>
          <w:sz w:val="22"/>
        </w:rPr>
        <w:t xml:space="preserve"> unreasonable, whether considered under Article 15(c) or under 15(b) or 15(a).  We emphasise the words ‘in general’ because it is plain from Article 8(2) and our domestic case law on internal relocation (see </w:t>
      </w:r>
      <w:r w:rsidRPr="00AD1D90">
        <w:rPr>
          <w:rFonts w:ascii="Book Antiqua" w:hAnsi="Book Antiqua" w:cs="Arial"/>
          <w:sz w:val="22"/>
          <w:u w:val="single"/>
        </w:rPr>
        <w:t>AH</w:t>
      </w:r>
      <w:r w:rsidRPr="00AD1D90">
        <w:rPr>
          <w:rFonts w:ascii="Book Antiqua" w:hAnsi="Book Antiqua" w:cs="Arial"/>
          <w:sz w:val="22"/>
        </w:rPr>
        <w:t xml:space="preserve"> (Sudan) in particular) that in every case there needs to be an enquiry into the applicant’s individual circumstances; and what those circumstances are will very often depend on the nature of specific findings made about the credibility of an Appellant in respect of such matters as whether they have family ties in Kabul.</w:t>
      </w:r>
      <w:r w:rsidR="00944DA9" w:rsidRPr="00AD1D90">
        <w:rPr>
          <w:rFonts w:ascii="Book Antiqua" w:hAnsi="Book Antiqua" w:cs="Arial"/>
          <w:sz w:val="22"/>
        </w:rPr>
        <w:t xml:space="preserve">  But here </w:t>
      </w:r>
      <w:r w:rsidR="00B96D47" w:rsidRPr="00AD1D90">
        <w:rPr>
          <w:rFonts w:ascii="Book Antiqua" w:hAnsi="Book Antiqua" w:cs="Arial"/>
          <w:sz w:val="22"/>
        </w:rPr>
        <w:t>are our premise</w:t>
      </w:r>
      <w:r w:rsidR="006F1873" w:rsidRPr="00AD1D90">
        <w:rPr>
          <w:rFonts w:ascii="Book Antiqua" w:hAnsi="Book Antiqua" w:cs="Arial"/>
          <w:sz w:val="22"/>
        </w:rPr>
        <w:t xml:space="preserve"> concerns an Appellant with no specific risk characteristics and someone found to have an uncle in Kabul; see above paras 3, 5, 154, 186 and below, paras 250-254).  To summarise our conclusion, whilst when assessing a claim in which the Respondent asserts that Kabul City would be a viable internal relocation alternative, it is necessary to take into account (both in assessing ‘safety’ and ‘reasonableness’) not only the level of violence in that city but also the difficulties experienced by that city’s poor and also the many IDPs living there, these considerations will not in general make return to Kabul unsafe or unreasonable, although it will always be necessary to examine an applicant’s individual circumstances.”</w:t>
      </w:r>
    </w:p>
    <w:p w:rsidR="0058013B" w:rsidRPr="00505195" w:rsidRDefault="0058013B" w:rsidP="00BF23BB">
      <w:pPr>
        <w:tabs>
          <w:tab w:val="left" w:pos="567"/>
        </w:tabs>
        <w:ind w:left="567" w:hanging="567"/>
        <w:jc w:val="both"/>
        <w:rPr>
          <w:rFonts w:ascii="Book Antiqua" w:hAnsi="Book Antiqua" w:cs="Arial"/>
          <w:i/>
        </w:rPr>
      </w:pPr>
      <w:r w:rsidRPr="00505195">
        <w:rPr>
          <w:rFonts w:ascii="Book Antiqua" w:hAnsi="Book Antiqua" w:cs="Arial"/>
          <w:i/>
        </w:rPr>
        <w:t xml:space="preserve">Error of Law  </w:t>
      </w:r>
    </w:p>
    <w:p w:rsidR="0058013B" w:rsidRDefault="0058013B" w:rsidP="00BF23BB">
      <w:pPr>
        <w:tabs>
          <w:tab w:val="left" w:pos="567"/>
        </w:tabs>
        <w:ind w:left="567" w:hanging="567"/>
        <w:jc w:val="both"/>
        <w:rPr>
          <w:rFonts w:ascii="Book Antiqua" w:hAnsi="Book Antiqua" w:cs="Arial"/>
        </w:rPr>
      </w:pPr>
    </w:p>
    <w:p w:rsidR="00505195" w:rsidRDefault="006F1873" w:rsidP="00ED3295">
      <w:pPr>
        <w:ind w:left="567" w:hanging="567"/>
        <w:jc w:val="both"/>
        <w:rPr>
          <w:rFonts w:ascii="Book Antiqua" w:hAnsi="Book Antiqua"/>
        </w:rPr>
      </w:pPr>
      <w:r>
        <w:rPr>
          <w:rFonts w:ascii="Book Antiqua" w:hAnsi="Book Antiqua" w:cs="Arial"/>
        </w:rPr>
        <w:t>1</w:t>
      </w:r>
      <w:r w:rsidR="00505195">
        <w:rPr>
          <w:rFonts w:ascii="Book Antiqua" w:hAnsi="Book Antiqua" w:cs="Arial"/>
        </w:rPr>
        <w:t>2</w:t>
      </w:r>
      <w:r>
        <w:rPr>
          <w:rFonts w:ascii="Book Antiqua" w:hAnsi="Book Antiqua" w:cs="Arial"/>
        </w:rPr>
        <w:t>.</w:t>
      </w:r>
      <w:r>
        <w:rPr>
          <w:rFonts w:ascii="Book Antiqua" w:hAnsi="Book Antiqua" w:cs="Arial"/>
        </w:rPr>
        <w:tab/>
      </w:r>
      <w:r w:rsidR="0058013B" w:rsidRPr="002D02A8">
        <w:rPr>
          <w:rFonts w:ascii="Book Antiqua" w:hAnsi="Book Antiqua"/>
        </w:rPr>
        <w:t>The Appellant did not respond to the</w:t>
      </w:r>
      <w:r w:rsidR="0055549E">
        <w:rPr>
          <w:rFonts w:ascii="Book Antiqua" w:hAnsi="Book Antiqua"/>
        </w:rPr>
        <w:t xml:space="preserve"> standard</w:t>
      </w:r>
      <w:r w:rsidR="0058013B" w:rsidRPr="002D02A8">
        <w:rPr>
          <w:rFonts w:ascii="Book Antiqua" w:hAnsi="Book Antiqua"/>
        </w:rPr>
        <w:t xml:space="preserve"> directions of the UT</w:t>
      </w:r>
      <w:r w:rsidR="00322AE9">
        <w:rPr>
          <w:rFonts w:ascii="Book Antiqua" w:hAnsi="Book Antiqua"/>
        </w:rPr>
        <w:t xml:space="preserve"> issued to the parties</w:t>
      </w:r>
      <w:r w:rsidR="0058013B" w:rsidRPr="002D02A8">
        <w:rPr>
          <w:rFonts w:ascii="Book Antiqua" w:hAnsi="Book Antiqua"/>
        </w:rPr>
        <w:t>. There was no application under Rule 15</w:t>
      </w:r>
      <w:r w:rsidR="0027001A">
        <w:rPr>
          <w:rFonts w:ascii="Book Antiqua" w:hAnsi="Book Antiqua"/>
        </w:rPr>
        <w:t xml:space="preserve"> of the 2008</w:t>
      </w:r>
      <w:r w:rsidR="006D6B97">
        <w:rPr>
          <w:rFonts w:ascii="Book Antiqua" w:hAnsi="Book Antiqua"/>
        </w:rPr>
        <w:t xml:space="preserve"> Procedure Rules </w:t>
      </w:r>
      <w:r w:rsidR="0027001A">
        <w:rPr>
          <w:rFonts w:ascii="Book Antiqua" w:hAnsi="Book Antiqua"/>
        </w:rPr>
        <w:t>to produce further evidence</w:t>
      </w:r>
      <w:r w:rsidR="0055549E">
        <w:rPr>
          <w:rFonts w:ascii="Book Antiqua" w:hAnsi="Book Antiqua"/>
        </w:rPr>
        <w:t xml:space="preserve">. </w:t>
      </w:r>
      <w:r w:rsidR="00B3090A">
        <w:rPr>
          <w:rFonts w:ascii="Book Antiqua" w:hAnsi="Book Antiqua"/>
        </w:rPr>
        <w:t xml:space="preserve"> </w:t>
      </w:r>
      <w:r w:rsidR="0058013B" w:rsidRPr="002D02A8">
        <w:rPr>
          <w:rFonts w:ascii="Book Antiqua" w:hAnsi="Book Antiqua"/>
        </w:rPr>
        <w:t>There was no further evidence produced at the hearing before me. Mr B</w:t>
      </w:r>
      <w:r w:rsidR="00ED3295">
        <w:rPr>
          <w:rFonts w:ascii="Book Antiqua" w:hAnsi="Book Antiqua"/>
        </w:rPr>
        <w:t>andegani</w:t>
      </w:r>
      <w:r w:rsidR="0058013B" w:rsidRPr="002D02A8">
        <w:rPr>
          <w:rFonts w:ascii="Book Antiqua" w:hAnsi="Book Antiqua"/>
        </w:rPr>
        <w:t xml:space="preserve"> indicated that should I find a material error, there should be a re-hearing because of the passage of time. </w:t>
      </w:r>
      <w:r w:rsidR="00B3090A">
        <w:rPr>
          <w:rFonts w:ascii="Book Antiqua" w:hAnsi="Book Antiqua" w:cs="Arial"/>
        </w:rPr>
        <w:t xml:space="preserve">Since the promulgation of the decision of Judge Meyler the Upper Tribunal has promulgated </w:t>
      </w:r>
      <w:r w:rsidR="00B3090A" w:rsidRPr="001B376E">
        <w:rPr>
          <w:rFonts w:ascii="Book Antiqua" w:hAnsi="Book Antiqua" w:cs="Arial"/>
          <w:i/>
        </w:rPr>
        <w:t>AS (safety of Kabul) Afghanistan CG [2018] UKUT 00118.</w:t>
      </w:r>
      <w:r w:rsidR="00B3090A">
        <w:rPr>
          <w:rFonts w:ascii="Book Antiqua" w:hAnsi="Book Antiqua" w:cs="Arial"/>
        </w:rPr>
        <w:t xml:space="preserve">  Whilst this decision does not</w:t>
      </w:r>
      <w:r w:rsidR="0027001A">
        <w:rPr>
          <w:rFonts w:ascii="Book Antiqua" w:hAnsi="Book Antiqua" w:cs="Arial"/>
        </w:rPr>
        <w:t xml:space="preserve"> affect </w:t>
      </w:r>
      <w:r w:rsidR="00B3090A">
        <w:rPr>
          <w:rFonts w:ascii="Book Antiqua" w:hAnsi="Book Antiqua" w:cs="Arial"/>
        </w:rPr>
        <w:t xml:space="preserve">the guidance in </w:t>
      </w:r>
      <w:r w:rsidR="00B3090A" w:rsidRPr="001B376E">
        <w:rPr>
          <w:rFonts w:ascii="Book Antiqua" w:hAnsi="Book Antiqua" w:cs="Arial"/>
          <w:i/>
        </w:rPr>
        <w:t>AK</w:t>
      </w:r>
      <w:r w:rsidR="00B3090A">
        <w:rPr>
          <w:rFonts w:ascii="Book Antiqua" w:hAnsi="Book Antiqua" w:cs="Arial"/>
        </w:rPr>
        <w:t xml:space="preserve"> in relation to Article 15(c), it gives guidance in relation to internal relocation to Kabul</w:t>
      </w:r>
      <w:r w:rsidR="001B376E">
        <w:rPr>
          <w:rFonts w:ascii="Book Antiqua" w:hAnsi="Book Antiqua" w:cs="Arial"/>
        </w:rPr>
        <w:t>.</w:t>
      </w:r>
      <w:r w:rsidR="00B3090A">
        <w:rPr>
          <w:rFonts w:ascii="Book Antiqua" w:hAnsi="Book Antiqua" w:cs="Arial"/>
        </w:rPr>
        <w:t xml:space="preserve">  </w:t>
      </w:r>
      <w:r w:rsidR="0058013B" w:rsidRPr="002D02A8">
        <w:rPr>
          <w:rFonts w:ascii="Book Antiqua" w:hAnsi="Book Antiqua"/>
        </w:rPr>
        <w:t xml:space="preserve"> In my view, the judge erred</w:t>
      </w:r>
      <w:r w:rsidR="006D6B97">
        <w:rPr>
          <w:rFonts w:ascii="Book Antiqua" w:hAnsi="Book Antiqua"/>
        </w:rPr>
        <w:t xml:space="preserve">. </w:t>
      </w:r>
      <w:r w:rsidR="0058013B" w:rsidRPr="002D02A8">
        <w:rPr>
          <w:rFonts w:ascii="Book Antiqua" w:hAnsi="Book Antiqua"/>
        </w:rPr>
        <w:t xml:space="preserve">The judge erred in so far as he did not </w:t>
      </w:r>
      <w:r w:rsidR="0058013B">
        <w:rPr>
          <w:rFonts w:ascii="Book Antiqua" w:hAnsi="Book Antiqua"/>
        </w:rPr>
        <w:t>pro</w:t>
      </w:r>
      <w:r w:rsidR="00B3090A">
        <w:rPr>
          <w:rFonts w:ascii="Book Antiqua" w:hAnsi="Book Antiqua"/>
        </w:rPr>
        <w:t xml:space="preserve">perly </w:t>
      </w:r>
      <w:r w:rsidR="0058013B">
        <w:rPr>
          <w:rFonts w:ascii="Book Antiqua" w:hAnsi="Book Antiqua"/>
        </w:rPr>
        <w:t xml:space="preserve">consider </w:t>
      </w:r>
      <w:r w:rsidR="0058013B" w:rsidRPr="002D02A8">
        <w:rPr>
          <w:rFonts w:ascii="Book Antiqua" w:hAnsi="Book Antiqua"/>
        </w:rPr>
        <w:t xml:space="preserve">the background evidence submitted by the </w:t>
      </w:r>
      <w:r w:rsidR="00B3090A">
        <w:rPr>
          <w:rFonts w:ascii="Book Antiqua" w:hAnsi="Book Antiqua"/>
        </w:rPr>
        <w:t xml:space="preserve">Appellant </w:t>
      </w:r>
      <w:r w:rsidR="0058013B" w:rsidRPr="002D02A8">
        <w:rPr>
          <w:rFonts w:ascii="Book Antiqua" w:hAnsi="Book Antiqua"/>
        </w:rPr>
        <w:t>about the deterioration of conditions in Kabul</w:t>
      </w:r>
      <w:r w:rsidR="0058013B">
        <w:rPr>
          <w:rFonts w:ascii="Book Antiqua" w:hAnsi="Book Antiqua"/>
        </w:rPr>
        <w:t xml:space="preserve"> when assessing the reasonableness of relocation</w:t>
      </w:r>
      <w:r w:rsidR="0058013B" w:rsidRPr="002D02A8">
        <w:rPr>
          <w:rFonts w:ascii="Book Antiqua" w:hAnsi="Book Antiqua"/>
          <w:i/>
        </w:rPr>
        <w:t>.</w:t>
      </w:r>
      <w:r w:rsidR="0058013B" w:rsidRPr="002D02A8">
        <w:rPr>
          <w:rFonts w:ascii="Book Antiqua" w:hAnsi="Book Antiqua"/>
        </w:rPr>
        <w:t xml:space="preserve"> </w:t>
      </w:r>
      <w:r w:rsidR="00ED3295" w:rsidRPr="002D02A8">
        <w:rPr>
          <w:rFonts w:ascii="Book Antiqua" w:hAnsi="Book Antiqua"/>
        </w:rPr>
        <w:t>The issue is whether that error is material.</w:t>
      </w:r>
      <w:r w:rsidR="0027001A">
        <w:rPr>
          <w:rFonts w:ascii="Book Antiqua" w:hAnsi="Book Antiqua"/>
        </w:rPr>
        <w:t xml:space="preserve"> </w:t>
      </w:r>
    </w:p>
    <w:p w:rsidR="00505195" w:rsidRDefault="00505195" w:rsidP="00ED3295">
      <w:pPr>
        <w:ind w:left="567" w:hanging="567"/>
        <w:jc w:val="both"/>
        <w:rPr>
          <w:rFonts w:ascii="Book Antiqua" w:hAnsi="Book Antiqua"/>
        </w:rPr>
      </w:pPr>
    </w:p>
    <w:p w:rsidR="00265705" w:rsidRDefault="00505195" w:rsidP="00ED3295">
      <w:pPr>
        <w:ind w:left="567" w:hanging="567"/>
        <w:jc w:val="both"/>
        <w:rPr>
          <w:rFonts w:ascii="Book Antiqua" w:hAnsi="Book Antiqua"/>
        </w:rPr>
      </w:pPr>
      <w:r>
        <w:rPr>
          <w:rFonts w:ascii="Book Antiqua" w:hAnsi="Book Antiqua"/>
        </w:rPr>
        <w:t xml:space="preserve">13.  </w:t>
      </w:r>
      <w:r w:rsidR="0063578C">
        <w:rPr>
          <w:rFonts w:ascii="Book Antiqua" w:hAnsi="Book Antiqua"/>
        </w:rPr>
        <w:tab/>
      </w:r>
      <w:r>
        <w:rPr>
          <w:rFonts w:ascii="Book Antiqua" w:hAnsi="Book Antiqua"/>
        </w:rPr>
        <w:t>The</w:t>
      </w:r>
      <w:r w:rsidR="00025087">
        <w:rPr>
          <w:rFonts w:ascii="Book Antiqua" w:hAnsi="Book Antiqua"/>
        </w:rPr>
        <w:t xml:space="preserve"> Appellant’s bundle (AB2) was before the judge. In the skeleton argument before the First-tier Tribunal the Country Policy and Information Note </w:t>
      </w:r>
      <w:r w:rsidR="006D6B97">
        <w:rPr>
          <w:rFonts w:ascii="Book Antiqua" w:hAnsi="Book Antiqua"/>
        </w:rPr>
        <w:t>(</w:t>
      </w:r>
      <w:r w:rsidR="00025087">
        <w:rPr>
          <w:rFonts w:ascii="Book Antiqua" w:hAnsi="Book Antiqua"/>
        </w:rPr>
        <w:t>Afg</w:t>
      </w:r>
      <w:r w:rsidR="0027001A">
        <w:rPr>
          <w:rFonts w:ascii="Book Antiqua" w:hAnsi="Book Antiqua"/>
        </w:rPr>
        <w:t>h</w:t>
      </w:r>
      <w:r w:rsidR="00025087">
        <w:rPr>
          <w:rFonts w:ascii="Book Antiqua" w:hAnsi="Book Antiqua"/>
        </w:rPr>
        <w:t xml:space="preserve">anistan: Fear of </w:t>
      </w:r>
      <w:r w:rsidR="00025087">
        <w:rPr>
          <w:rFonts w:ascii="Book Antiqua" w:hAnsi="Book Antiqua"/>
        </w:rPr>
        <w:lastRenderedPageBreak/>
        <w:t>anti- government elements, December 2016</w:t>
      </w:r>
      <w:r w:rsidR="006D6B97">
        <w:rPr>
          <w:rFonts w:ascii="Book Antiqua" w:hAnsi="Book Antiqua"/>
        </w:rPr>
        <w:t>)</w:t>
      </w:r>
      <w:r w:rsidR="00025087">
        <w:rPr>
          <w:rFonts w:ascii="Book Antiqua" w:hAnsi="Book Antiqua"/>
        </w:rPr>
        <w:t xml:space="preserve"> was specifically referred to</w:t>
      </w:r>
      <w:r w:rsidR="0027001A">
        <w:rPr>
          <w:rFonts w:ascii="Book Antiqua" w:hAnsi="Book Antiqua"/>
        </w:rPr>
        <w:t xml:space="preserve"> in support of the </w:t>
      </w:r>
      <w:r w:rsidR="00025087">
        <w:rPr>
          <w:rFonts w:ascii="Book Antiqua" w:hAnsi="Book Antiqua"/>
        </w:rPr>
        <w:t>Taliban</w:t>
      </w:r>
      <w:r w:rsidR="0027001A">
        <w:rPr>
          <w:rFonts w:ascii="Book Antiqua" w:hAnsi="Book Antiqua"/>
        </w:rPr>
        <w:t xml:space="preserve"> having extensive reach. </w:t>
      </w:r>
      <w:r w:rsidR="00025087">
        <w:rPr>
          <w:rFonts w:ascii="Book Antiqua" w:hAnsi="Book Antiqua"/>
        </w:rPr>
        <w:t xml:space="preserve"> Rel</w:t>
      </w:r>
      <w:r w:rsidR="0027001A">
        <w:rPr>
          <w:rFonts w:ascii="Book Antiqua" w:hAnsi="Book Antiqua"/>
        </w:rPr>
        <w:t xml:space="preserve">iance </w:t>
      </w:r>
      <w:r w:rsidR="00025087">
        <w:rPr>
          <w:rFonts w:ascii="Book Antiqua" w:hAnsi="Book Antiqua"/>
        </w:rPr>
        <w:t>was placed on AK</w:t>
      </w:r>
      <w:r w:rsidR="006D6B97">
        <w:rPr>
          <w:rFonts w:ascii="Book Antiqua" w:hAnsi="Book Antiqua"/>
        </w:rPr>
        <w:t xml:space="preserve"> by the Appellant at the hearing before the First-tier Tribunal </w:t>
      </w:r>
      <w:r w:rsidR="00025087">
        <w:rPr>
          <w:rFonts w:ascii="Book Antiqua" w:hAnsi="Book Antiqua"/>
        </w:rPr>
        <w:t xml:space="preserve">whilst </w:t>
      </w:r>
      <w:r w:rsidR="006D6B97">
        <w:rPr>
          <w:rFonts w:ascii="Book Antiqua" w:hAnsi="Book Antiqua"/>
        </w:rPr>
        <w:t xml:space="preserve">it was argued that </w:t>
      </w:r>
      <w:r w:rsidR="00025087">
        <w:rPr>
          <w:rFonts w:ascii="Book Antiqua" w:hAnsi="Book Antiqua"/>
        </w:rPr>
        <w:t>the security situation ha</w:t>
      </w:r>
      <w:r w:rsidR="006D6B97">
        <w:rPr>
          <w:rFonts w:ascii="Book Antiqua" w:hAnsi="Book Antiqua"/>
        </w:rPr>
        <w:t>d</w:t>
      </w:r>
      <w:r w:rsidR="00025087">
        <w:rPr>
          <w:rFonts w:ascii="Book Antiqua" w:hAnsi="Book Antiqua"/>
        </w:rPr>
        <w:t xml:space="preserve"> deteriorated in Afghanistan supported by the</w:t>
      </w:r>
      <w:r w:rsidR="000E1D2B">
        <w:rPr>
          <w:rFonts w:ascii="Book Antiqua" w:hAnsi="Book Antiqua"/>
        </w:rPr>
        <w:t xml:space="preserve"> country information. </w:t>
      </w:r>
      <w:r w:rsidR="00025087">
        <w:rPr>
          <w:rFonts w:ascii="Book Antiqua" w:hAnsi="Book Antiqua"/>
        </w:rPr>
        <w:t xml:space="preserve"> Reference was made to the Country Information and Guidance Afghanistan</w:t>
      </w:r>
      <w:r w:rsidR="006D6B97">
        <w:rPr>
          <w:rFonts w:ascii="Book Antiqua" w:hAnsi="Book Antiqua"/>
        </w:rPr>
        <w:t xml:space="preserve"> (</w:t>
      </w:r>
      <w:r w:rsidR="00025087">
        <w:rPr>
          <w:rFonts w:ascii="Book Antiqua" w:hAnsi="Book Antiqua"/>
        </w:rPr>
        <w:t>Security and humanitarian situation version 3.0 July 2016</w:t>
      </w:r>
      <w:r w:rsidR="006D6B97">
        <w:rPr>
          <w:rFonts w:ascii="Book Antiqua" w:hAnsi="Book Antiqua"/>
        </w:rPr>
        <w:t>)</w:t>
      </w:r>
      <w:r w:rsidR="00025087">
        <w:rPr>
          <w:rFonts w:ascii="Book Antiqua" w:hAnsi="Book Antiqua"/>
        </w:rPr>
        <w:t xml:space="preserve"> to estab</w:t>
      </w:r>
      <w:r w:rsidR="000E1D2B">
        <w:rPr>
          <w:rFonts w:ascii="Book Antiqua" w:hAnsi="Book Antiqua"/>
        </w:rPr>
        <w:t xml:space="preserve">lish </w:t>
      </w:r>
      <w:r w:rsidR="00025087">
        <w:rPr>
          <w:rFonts w:ascii="Book Antiqua" w:hAnsi="Book Antiqua"/>
        </w:rPr>
        <w:t>that there ha</w:t>
      </w:r>
      <w:r w:rsidR="000E1D2B">
        <w:rPr>
          <w:rFonts w:ascii="Book Antiqua" w:hAnsi="Book Antiqua"/>
        </w:rPr>
        <w:t xml:space="preserve">d </w:t>
      </w:r>
      <w:r w:rsidR="00025087">
        <w:rPr>
          <w:rFonts w:ascii="Book Antiqua" w:hAnsi="Book Antiqua"/>
        </w:rPr>
        <w:t>been recent attacks in Kabul.</w:t>
      </w:r>
      <w:r w:rsidR="000E1D2B">
        <w:rPr>
          <w:rFonts w:ascii="Book Antiqua" w:hAnsi="Book Antiqua"/>
        </w:rPr>
        <w:t xml:space="preserve"> The judge</w:t>
      </w:r>
      <w:r w:rsidR="006D6B97">
        <w:rPr>
          <w:rFonts w:ascii="Book Antiqua" w:hAnsi="Book Antiqua"/>
        </w:rPr>
        <w:t>’</w:t>
      </w:r>
      <w:r w:rsidR="000E1D2B">
        <w:rPr>
          <w:rFonts w:ascii="Book Antiqua" w:hAnsi="Book Antiqua"/>
        </w:rPr>
        <w:t xml:space="preserve">s attention was drawn to a </w:t>
      </w:r>
      <w:r w:rsidR="00025087">
        <w:rPr>
          <w:rFonts w:ascii="Book Antiqua" w:hAnsi="Book Antiqua"/>
        </w:rPr>
        <w:t>roadside bomb blast in Kabul</w:t>
      </w:r>
      <w:r w:rsidR="004B4EC6">
        <w:rPr>
          <w:rFonts w:ascii="Book Antiqua" w:hAnsi="Book Antiqua"/>
        </w:rPr>
        <w:t xml:space="preserve"> on 13 March 2017</w:t>
      </w:r>
      <w:r w:rsidR="000E1D2B">
        <w:rPr>
          <w:rFonts w:ascii="Book Antiqua" w:hAnsi="Book Antiqua"/>
        </w:rPr>
        <w:t xml:space="preserve"> (</w:t>
      </w:r>
      <w:r w:rsidR="00025087">
        <w:rPr>
          <w:rFonts w:ascii="Book Antiqua" w:hAnsi="Book Antiqua"/>
        </w:rPr>
        <w:t>p</w:t>
      </w:r>
      <w:r w:rsidR="000E1D2B">
        <w:rPr>
          <w:rFonts w:ascii="Book Antiqua" w:hAnsi="Book Antiqua"/>
        </w:rPr>
        <w:t xml:space="preserve"> </w:t>
      </w:r>
      <w:r w:rsidR="00025087">
        <w:rPr>
          <w:rFonts w:ascii="Book Antiqua" w:hAnsi="Book Antiqua"/>
        </w:rPr>
        <w:t>155 of AB2</w:t>
      </w:r>
      <w:r w:rsidR="000E1D2B">
        <w:rPr>
          <w:rFonts w:ascii="Book Antiqua" w:hAnsi="Book Antiqua"/>
        </w:rPr>
        <w:t xml:space="preserve">), </w:t>
      </w:r>
      <w:r w:rsidR="004B4EC6">
        <w:rPr>
          <w:rFonts w:ascii="Book Antiqua" w:hAnsi="Book Antiqua"/>
        </w:rPr>
        <w:t xml:space="preserve">a </w:t>
      </w:r>
      <w:r w:rsidR="000E1D2B">
        <w:rPr>
          <w:rFonts w:ascii="Book Antiqua" w:hAnsi="Book Antiqua"/>
        </w:rPr>
        <w:t>s</w:t>
      </w:r>
      <w:r w:rsidR="004B4EC6">
        <w:rPr>
          <w:rFonts w:ascii="Book Antiqua" w:hAnsi="Book Antiqua"/>
        </w:rPr>
        <w:t>uicide bomb on 1 March 2017 which left 16 dead and 40 injured</w:t>
      </w:r>
      <w:r w:rsidR="000E1D2B">
        <w:rPr>
          <w:rFonts w:ascii="Book Antiqua" w:hAnsi="Book Antiqua"/>
        </w:rPr>
        <w:t xml:space="preserve"> (p157 of AB2) and a </w:t>
      </w:r>
      <w:r w:rsidR="004B4EC6">
        <w:rPr>
          <w:rFonts w:ascii="Book Antiqua" w:hAnsi="Book Antiqua"/>
        </w:rPr>
        <w:t>suicide a</w:t>
      </w:r>
      <w:r w:rsidR="000E1D2B">
        <w:rPr>
          <w:rFonts w:ascii="Book Antiqua" w:hAnsi="Book Antiqua"/>
        </w:rPr>
        <w:t>t</w:t>
      </w:r>
      <w:r w:rsidR="004B4EC6">
        <w:rPr>
          <w:rFonts w:ascii="Book Antiqua" w:hAnsi="Book Antiqua"/>
        </w:rPr>
        <w:t xml:space="preserve">tack on 20 April 2016 </w:t>
      </w:r>
      <w:r w:rsidR="000E1D2B">
        <w:rPr>
          <w:rFonts w:ascii="Book Antiqua" w:hAnsi="Book Antiqua"/>
        </w:rPr>
        <w:t xml:space="preserve">(p163 of AB2) </w:t>
      </w:r>
      <w:r w:rsidR="004B4EC6">
        <w:rPr>
          <w:rFonts w:ascii="Book Antiqua" w:hAnsi="Book Antiqua"/>
        </w:rPr>
        <w:t xml:space="preserve">in </w:t>
      </w:r>
      <w:r w:rsidR="000E1D2B">
        <w:rPr>
          <w:rFonts w:ascii="Book Antiqua" w:hAnsi="Book Antiqua"/>
        </w:rPr>
        <w:t>K</w:t>
      </w:r>
      <w:r w:rsidR="004B4EC6">
        <w:rPr>
          <w:rFonts w:ascii="Book Antiqua" w:hAnsi="Book Antiqua"/>
        </w:rPr>
        <w:t>abul killing 64 and wounding 347.  There was an article from Amnesty Internation</w:t>
      </w:r>
      <w:r w:rsidR="000E1D2B">
        <w:rPr>
          <w:rFonts w:ascii="Book Antiqua" w:hAnsi="Book Antiqua"/>
        </w:rPr>
        <w:t>al</w:t>
      </w:r>
      <w:r w:rsidR="004B4EC6">
        <w:rPr>
          <w:rFonts w:ascii="Book Antiqua" w:hAnsi="Book Antiqua"/>
        </w:rPr>
        <w:t xml:space="preserve"> </w:t>
      </w:r>
      <w:r w:rsidR="000E1D2B">
        <w:rPr>
          <w:rFonts w:ascii="Book Antiqua" w:hAnsi="Book Antiqua"/>
        </w:rPr>
        <w:t>(</w:t>
      </w:r>
      <w:r w:rsidR="004B4EC6">
        <w:rPr>
          <w:rFonts w:ascii="Book Antiqua" w:hAnsi="Book Antiqua"/>
        </w:rPr>
        <w:t>p87</w:t>
      </w:r>
      <w:r w:rsidR="000E1D2B">
        <w:rPr>
          <w:rFonts w:ascii="Book Antiqua" w:hAnsi="Book Antiqua"/>
        </w:rPr>
        <w:t xml:space="preserve"> </w:t>
      </w:r>
      <w:r w:rsidR="004B4EC6">
        <w:rPr>
          <w:rFonts w:ascii="Book Antiqua" w:hAnsi="Book Antiqua"/>
        </w:rPr>
        <w:t>AB2</w:t>
      </w:r>
      <w:r w:rsidR="000E1D2B">
        <w:rPr>
          <w:rFonts w:ascii="Book Antiqua" w:hAnsi="Book Antiqua"/>
        </w:rPr>
        <w:t>) of</w:t>
      </w:r>
      <w:r w:rsidR="00265705">
        <w:rPr>
          <w:rFonts w:ascii="Book Antiqua" w:hAnsi="Book Antiqua"/>
        </w:rPr>
        <w:t xml:space="preserve"> 27 April 2017 stating that Afghanistan remains unsafe for refugees to be returned and that since the withdraw</w:t>
      </w:r>
      <w:r w:rsidR="000C07B7">
        <w:rPr>
          <w:rFonts w:ascii="Book Antiqua" w:hAnsi="Book Antiqua"/>
        </w:rPr>
        <w:t>al</w:t>
      </w:r>
      <w:r w:rsidR="00265705">
        <w:rPr>
          <w:rFonts w:ascii="Book Antiqua" w:hAnsi="Book Antiqua"/>
        </w:rPr>
        <w:t xml:space="preserve"> of military force</w:t>
      </w:r>
      <w:r w:rsidR="006D6B97">
        <w:rPr>
          <w:rFonts w:ascii="Book Antiqua" w:hAnsi="Book Antiqua"/>
        </w:rPr>
        <w:t>s</w:t>
      </w:r>
      <w:r w:rsidR="00265705">
        <w:rPr>
          <w:rFonts w:ascii="Book Antiqua" w:hAnsi="Book Antiqua"/>
        </w:rPr>
        <w:t xml:space="preserve"> at the end of 2014 the security situation has worsened; Kabul having suffered the highest levels of civil</w:t>
      </w:r>
      <w:r w:rsidR="00530D52">
        <w:rPr>
          <w:rFonts w:ascii="Book Antiqua" w:hAnsi="Book Antiqua"/>
        </w:rPr>
        <w:t xml:space="preserve">ian </w:t>
      </w:r>
      <w:r w:rsidR="00265705">
        <w:rPr>
          <w:rFonts w:ascii="Book Antiqua" w:hAnsi="Book Antiqua"/>
        </w:rPr>
        <w:t>casu</w:t>
      </w:r>
      <w:r w:rsidR="00530D52">
        <w:rPr>
          <w:rFonts w:ascii="Book Antiqua" w:hAnsi="Book Antiqua"/>
        </w:rPr>
        <w:t>alties</w:t>
      </w:r>
      <w:r w:rsidR="00265705">
        <w:rPr>
          <w:rFonts w:ascii="Book Antiqua" w:hAnsi="Book Antiqua"/>
        </w:rPr>
        <w:t xml:space="preserve">.  The thrust of the background evidence </w:t>
      </w:r>
      <w:r w:rsidR="006D6B97">
        <w:rPr>
          <w:rFonts w:ascii="Book Antiqua" w:hAnsi="Book Antiqua"/>
        </w:rPr>
        <w:t xml:space="preserve">before the judge </w:t>
      </w:r>
      <w:r w:rsidR="00265705">
        <w:rPr>
          <w:rFonts w:ascii="Book Antiqua" w:hAnsi="Book Antiqua"/>
        </w:rPr>
        <w:t>leads to an inevitable conclusion that the situation in Afghanistan (and Kabul) had deteriorated.</w:t>
      </w:r>
      <w:r w:rsidR="00530D52">
        <w:rPr>
          <w:rFonts w:ascii="Book Antiqua" w:hAnsi="Book Antiqua"/>
        </w:rPr>
        <w:t xml:space="preserve"> I am satisfied that it is not clear from the decision that the judge considered reasonableness in this context.  </w:t>
      </w:r>
      <w:r w:rsidR="00265705">
        <w:rPr>
          <w:rFonts w:ascii="Book Antiqua" w:hAnsi="Book Antiqua"/>
        </w:rPr>
        <w:t xml:space="preserve">  </w:t>
      </w:r>
    </w:p>
    <w:p w:rsidR="00265705" w:rsidRDefault="00265705" w:rsidP="00ED3295">
      <w:pPr>
        <w:ind w:left="567" w:hanging="567"/>
        <w:jc w:val="both"/>
        <w:rPr>
          <w:rFonts w:ascii="Book Antiqua" w:hAnsi="Book Antiqua"/>
        </w:rPr>
      </w:pPr>
    </w:p>
    <w:p w:rsidR="00ED3295" w:rsidRDefault="00ED3295" w:rsidP="008A7311">
      <w:pPr>
        <w:ind w:left="567" w:hanging="567"/>
        <w:jc w:val="both"/>
        <w:rPr>
          <w:rFonts w:ascii="Book Antiqua" w:hAnsi="Book Antiqua"/>
        </w:rPr>
      </w:pPr>
      <w:r>
        <w:rPr>
          <w:rFonts w:ascii="Book Antiqua" w:hAnsi="Book Antiqua"/>
        </w:rPr>
        <w:t>1</w:t>
      </w:r>
      <w:r w:rsidR="00505195">
        <w:rPr>
          <w:rFonts w:ascii="Book Antiqua" w:hAnsi="Book Antiqua"/>
        </w:rPr>
        <w:t>4</w:t>
      </w:r>
      <w:r w:rsidR="0058013B">
        <w:rPr>
          <w:rFonts w:ascii="Book Antiqua" w:hAnsi="Book Antiqua"/>
        </w:rPr>
        <w:t xml:space="preserve">.   </w:t>
      </w:r>
      <w:r w:rsidR="001B376E">
        <w:rPr>
          <w:rFonts w:ascii="Book Antiqua" w:hAnsi="Book Antiqua"/>
        </w:rPr>
        <w:t xml:space="preserve"> </w:t>
      </w:r>
      <w:r w:rsidRPr="002D02A8">
        <w:rPr>
          <w:rFonts w:ascii="Book Antiqua" w:hAnsi="Book Antiqua"/>
        </w:rPr>
        <w:t>At the time of the hearing</w:t>
      </w:r>
      <w:r>
        <w:rPr>
          <w:rFonts w:ascii="Book Antiqua" w:hAnsi="Book Antiqua"/>
        </w:rPr>
        <w:t xml:space="preserve">, </w:t>
      </w:r>
      <w:r w:rsidRPr="001B376E">
        <w:rPr>
          <w:rFonts w:ascii="Book Antiqua" w:hAnsi="Book Antiqua"/>
          <w:i/>
        </w:rPr>
        <w:t>AK</w:t>
      </w:r>
      <w:r w:rsidRPr="002D02A8">
        <w:rPr>
          <w:rFonts w:ascii="Book Antiqua" w:hAnsi="Book Antiqua"/>
        </w:rPr>
        <w:t xml:space="preserve"> was</w:t>
      </w:r>
      <w:r w:rsidR="00053429">
        <w:rPr>
          <w:rFonts w:ascii="Book Antiqua" w:hAnsi="Book Antiqua"/>
        </w:rPr>
        <w:t xml:space="preserve"> the relevant Country Guidance in respect of </w:t>
      </w:r>
      <w:r w:rsidR="000C07B7">
        <w:rPr>
          <w:rFonts w:ascii="Book Antiqua" w:hAnsi="Book Antiqua"/>
        </w:rPr>
        <w:t xml:space="preserve">Article </w:t>
      </w:r>
      <w:r w:rsidR="00053429">
        <w:rPr>
          <w:rFonts w:ascii="Book Antiqua" w:hAnsi="Book Antiqua"/>
        </w:rPr>
        <w:t xml:space="preserve">15 </w:t>
      </w:r>
      <w:r w:rsidR="000C07B7">
        <w:rPr>
          <w:rFonts w:ascii="Book Antiqua" w:hAnsi="Book Antiqua"/>
        </w:rPr>
        <w:t xml:space="preserve">(c) </w:t>
      </w:r>
      <w:r w:rsidR="00053429">
        <w:rPr>
          <w:rFonts w:ascii="Book Antiqua" w:hAnsi="Book Antiqua"/>
        </w:rPr>
        <w:t xml:space="preserve">and relocation under the Refugee Convention. </w:t>
      </w:r>
      <w:r w:rsidRPr="002D02A8">
        <w:rPr>
          <w:rFonts w:ascii="Book Antiqua" w:hAnsi="Book Antiqua"/>
        </w:rPr>
        <w:t xml:space="preserve">What </w:t>
      </w:r>
      <w:r>
        <w:rPr>
          <w:rFonts w:ascii="Book Antiqua" w:hAnsi="Book Antiqua"/>
        </w:rPr>
        <w:t xml:space="preserve">was </w:t>
      </w:r>
      <w:r w:rsidRPr="002D02A8">
        <w:rPr>
          <w:rFonts w:ascii="Book Antiqua" w:hAnsi="Book Antiqua"/>
        </w:rPr>
        <w:t xml:space="preserve">required </w:t>
      </w:r>
      <w:r>
        <w:rPr>
          <w:rFonts w:ascii="Book Antiqua" w:hAnsi="Book Antiqua"/>
        </w:rPr>
        <w:t>was</w:t>
      </w:r>
      <w:r w:rsidRPr="002D02A8">
        <w:rPr>
          <w:rFonts w:ascii="Book Antiqua" w:hAnsi="Book Antiqua"/>
        </w:rPr>
        <w:t xml:space="preserve"> an inquiry into the </w:t>
      </w:r>
      <w:r>
        <w:rPr>
          <w:rFonts w:ascii="Book Antiqua" w:hAnsi="Book Antiqua"/>
        </w:rPr>
        <w:t>A</w:t>
      </w:r>
      <w:r w:rsidRPr="002D02A8">
        <w:rPr>
          <w:rFonts w:ascii="Book Antiqua" w:hAnsi="Book Antiqua"/>
        </w:rPr>
        <w:t xml:space="preserve">ppellant’s </w:t>
      </w:r>
      <w:r w:rsidR="006D6B97">
        <w:rPr>
          <w:rFonts w:ascii="Book Antiqua" w:hAnsi="Book Antiqua"/>
        </w:rPr>
        <w:t xml:space="preserve">specific </w:t>
      </w:r>
      <w:r w:rsidRPr="002D02A8">
        <w:rPr>
          <w:rFonts w:ascii="Book Antiqua" w:hAnsi="Book Antiqua"/>
        </w:rPr>
        <w:t>circumstances in the light of the deterioration in the country conditions</w:t>
      </w:r>
      <w:r w:rsidR="000C07B7">
        <w:rPr>
          <w:rFonts w:ascii="Book Antiqua" w:hAnsi="Book Antiqua"/>
        </w:rPr>
        <w:t xml:space="preserve"> to determine whether relocation would be reasonable</w:t>
      </w:r>
      <w:r w:rsidR="006D6B97">
        <w:rPr>
          <w:rFonts w:ascii="Book Antiqua" w:hAnsi="Book Antiqua"/>
        </w:rPr>
        <w:t xml:space="preserve">. </w:t>
      </w:r>
      <w:r w:rsidR="00530D52">
        <w:rPr>
          <w:rFonts w:ascii="Book Antiqua" w:hAnsi="Book Antiqua"/>
        </w:rPr>
        <w:t>The position was that relocation was generally reasonable</w:t>
      </w:r>
      <w:r w:rsidR="006D6B97">
        <w:rPr>
          <w:rFonts w:ascii="Book Antiqua" w:hAnsi="Book Antiqua"/>
        </w:rPr>
        <w:t xml:space="preserve">. </w:t>
      </w:r>
      <w:r w:rsidR="00530D52">
        <w:rPr>
          <w:rFonts w:ascii="Book Antiqua" w:hAnsi="Book Antiqua"/>
        </w:rPr>
        <w:t xml:space="preserve"> </w:t>
      </w:r>
      <w:r w:rsidRPr="002D02A8">
        <w:rPr>
          <w:rFonts w:ascii="Book Antiqua" w:hAnsi="Book Antiqua"/>
        </w:rPr>
        <w:t>There was no challenge in the grounds to the findings of the judge that the</w:t>
      </w:r>
      <w:r w:rsidR="008A7311">
        <w:rPr>
          <w:rFonts w:ascii="Book Antiqua" w:hAnsi="Book Antiqua"/>
        </w:rPr>
        <w:t xml:space="preserve"> A</w:t>
      </w:r>
      <w:r w:rsidRPr="002D02A8">
        <w:rPr>
          <w:rFonts w:ascii="Book Antiqua" w:hAnsi="Book Antiqua"/>
        </w:rPr>
        <w:t xml:space="preserve">ppellant </w:t>
      </w:r>
      <w:r>
        <w:rPr>
          <w:rFonts w:ascii="Book Antiqua" w:hAnsi="Book Antiqua"/>
        </w:rPr>
        <w:t>was</w:t>
      </w:r>
      <w:r w:rsidRPr="002D02A8">
        <w:rPr>
          <w:rFonts w:ascii="Book Antiqua" w:hAnsi="Book Antiqua"/>
        </w:rPr>
        <w:t xml:space="preserve"> young, healthy, </w:t>
      </w:r>
      <w:r w:rsidR="00505195" w:rsidRPr="002D02A8">
        <w:rPr>
          <w:rFonts w:ascii="Book Antiqua" w:hAnsi="Book Antiqua"/>
        </w:rPr>
        <w:t>resourceful</w:t>
      </w:r>
      <w:r w:rsidR="00505195">
        <w:rPr>
          <w:rFonts w:ascii="Book Antiqua" w:hAnsi="Book Antiqua"/>
        </w:rPr>
        <w:t xml:space="preserve"> </w:t>
      </w:r>
      <w:r w:rsidR="00505195" w:rsidRPr="002D02A8">
        <w:rPr>
          <w:rFonts w:ascii="Book Antiqua" w:hAnsi="Book Antiqua"/>
        </w:rPr>
        <w:t>with</w:t>
      </w:r>
      <w:r w:rsidRPr="002D02A8">
        <w:rPr>
          <w:rFonts w:ascii="Book Antiqua" w:hAnsi="Book Antiqua"/>
        </w:rPr>
        <w:t xml:space="preserve"> a sound education and a good level of work experience.  </w:t>
      </w:r>
      <w:r w:rsidR="00530D52" w:rsidRPr="002D02A8">
        <w:rPr>
          <w:rFonts w:ascii="Book Antiqua" w:hAnsi="Book Antiqua"/>
        </w:rPr>
        <w:t>Relocation was</w:t>
      </w:r>
      <w:r w:rsidR="00530D52">
        <w:rPr>
          <w:rFonts w:ascii="Book Antiqua" w:hAnsi="Book Antiqua"/>
        </w:rPr>
        <w:t>,</w:t>
      </w:r>
      <w:r w:rsidR="00530D52" w:rsidRPr="002D02A8">
        <w:rPr>
          <w:rFonts w:ascii="Book Antiqua" w:hAnsi="Book Antiqua"/>
        </w:rPr>
        <w:t xml:space="preserve"> as it is now</w:t>
      </w:r>
      <w:r w:rsidR="00530D52">
        <w:rPr>
          <w:rFonts w:ascii="Book Antiqua" w:hAnsi="Book Antiqua"/>
        </w:rPr>
        <w:t>,</w:t>
      </w:r>
      <w:r w:rsidR="00530D52" w:rsidRPr="002D02A8">
        <w:rPr>
          <w:rFonts w:ascii="Book Antiqua" w:hAnsi="Book Antiqua"/>
        </w:rPr>
        <w:t xml:space="preserve"> </w:t>
      </w:r>
      <w:r w:rsidR="00530D52">
        <w:rPr>
          <w:rFonts w:ascii="Book Antiqua" w:hAnsi="Book Antiqua"/>
        </w:rPr>
        <w:t xml:space="preserve">generally safe and </w:t>
      </w:r>
      <w:r w:rsidR="00530D52" w:rsidRPr="002D02A8">
        <w:rPr>
          <w:rFonts w:ascii="Book Antiqua" w:hAnsi="Book Antiqua"/>
        </w:rPr>
        <w:t>reasonable</w:t>
      </w:r>
      <w:r w:rsidR="00530D52">
        <w:rPr>
          <w:rFonts w:ascii="Book Antiqua" w:hAnsi="Book Antiqua"/>
        </w:rPr>
        <w:t xml:space="preserve"> (</w:t>
      </w:r>
      <w:r w:rsidR="00530D52" w:rsidRPr="00530D52">
        <w:rPr>
          <w:rFonts w:ascii="Book Antiqua" w:hAnsi="Book Antiqua"/>
          <w:i/>
        </w:rPr>
        <w:t>AK)</w:t>
      </w:r>
      <w:r w:rsidR="00530D52" w:rsidRPr="002D02A8">
        <w:rPr>
          <w:rFonts w:ascii="Book Antiqua" w:hAnsi="Book Antiqua"/>
        </w:rPr>
        <w:t xml:space="preserve">.  </w:t>
      </w:r>
      <w:r w:rsidR="00530D52">
        <w:rPr>
          <w:rFonts w:ascii="Book Antiqua" w:hAnsi="Book Antiqua"/>
        </w:rPr>
        <w:t xml:space="preserve">The background evidence relied on did not establish that the deterioration in conditions rendered relocation of this Appellant unreasonable.  </w:t>
      </w:r>
      <w:r w:rsidR="00530D52" w:rsidRPr="002D02A8">
        <w:rPr>
          <w:rFonts w:ascii="Book Antiqua" w:hAnsi="Book Antiqua"/>
        </w:rPr>
        <w:t xml:space="preserve"> </w:t>
      </w:r>
    </w:p>
    <w:p w:rsidR="00ED3295" w:rsidRDefault="00ED3295" w:rsidP="00ED3295">
      <w:pPr>
        <w:ind w:left="567" w:hanging="567"/>
        <w:rPr>
          <w:rFonts w:ascii="Book Antiqua" w:hAnsi="Book Antiqua"/>
        </w:rPr>
      </w:pPr>
    </w:p>
    <w:p w:rsidR="00530D52" w:rsidRDefault="00ED3295" w:rsidP="00ED3295">
      <w:pPr>
        <w:ind w:left="567" w:hanging="567"/>
        <w:jc w:val="both"/>
        <w:rPr>
          <w:rFonts w:ascii="Book Antiqua" w:hAnsi="Book Antiqua"/>
        </w:rPr>
      </w:pPr>
      <w:r>
        <w:rPr>
          <w:rFonts w:ascii="Book Antiqua" w:hAnsi="Book Antiqua"/>
        </w:rPr>
        <w:t>1</w:t>
      </w:r>
      <w:r w:rsidR="00505195">
        <w:rPr>
          <w:rFonts w:ascii="Book Antiqua" w:hAnsi="Book Antiqua"/>
        </w:rPr>
        <w:t>5</w:t>
      </w:r>
      <w:r>
        <w:rPr>
          <w:rFonts w:ascii="Book Antiqua" w:hAnsi="Book Antiqua"/>
        </w:rPr>
        <w:t xml:space="preserve">.    </w:t>
      </w:r>
      <w:r>
        <w:rPr>
          <w:rFonts w:ascii="Book Antiqua" w:hAnsi="Book Antiqua"/>
        </w:rPr>
        <w:tab/>
      </w:r>
      <w:r w:rsidRPr="002D02A8">
        <w:rPr>
          <w:rFonts w:ascii="Book Antiqua" w:hAnsi="Book Antiqua"/>
        </w:rPr>
        <w:t>Mr B</w:t>
      </w:r>
      <w:r>
        <w:rPr>
          <w:rFonts w:ascii="Book Antiqua" w:hAnsi="Book Antiqua"/>
        </w:rPr>
        <w:t xml:space="preserve">andegani </w:t>
      </w:r>
      <w:r w:rsidRPr="002D02A8">
        <w:rPr>
          <w:rFonts w:ascii="Book Antiqua" w:hAnsi="Book Antiqua"/>
        </w:rPr>
        <w:t>raised mental health issues in submissions before me</w:t>
      </w:r>
      <w:r w:rsidR="00530D52">
        <w:rPr>
          <w:rFonts w:ascii="Book Antiqua" w:hAnsi="Book Antiqua"/>
        </w:rPr>
        <w:t xml:space="preserve">. He </w:t>
      </w:r>
      <w:r w:rsidR="000C07B7">
        <w:rPr>
          <w:rFonts w:ascii="Book Antiqua" w:hAnsi="Book Antiqua"/>
        </w:rPr>
        <w:t>submitt</w:t>
      </w:r>
      <w:r w:rsidR="00530D52">
        <w:rPr>
          <w:rFonts w:ascii="Book Antiqua" w:hAnsi="Book Antiqua"/>
        </w:rPr>
        <w:t>ed</w:t>
      </w:r>
      <w:r w:rsidR="000C07B7">
        <w:rPr>
          <w:rFonts w:ascii="Book Antiqua" w:hAnsi="Book Antiqua"/>
        </w:rPr>
        <w:t xml:space="preserve"> that this was a factor to consider when assessing the reasonableness of relocation in the context of the deterioration in conditions. </w:t>
      </w:r>
      <w:r>
        <w:rPr>
          <w:rFonts w:ascii="Book Antiqua" w:hAnsi="Book Antiqua"/>
        </w:rPr>
        <w:t xml:space="preserve"> This was not an issue raised in the grounds</w:t>
      </w:r>
      <w:r w:rsidR="000C07B7">
        <w:rPr>
          <w:rFonts w:ascii="Book Antiqua" w:hAnsi="Book Antiqua"/>
        </w:rPr>
        <w:t xml:space="preserve"> before me</w:t>
      </w:r>
      <w:r>
        <w:rPr>
          <w:rFonts w:ascii="Book Antiqua" w:hAnsi="Book Antiqua"/>
        </w:rPr>
        <w:t xml:space="preserve">. </w:t>
      </w:r>
      <w:r w:rsidRPr="002D02A8">
        <w:rPr>
          <w:rFonts w:ascii="Book Antiqua" w:hAnsi="Book Antiqua"/>
        </w:rPr>
        <w:t>He referred me photocop</w:t>
      </w:r>
      <w:r w:rsidR="00124C29">
        <w:rPr>
          <w:rFonts w:ascii="Book Antiqua" w:hAnsi="Book Antiqua"/>
        </w:rPr>
        <w:t xml:space="preserve">ies </w:t>
      </w:r>
      <w:r w:rsidRPr="002D02A8">
        <w:rPr>
          <w:rFonts w:ascii="Book Antiqua" w:hAnsi="Book Antiqua"/>
        </w:rPr>
        <w:t>of box</w:t>
      </w:r>
      <w:r w:rsidR="00124C29">
        <w:rPr>
          <w:rFonts w:ascii="Book Antiqua" w:hAnsi="Book Antiqua"/>
        </w:rPr>
        <w:t>es</w:t>
      </w:r>
      <w:r w:rsidRPr="002D02A8">
        <w:rPr>
          <w:rFonts w:ascii="Book Antiqua" w:hAnsi="Book Antiqua"/>
        </w:rPr>
        <w:t xml:space="preserve"> of Citalopram, a drug commonly prescribed for depression</w:t>
      </w:r>
      <w:r w:rsidR="000C07B7">
        <w:rPr>
          <w:rFonts w:ascii="Book Antiqua" w:hAnsi="Book Antiqua"/>
        </w:rPr>
        <w:t xml:space="preserve"> (</w:t>
      </w:r>
      <w:r w:rsidR="00530D52">
        <w:rPr>
          <w:rFonts w:ascii="Book Antiqua" w:hAnsi="Book Antiqua"/>
        </w:rPr>
        <w:t xml:space="preserve">p135-141 </w:t>
      </w:r>
      <w:r w:rsidR="000C07B7">
        <w:rPr>
          <w:rFonts w:ascii="Book Antiqua" w:hAnsi="Book Antiqua"/>
        </w:rPr>
        <w:t>AB1)</w:t>
      </w:r>
      <w:r>
        <w:rPr>
          <w:rFonts w:ascii="Book Antiqua" w:hAnsi="Book Antiqua"/>
        </w:rPr>
        <w:t xml:space="preserve">. This was evidence that the Appellant </w:t>
      </w:r>
      <w:r w:rsidR="00530D52">
        <w:rPr>
          <w:rFonts w:ascii="Book Antiqua" w:hAnsi="Book Antiqua"/>
        </w:rPr>
        <w:t>was</w:t>
      </w:r>
      <w:r w:rsidRPr="002D02A8">
        <w:rPr>
          <w:rFonts w:ascii="Book Antiqua" w:hAnsi="Book Antiqua"/>
        </w:rPr>
        <w:t xml:space="preserve"> prescribed</w:t>
      </w:r>
      <w:r>
        <w:rPr>
          <w:rFonts w:ascii="Book Antiqua" w:hAnsi="Book Antiqua"/>
        </w:rPr>
        <w:t xml:space="preserve"> the drug </w:t>
      </w:r>
      <w:r w:rsidRPr="002D02A8">
        <w:rPr>
          <w:rFonts w:ascii="Book Antiqua" w:hAnsi="Book Antiqua"/>
        </w:rPr>
        <w:t xml:space="preserve">in </w:t>
      </w:r>
      <w:r w:rsidR="00124C29">
        <w:rPr>
          <w:rFonts w:ascii="Book Antiqua" w:hAnsi="Book Antiqua"/>
        </w:rPr>
        <w:t>November 2016, 16 January 2017 and 27 March 2017.</w:t>
      </w:r>
      <w:r w:rsidR="000C07B7">
        <w:rPr>
          <w:rFonts w:ascii="Book Antiqua" w:hAnsi="Book Antiqua"/>
        </w:rPr>
        <w:t xml:space="preserve"> </w:t>
      </w:r>
      <w:r>
        <w:rPr>
          <w:rFonts w:ascii="Book Antiqua" w:hAnsi="Book Antiqua"/>
        </w:rPr>
        <w:t xml:space="preserve"> </w:t>
      </w:r>
      <w:r w:rsidRPr="002D02A8">
        <w:rPr>
          <w:rFonts w:ascii="Book Antiqua" w:hAnsi="Book Antiqua"/>
        </w:rPr>
        <w:t xml:space="preserve"> T</w:t>
      </w:r>
      <w:r>
        <w:rPr>
          <w:rFonts w:ascii="Book Antiqua" w:hAnsi="Book Antiqua"/>
        </w:rPr>
        <w:t>here</w:t>
      </w:r>
      <w:r w:rsidR="00124C29">
        <w:rPr>
          <w:rFonts w:ascii="Book Antiqua" w:hAnsi="Book Antiqua"/>
        </w:rPr>
        <w:t xml:space="preserve"> </w:t>
      </w:r>
      <w:r w:rsidR="000C07B7">
        <w:rPr>
          <w:rFonts w:ascii="Book Antiqua" w:hAnsi="Book Antiqua"/>
        </w:rPr>
        <w:t>was before the judge a</w:t>
      </w:r>
      <w:r w:rsidR="00124C29">
        <w:rPr>
          <w:rFonts w:ascii="Book Antiqua" w:hAnsi="Book Antiqua"/>
        </w:rPr>
        <w:t xml:space="preserve"> character reference from Lea Fanara (AB p129)</w:t>
      </w:r>
      <w:r w:rsidR="000C07B7">
        <w:rPr>
          <w:rFonts w:ascii="Book Antiqua" w:hAnsi="Book Antiqua"/>
        </w:rPr>
        <w:t xml:space="preserve"> dated 30 April 2017</w:t>
      </w:r>
      <w:r w:rsidR="00124C29">
        <w:rPr>
          <w:rFonts w:ascii="Book Antiqua" w:hAnsi="Book Antiqua"/>
        </w:rPr>
        <w:t xml:space="preserve">. She </w:t>
      </w:r>
      <w:r w:rsidR="000C07B7">
        <w:rPr>
          <w:rFonts w:ascii="Book Antiqua" w:hAnsi="Book Antiqua"/>
        </w:rPr>
        <w:t>was</w:t>
      </w:r>
      <w:r w:rsidR="00124C29">
        <w:rPr>
          <w:rFonts w:ascii="Book Antiqua" w:hAnsi="Book Antiqua"/>
        </w:rPr>
        <w:t xml:space="preserve"> a support worker and facilitate</w:t>
      </w:r>
      <w:r w:rsidR="00530D52">
        <w:rPr>
          <w:rFonts w:ascii="Book Antiqua" w:hAnsi="Book Antiqua"/>
        </w:rPr>
        <w:t>d</w:t>
      </w:r>
      <w:r w:rsidR="00124C29">
        <w:rPr>
          <w:rFonts w:ascii="Book Antiqua" w:hAnsi="Book Antiqua"/>
        </w:rPr>
        <w:t xml:space="preserve"> the resett</w:t>
      </w:r>
      <w:r w:rsidR="00125D0A">
        <w:rPr>
          <w:rFonts w:ascii="Book Antiqua" w:hAnsi="Book Antiqua"/>
        </w:rPr>
        <w:t>l</w:t>
      </w:r>
      <w:r w:rsidR="00124C29">
        <w:rPr>
          <w:rFonts w:ascii="Book Antiqua" w:hAnsi="Book Antiqua"/>
        </w:rPr>
        <w:t>ement and integration of refug</w:t>
      </w:r>
      <w:r w:rsidR="00530D52">
        <w:rPr>
          <w:rFonts w:ascii="Book Antiqua" w:hAnsi="Book Antiqua"/>
        </w:rPr>
        <w:t>e</w:t>
      </w:r>
      <w:r w:rsidR="00124C29">
        <w:rPr>
          <w:rFonts w:ascii="Book Antiqua" w:hAnsi="Book Antiqua"/>
        </w:rPr>
        <w:t>es. She stated that she had notice</w:t>
      </w:r>
      <w:r w:rsidR="000C07B7">
        <w:rPr>
          <w:rFonts w:ascii="Book Antiqua" w:hAnsi="Book Antiqua"/>
        </w:rPr>
        <w:t>d</w:t>
      </w:r>
      <w:r w:rsidR="00124C29">
        <w:rPr>
          <w:rFonts w:ascii="Book Antiqua" w:hAnsi="Book Antiqua"/>
        </w:rPr>
        <w:t xml:space="preserve"> that the </w:t>
      </w:r>
      <w:r w:rsidR="00530D52">
        <w:rPr>
          <w:rFonts w:ascii="Book Antiqua" w:hAnsi="Book Antiqua"/>
        </w:rPr>
        <w:t>“</w:t>
      </w:r>
      <w:r w:rsidR="00124C29">
        <w:rPr>
          <w:rFonts w:ascii="Book Antiqua" w:hAnsi="Book Antiqua"/>
        </w:rPr>
        <w:t>current state of uncerta</w:t>
      </w:r>
      <w:r w:rsidR="00125D0A">
        <w:rPr>
          <w:rFonts w:ascii="Book Antiqua" w:hAnsi="Book Antiqua"/>
        </w:rPr>
        <w:t>inty</w:t>
      </w:r>
      <w:r w:rsidR="00530D52">
        <w:rPr>
          <w:rFonts w:ascii="Book Antiqua" w:hAnsi="Book Antiqua"/>
        </w:rPr>
        <w:t>”</w:t>
      </w:r>
      <w:r w:rsidR="00124C29">
        <w:rPr>
          <w:rFonts w:ascii="Book Antiqua" w:hAnsi="Book Antiqua"/>
        </w:rPr>
        <w:t xml:space="preserve"> following months of difficulty ha</w:t>
      </w:r>
      <w:r w:rsidR="00660A86">
        <w:rPr>
          <w:rFonts w:ascii="Book Antiqua" w:hAnsi="Book Antiqua"/>
        </w:rPr>
        <w:t xml:space="preserve">d caused </w:t>
      </w:r>
      <w:r w:rsidR="00124C29">
        <w:rPr>
          <w:rFonts w:ascii="Book Antiqua" w:hAnsi="Book Antiqua"/>
        </w:rPr>
        <w:t xml:space="preserve">the Appellant </w:t>
      </w:r>
      <w:r w:rsidR="00660A86">
        <w:rPr>
          <w:rFonts w:ascii="Book Antiqua" w:hAnsi="Book Antiqua"/>
        </w:rPr>
        <w:t xml:space="preserve">to feel </w:t>
      </w:r>
      <w:r w:rsidR="00124C29">
        <w:rPr>
          <w:rFonts w:ascii="Book Antiqua" w:hAnsi="Book Antiqua"/>
        </w:rPr>
        <w:t xml:space="preserve">depressed and anxious about the future.  </w:t>
      </w:r>
      <w:r w:rsidR="005C647D">
        <w:rPr>
          <w:rFonts w:ascii="Book Antiqua" w:hAnsi="Book Antiqua"/>
        </w:rPr>
        <w:t>There</w:t>
      </w:r>
      <w:r w:rsidR="000C07B7">
        <w:rPr>
          <w:rFonts w:ascii="Book Antiqua" w:hAnsi="Book Antiqua"/>
        </w:rPr>
        <w:t xml:space="preserve"> was </w:t>
      </w:r>
      <w:r w:rsidR="005C647D">
        <w:rPr>
          <w:rFonts w:ascii="Book Antiqua" w:hAnsi="Book Antiqua"/>
        </w:rPr>
        <w:t xml:space="preserve">an undated letter from Leanne McDonald who </w:t>
      </w:r>
      <w:r w:rsidR="000C07B7">
        <w:rPr>
          <w:rFonts w:ascii="Book Antiqua" w:hAnsi="Book Antiqua"/>
        </w:rPr>
        <w:t>was</w:t>
      </w:r>
      <w:r w:rsidR="005C647D">
        <w:rPr>
          <w:rFonts w:ascii="Book Antiqua" w:hAnsi="Book Antiqua"/>
        </w:rPr>
        <w:t xml:space="preserve"> a friend and</w:t>
      </w:r>
      <w:r w:rsidR="00660A86">
        <w:rPr>
          <w:rFonts w:ascii="Book Antiqua" w:hAnsi="Book Antiqua"/>
        </w:rPr>
        <w:t xml:space="preserve"> described herself as a </w:t>
      </w:r>
      <w:r w:rsidR="000C07B7">
        <w:rPr>
          <w:rFonts w:ascii="Book Antiqua" w:hAnsi="Book Antiqua"/>
        </w:rPr>
        <w:t>h</w:t>
      </w:r>
      <w:r w:rsidR="005C647D">
        <w:rPr>
          <w:rFonts w:ascii="Book Antiqua" w:hAnsi="Book Antiqua"/>
        </w:rPr>
        <w:t xml:space="preserve">ealth </w:t>
      </w:r>
      <w:r w:rsidR="000C07B7">
        <w:rPr>
          <w:rFonts w:ascii="Book Antiqua" w:hAnsi="Book Antiqua"/>
        </w:rPr>
        <w:t>p</w:t>
      </w:r>
      <w:r w:rsidR="005C647D">
        <w:rPr>
          <w:rFonts w:ascii="Book Antiqua" w:hAnsi="Book Antiqua"/>
        </w:rPr>
        <w:t>sychologist. She met the Appellant in 2016 and state</w:t>
      </w:r>
      <w:r w:rsidR="000C07B7">
        <w:rPr>
          <w:rFonts w:ascii="Book Antiqua" w:hAnsi="Book Antiqua"/>
        </w:rPr>
        <w:t>d</w:t>
      </w:r>
      <w:r w:rsidR="005C647D">
        <w:rPr>
          <w:rFonts w:ascii="Book Antiqua" w:hAnsi="Book Antiqua"/>
        </w:rPr>
        <w:t xml:space="preserve"> that he suffer</w:t>
      </w:r>
      <w:r w:rsidR="000C07B7">
        <w:rPr>
          <w:rFonts w:ascii="Book Antiqua" w:hAnsi="Book Antiqua"/>
        </w:rPr>
        <w:t>ed</w:t>
      </w:r>
      <w:r w:rsidR="005C647D">
        <w:rPr>
          <w:rFonts w:ascii="Book Antiqua" w:hAnsi="Book Antiqua"/>
        </w:rPr>
        <w:t xml:space="preserve"> from psychological trauma </w:t>
      </w:r>
      <w:r w:rsidR="007E6320">
        <w:rPr>
          <w:rFonts w:ascii="Book Antiqua" w:hAnsi="Book Antiqua"/>
        </w:rPr>
        <w:t>because of</w:t>
      </w:r>
      <w:r w:rsidR="005C647D">
        <w:rPr>
          <w:rFonts w:ascii="Book Antiqua" w:hAnsi="Book Antiqua"/>
        </w:rPr>
        <w:t xml:space="preserve"> circumstances at home and his journey to the UK. He appear</w:t>
      </w:r>
      <w:r w:rsidR="000C07B7">
        <w:rPr>
          <w:rFonts w:ascii="Book Antiqua" w:hAnsi="Book Antiqua"/>
        </w:rPr>
        <w:t>ed</w:t>
      </w:r>
      <w:r w:rsidR="005C647D">
        <w:rPr>
          <w:rFonts w:ascii="Book Antiqua" w:hAnsi="Book Antiqua"/>
        </w:rPr>
        <w:t xml:space="preserve"> outwardly very resilient and str</w:t>
      </w:r>
      <w:r w:rsidR="000C07B7">
        <w:rPr>
          <w:rFonts w:ascii="Book Antiqua" w:hAnsi="Book Antiqua"/>
        </w:rPr>
        <w:t>ong</w:t>
      </w:r>
      <w:r w:rsidR="005C647D">
        <w:rPr>
          <w:rFonts w:ascii="Book Antiqua" w:hAnsi="Book Antiqua"/>
        </w:rPr>
        <w:t>. He ha</w:t>
      </w:r>
      <w:r w:rsidR="000C07B7">
        <w:rPr>
          <w:rFonts w:ascii="Book Antiqua" w:hAnsi="Book Antiqua"/>
        </w:rPr>
        <w:t>d</w:t>
      </w:r>
      <w:r w:rsidR="005C647D">
        <w:rPr>
          <w:rFonts w:ascii="Book Antiqua" w:hAnsi="Book Antiqua"/>
        </w:rPr>
        <w:t xml:space="preserve"> frequent periods where he fe</w:t>
      </w:r>
      <w:r w:rsidR="000C07B7">
        <w:rPr>
          <w:rFonts w:ascii="Book Antiqua" w:hAnsi="Book Antiqua"/>
        </w:rPr>
        <w:t xml:space="preserve">lt </w:t>
      </w:r>
      <w:r w:rsidR="005C647D">
        <w:rPr>
          <w:rFonts w:ascii="Book Antiqua" w:hAnsi="Book Antiqua"/>
        </w:rPr>
        <w:t>very low and he suffer</w:t>
      </w:r>
      <w:r w:rsidR="000C07B7">
        <w:rPr>
          <w:rFonts w:ascii="Book Antiqua" w:hAnsi="Book Antiqua"/>
        </w:rPr>
        <w:t>ed</w:t>
      </w:r>
      <w:r w:rsidR="005C647D">
        <w:rPr>
          <w:rFonts w:ascii="Book Antiqua" w:hAnsi="Book Antiqua"/>
        </w:rPr>
        <w:t xml:space="preserve"> from severe anxiety and depression. She also state</w:t>
      </w:r>
      <w:r w:rsidR="000C07B7">
        <w:rPr>
          <w:rFonts w:ascii="Book Antiqua" w:hAnsi="Book Antiqua"/>
        </w:rPr>
        <w:t>d</w:t>
      </w:r>
      <w:r w:rsidR="005C647D">
        <w:rPr>
          <w:rFonts w:ascii="Book Antiqua" w:hAnsi="Book Antiqua"/>
        </w:rPr>
        <w:t xml:space="preserve"> that he has suffered suicidal ideation and panic attacks </w:t>
      </w:r>
      <w:r w:rsidR="007E6320">
        <w:rPr>
          <w:rFonts w:ascii="Book Antiqua" w:hAnsi="Book Antiqua"/>
        </w:rPr>
        <w:t>because of</w:t>
      </w:r>
      <w:r w:rsidR="005C647D">
        <w:rPr>
          <w:rFonts w:ascii="Book Antiqua" w:hAnsi="Book Antiqua"/>
        </w:rPr>
        <w:t xml:space="preserve"> the decision on his asylum claim. </w:t>
      </w:r>
      <w:r w:rsidR="00530D52">
        <w:rPr>
          <w:rFonts w:ascii="Book Antiqua" w:hAnsi="Book Antiqua"/>
        </w:rPr>
        <w:t xml:space="preserve"> There is nothing in this evidence that </w:t>
      </w:r>
      <w:r w:rsidR="00530D52">
        <w:rPr>
          <w:rFonts w:ascii="Book Antiqua" w:hAnsi="Book Antiqua"/>
        </w:rPr>
        <w:lastRenderedPageBreak/>
        <w:t xml:space="preserve">would suggest that she was giving an opinion as an expert as opposed to a concerned friend. </w:t>
      </w:r>
      <w:r>
        <w:rPr>
          <w:rFonts w:ascii="Book Antiqua" w:hAnsi="Book Antiqua"/>
        </w:rPr>
        <w:t xml:space="preserve"> </w:t>
      </w:r>
      <w:r w:rsidRPr="002D02A8">
        <w:rPr>
          <w:rFonts w:ascii="Book Antiqua" w:hAnsi="Book Antiqua"/>
        </w:rPr>
        <w:t>This was the totality</w:t>
      </w:r>
      <w:r w:rsidR="001B376E">
        <w:rPr>
          <w:rFonts w:ascii="Book Antiqua" w:hAnsi="Book Antiqua"/>
        </w:rPr>
        <w:t xml:space="preserve"> of the evidence now relied on to establish that</w:t>
      </w:r>
      <w:r w:rsidR="00530D52">
        <w:rPr>
          <w:rFonts w:ascii="Book Antiqua" w:hAnsi="Book Antiqua"/>
        </w:rPr>
        <w:t xml:space="preserve"> the Appellant had </w:t>
      </w:r>
      <w:r w:rsidR="001B376E">
        <w:rPr>
          <w:rFonts w:ascii="Book Antiqua" w:hAnsi="Book Antiqua"/>
        </w:rPr>
        <w:t xml:space="preserve">a mental health condition. </w:t>
      </w:r>
    </w:p>
    <w:p w:rsidR="00530D52" w:rsidRDefault="00530D52" w:rsidP="00ED3295">
      <w:pPr>
        <w:ind w:left="567" w:hanging="567"/>
        <w:jc w:val="both"/>
        <w:rPr>
          <w:rFonts w:ascii="Book Antiqua" w:hAnsi="Book Antiqua"/>
        </w:rPr>
      </w:pPr>
    </w:p>
    <w:p w:rsidR="00ED3295" w:rsidRDefault="00530D52" w:rsidP="00ED3295">
      <w:pPr>
        <w:ind w:left="567" w:hanging="567"/>
        <w:jc w:val="both"/>
        <w:rPr>
          <w:rFonts w:ascii="Book Antiqua" w:hAnsi="Book Antiqua"/>
        </w:rPr>
      </w:pPr>
      <w:r>
        <w:rPr>
          <w:rFonts w:ascii="Book Antiqua" w:hAnsi="Book Antiqua"/>
        </w:rPr>
        <w:t xml:space="preserve">16.    </w:t>
      </w:r>
      <w:r w:rsidR="001B376E">
        <w:rPr>
          <w:rFonts w:ascii="Book Antiqua" w:hAnsi="Book Antiqua"/>
        </w:rPr>
        <w:t xml:space="preserve">There </w:t>
      </w:r>
      <w:r w:rsidR="00ED3295" w:rsidRPr="002D02A8">
        <w:rPr>
          <w:rFonts w:ascii="Book Antiqua" w:hAnsi="Book Antiqua"/>
        </w:rPr>
        <w:t xml:space="preserve">was no reference to </w:t>
      </w:r>
      <w:r w:rsidR="001B376E">
        <w:rPr>
          <w:rFonts w:ascii="Book Antiqua" w:hAnsi="Book Antiqua"/>
        </w:rPr>
        <w:t xml:space="preserve">the Appellant’s </w:t>
      </w:r>
      <w:r w:rsidR="00ED3295" w:rsidRPr="002D02A8">
        <w:rPr>
          <w:rFonts w:ascii="Book Antiqua" w:hAnsi="Book Antiqua"/>
        </w:rPr>
        <w:t xml:space="preserve">mental health in the grounds before the FtT, the </w:t>
      </w:r>
      <w:r w:rsidR="00ED3295">
        <w:rPr>
          <w:rFonts w:ascii="Book Antiqua" w:hAnsi="Book Antiqua"/>
        </w:rPr>
        <w:t>A</w:t>
      </w:r>
      <w:r w:rsidR="00ED3295" w:rsidRPr="002D02A8">
        <w:rPr>
          <w:rFonts w:ascii="Book Antiqua" w:hAnsi="Book Antiqua"/>
        </w:rPr>
        <w:t>ppellant’s witness statement</w:t>
      </w:r>
      <w:r w:rsidR="00ED3295">
        <w:rPr>
          <w:rFonts w:ascii="Book Antiqua" w:hAnsi="Book Antiqua"/>
        </w:rPr>
        <w:t xml:space="preserve">, </w:t>
      </w:r>
      <w:r w:rsidR="00ED3295" w:rsidRPr="002D02A8">
        <w:rPr>
          <w:rFonts w:ascii="Book Antiqua" w:hAnsi="Book Antiqua"/>
        </w:rPr>
        <w:t>Counsel’s skeleton argument</w:t>
      </w:r>
      <w:r w:rsidR="00ED3295">
        <w:rPr>
          <w:rFonts w:ascii="Book Antiqua" w:hAnsi="Book Antiqua"/>
        </w:rPr>
        <w:t xml:space="preserve"> before the FtT, Counsel’s skeleton argument before me and the grounds before the UT. </w:t>
      </w:r>
      <w:r w:rsidR="00ED3295" w:rsidRPr="002D02A8">
        <w:rPr>
          <w:rFonts w:ascii="Book Antiqua" w:hAnsi="Book Antiqua"/>
        </w:rPr>
        <w:t xml:space="preserve"> There </w:t>
      </w:r>
      <w:r w:rsidR="00ED3295">
        <w:rPr>
          <w:rFonts w:ascii="Book Antiqua" w:hAnsi="Book Antiqua"/>
        </w:rPr>
        <w:t xml:space="preserve">was </w:t>
      </w:r>
      <w:r w:rsidR="00ED3295" w:rsidRPr="002D02A8">
        <w:rPr>
          <w:rFonts w:ascii="Book Antiqua" w:hAnsi="Book Antiqua"/>
        </w:rPr>
        <w:t>no evidence exp</w:t>
      </w:r>
      <w:r w:rsidR="001B376E">
        <w:rPr>
          <w:rFonts w:ascii="Book Antiqua" w:hAnsi="Book Antiqua"/>
        </w:rPr>
        <w:t>laining why he was prescribed</w:t>
      </w:r>
      <w:r w:rsidR="00ED3295" w:rsidRPr="002D02A8">
        <w:rPr>
          <w:rFonts w:ascii="Book Antiqua" w:hAnsi="Book Antiqua"/>
        </w:rPr>
        <w:t xml:space="preserve"> Citalopram and there was no medical report.</w:t>
      </w:r>
      <w:r w:rsidR="0027001A">
        <w:rPr>
          <w:rFonts w:ascii="Book Antiqua" w:hAnsi="Book Antiqua"/>
        </w:rPr>
        <w:t xml:space="preserve"> There was no evidence before the judge which would establish that the Appellant had a mental health condition for which he was receiving treatment at the date of the hearing on 8 May 2017 </w:t>
      </w:r>
      <w:r>
        <w:rPr>
          <w:rFonts w:ascii="Book Antiqua" w:hAnsi="Book Antiqua"/>
        </w:rPr>
        <w:t xml:space="preserve">capable of </w:t>
      </w:r>
      <w:r w:rsidR="0027001A">
        <w:rPr>
          <w:rFonts w:ascii="Book Antiqua" w:hAnsi="Book Antiqua"/>
        </w:rPr>
        <w:t>undermin</w:t>
      </w:r>
      <w:r>
        <w:rPr>
          <w:rFonts w:ascii="Book Antiqua" w:hAnsi="Book Antiqua"/>
        </w:rPr>
        <w:t xml:space="preserve">ing </w:t>
      </w:r>
      <w:r w:rsidR="0027001A">
        <w:rPr>
          <w:rFonts w:ascii="Book Antiqua" w:hAnsi="Book Antiqua"/>
        </w:rPr>
        <w:t>the judge</w:t>
      </w:r>
      <w:r>
        <w:rPr>
          <w:rFonts w:ascii="Book Antiqua" w:hAnsi="Book Antiqua"/>
        </w:rPr>
        <w:t>’</w:t>
      </w:r>
      <w:r w:rsidR="0027001A">
        <w:rPr>
          <w:rFonts w:ascii="Book Antiqua" w:hAnsi="Book Antiqua"/>
        </w:rPr>
        <w:t xml:space="preserve">s decision. It is not asserted in the grounds that the judge failed to consider evidence relating to the Appellant’s mental health. </w:t>
      </w:r>
      <w:r w:rsidR="0055549E">
        <w:rPr>
          <w:rFonts w:ascii="Book Antiqua" w:hAnsi="Book Antiqua"/>
        </w:rPr>
        <w:t xml:space="preserve">In any event, the </w:t>
      </w:r>
      <w:r w:rsidR="0027001A">
        <w:rPr>
          <w:rFonts w:ascii="Book Antiqua" w:hAnsi="Book Antiqua"/>
        </w:rPr>
        <w:t xml:space="preserve"> </w:t>
      </w:r>
      <w:r w:rsidR="00ED3295" w:rsidRPr="002D02A8">
        <w:rPr>
          <w:rFonts w:ascii="Book Antiqua" w:hAnsi="Book Antiqua"/>
        </w:rPr>
        <w:t xml:space="preserve">evidence was insufficient to establish that he had </w:t>
      </w:r>
      <w:r>
        <w:rPr>
          <w:rFonts w:ascii="Book Antiqua" w:hAnsi="Book Antiqua"/>
        </w:rPr>
        <w:t xml:space="preserve">a </w:t>
      </w:r>
      <w:r w:rsidR="00ED3295" w:rsidRPr="002D02A8">
        <w:rPr>
          <w:rFonts w:ascii="Book Antiqua" w:hAnsi="Book Antiqua"/>
        </w:rPr>
        <w:t>mental health</w:t>
      </w:r>
      <w:r>
        <w:rPr>
          <w:rFonts w:ascii="Book Antiqua" w:hAnsi="Book Antiqua"/>
        </w:rPr>
        <w:t xml:space="preserve"> condition that </w:t>
      </w:r>
      <w:r w:rsidR="00ED3295" w:rsidRPr="002D02A8">
        <w:rPr>
          <w:rFonts w:ascii="Book Antiqua" w:hAnsi="Book Antiqua"/>
        </w:rPr>
        <w:t xml:space="preserve">would materially interfere with his ability to adjust to the conditions in Kabul </w:t>
      </w:r>
      <w:r w:rsidR="00ED3295">
        <w:rPr>
          <w:rFonts w:ascii="Book Antiqua" w:hAnsi="Book Antiqua"/>
        </w:rPr>
        <w:t>(</w:t>
      </w:r>
      <w:r w:rsidR="00ED3295" w:rsidRPr="002D02A8">
        <w:rPr>
          <w:rFonts w:ascii="Book Antiqua" w:hAnsi="Book Antiqua"/>
        </w:rPr>
        <w:t>notwithstanding the deteriorating conditions</w:t>
      </w:r>
      <w:r w:rsidR="00ED3295">
        <w:rPr>
          <w:rFonts w:ascii="Book Antiqua" w:hAnsi="Book Antiqua"/>
        </w:rPr>
        <w:t>)</w:t>
      </w:r>
      <w:r w:rsidR="0055549E">
        <w:rPr>
          <w:rFonts w:ascii="Book Antiqua" w:hAnsi="Book Antiqua"/>
        </w:rPr>
        <w:t xml:space="preserve"> so as to </w:t>
      </w:r>
      <w:r w:rsidR="00ED3295" w:rsidRPr="002D02A8">
        <w:rPr>
          <w:rFonts w:ascii="Book Antiqua" w:hAnsi="Book Antiqua"/>
        </w:rPr>
        <w:t xml:space="preserve">render relocation unreasonable.  There was no evidence he would not be able to obtain medication, if the position was that </w:t>
      </w:r>
      <w:r w:rsidR="00E1233F">
        <w:rPr>
          <w:rFonts w:ascii="Book Antiqua" w:hAnsi="Book Antiqua"/>
        </w:rPr>
        <w:t xml:space="preserve">this was necessary. </w:t>
      </w:r>
      <w:r w:rsidR="00ED3295" w:rsidRPr="002D02A8">
        <w:rPr>
          <w:rFonts w:ascii="Book Antiqua" w:hAnsi="Book Antiqua"/>
        </w:rPr>
        <w:t xml:space="preserve"> </w:t>
      </w:r>
      <w:r>
        <w:rPr>
          <w:rFonts w:ascii="Book Antiqua" w:hAnsi="Book Antiqua"/>
        </w:rPr>
        <w:t xml:space="preserve">On the </w:t>
      </w:r>
      <w:r w:rsidR="00ED3295">
        <w:rPr>
          <w:rFonts w:ascii="Book Antiqua" w:hAnsi="Book Antiqua"/>
        </w:rPr>
        <w:t xml:space="preserve">evidence </w:t>
      </w:r>
      <w:r w:rsidR="00E1233F">
        <w:rPr>
          <w:rFonts w:ascii="Book Antiqua" w:hAnsi="Book Antiqua"/>
        </w:rPr>
        <w:t xml:space="preserve">before </w:t>
      </w:r>
      <w:r w:rsidR="00ED3295">
        <w:rPr>
          <w:rFonts w:ascii="Book Antiqua" w:hAnsi="Book Antiqua"/>
        </w:rPr>
        <w:t>the</w:t>
      </w:r>
      <w:r w:rsidR="00ED3295" w:rsidRPr="002D02A8">
        <w:rPr>
          <w:rFonts w:ascii="Book Antiqua" w:hAnsi="Book Antiqua"/>
        </w:rPr>
        <w:t xml:space="preserve"> judge</w:t>
      </w:r>
      <w:r>
        <w:rPr>
          <w:rFonts w:ascii="Book Antiqua" w:hAnsi="Book Antiqua"/>
        </w:rPr>
        <w:t xml:space="preserve"> he</w:t>
      </w:r>
      <w:r w:rsidR="00ED3295" w:rsidRPr="002D02A8">
        <w:rPr>
          <w:rFonts w:ascii="Book Antiqua" w:hAnsi="Book Antiqua"/>
        </w:rPr>
        <w:t xml:space="preserve"> was</w:t>
      </w:r>
      <w:r>
        <w:rPr>
          <w:rFonts w:ascii="Book Antiqua" w:hAnsi="Book Antiqua"/>
        </w:rPr>
        <w:t xml:space="preserve"> manifestly </w:t>
      </w:r>
      <w:r w:rsidR="00ED3295" w:rsidRPr="002D02A8">
        <w:rPr>
          <w:rFonts w:ascii="Book Antiqua" w:hAnsi="Book Antiqua"/>
        </w:rPr>
        <w:t xml:space="preserve">entitled to conclude that the </w:t>
      </w:r>
      <w:r w:rsidR="00ED3295">
        <w:rPr>
          <w:rFonts w:ascii="Book Antiqua" w:hAnsi="Book Antiqua"/>
        </w:rPr>
        <w:t>A</w:t>
      </w:r>
      <w:r w:rsidR="00ED3295" w:rsidRPr="002D02A8">
        <w:rPr>
          <w:rFonts w:ascii="Book Antiqua" w:hAnsi="Book Antiqua"/>
        </w:rPr>
        <w:t>ppellant was healthy</w:t>
      </w:r>
      <w:r>
        <w:rPr>
          <w:rFonts w:ascii="Book Antiqua" w:hAnsi="Book Antiqua"/>
        </w:rPr>
        <w:t xml:space="preserve"> and to consider reasonableness in this context.</w:t>
      </w:r>
      <w:r w:rsidR="00ED3295" w:rsidRPr="002D02A8">
        <w:rPr>
          <w:rFonts w:ascii="Book Antiqua" w:hAnsi="Book Antiqua"/>
        </w:rPr>
        <w:t xml:space="preserve"> </w:t>
      </w:r>
    </w:p>
    <w:p w:rsidR="00ED3295" w:rsidRDefault="00ED3295" w:rsidP="00ED3295">
      <w:pPr>
        <w:ind w:left="567" w:hanging="567"/>
        <w:jc w:val="both"/>
        <w:rPr>
          <w:rFonts w:ascii="Book Antiqua" w:hAnsi="Book Antiqua"/>
        </w:rPr>
      </w:pPr>
    </w:p>
    <w:p w:rsidR="00B3090A" w:rsidRDefault="00ED3295" w:rsidP="00B3090A">
      <w:pPr>
        <w:ind w:left="567" w:hanging="567"/>
        <w:jc w:val="both"/>
        <w:rPr>
          <w:rFonts w:ascii="Book Antiqua" w:hAnsi="Book Antiqua"/>
        </w:rPr>
      </w:pPr>
      <w:r>
        <w:rPr>
          <w:rFonts w:ascii="Book Antiqua" w:hAnsi="Book Antiqua"/>
        </w:rPr>
        <w:t>1</w:t>
      </w:r>
      <w:r w:rsidR="00DE401B">
        <w:rPr>
          <w:rFonts w:ascii="Book Antiqua" w:hAnsi="Book Antiqua"/>
        </w:rPr>
        <w:t>7</w:t>
      </w:r>
      <w:r>
        <w:rPr>
          <w:rFonts w:ascii="Book Antiqua" w:hAnsi="Book Antiqua"/>
        </w:rPr>
        <w:t xml:space="preserve">.   </w:t>
      </w:r>
      <w:r w:rsidRPr="002D02A8">
        <w:rPr>
          <w:rFonts w:ascii="Book Antiqua" w:hAnsi="Book Antiqua"/>
        </w:rPr>
        <w:t>The evidence</w:t>
      </w:r>
      <w:r>
        <w:rPr>
          <w:rFonts w:ascii="Book Antiqua" w:hAnsi="Book Antiqua"/>
        </w:rPr>
        <w:t xml:space="preserve"> before the judge was that the A</w:t>
      </w:r>
      <w:r w:rsidRPr="002D02A8">
        <w:rPr>
          <w:rFonts w:ascii="Book Antiqua" w:hAnsi="Book Antiqua"/>
        </w:rPr>
        <w:t>ppellant was employable. He has an employment record and skills</w:t>
      </w:r>
      <w:r w:rsidR="00660A86">
        <w:rPr>
          <w:rFonts w:ascii="Book Antiqua" w:hAnsi="Book Antiqua"/>
        </w:rPr>
        <w:t xml:space="preserve"> to </w:t>
      </w:r>
      <w:r w:rsidRPr="002D02A8">
        <w:rPr>
          <w:rFonts w:ascii="Book Antiqua" w:hAnsi="Book Antiqua"/>
        </w:rPr>
        <w:t xml:space="preserve">which the judge was entitled to attach weight.  The </w:t>
      </w:r>
      <w:r>
        <w:rPr>
          <w:rFonts w:ascii="Book Antiqua" w:hAnsi="Book Antiqua"/>
        </w:rPr>
        <w:t>A</w:t>
      </w:r>
      <w:r w:rsidRPr="002D02A8">
        <w:rPr>
          <w:rFonts w:ascii="Book Antiqua" w:hAnsi="Book Antiqua"/>
        </w:rPr>
        <w:t xml:space="preserve">ppellant relocated to Kabul before coming to the UK. This was also a matter to which the judge was entitled to attach weight.   No doubt the judge </w:t>
      </w:r>
      <w:r w:rsidR="00660A86">
        <w:rPr>
          <w:rFonts w:ascii="Book Antiqua" w:hAnsi="Book Antiqua"/>
        </w:rPr>
        <w:t>considered</w:t>
      </w:r>
      <w:r w:rsidRPr="002D02A8">
        <w:rPr>
          <w:rFonts w:ascii="Book Antiqua" w:hAnsi="Book Antiqua"/>
        </w:rPr>
        <w:t xml:space="preserve"> that</w:t>
      </w:r>
      <w:r>
        <w:rPr>
          <w:rFonts w:ascii="Book Antiqua" w:hAnsi="Book Antiqua"/>
        </w:rPr>
        <w:t xml:space="preserve"> he </w:t>
      </w:r>
      <w:r w:rsidRPr="002D02A8">
        <w:rPr>
          <w:rFonts w:ascii="Book Antiqua" w:hAnsi="Book Antiqua"/>
        </w:rPr>
        <w:t xml:space="preserve">had connections to Kabul, having lived there previously albeit for a short period. It can be reasonably inferred that he has at least a basic support network from his time there that can be re-activated. There was no evidence of linguistic hurdles. It is a fact that the </w:t>
      </w:r>
      <w:r w:rsidR="00B3090A">
        <w:rPr>
          <w:rFonts w:ascii="Book Antiqua" w:hAnsi="Book Antiqua"/>
        </w:rPr>
        <w:t>A</w:t>
      </w:r>
      <w:r w:rsidRPr="002D02A8">
        <w:rPr>
          <w:rFonts w:ascii="Book Antiqua" w:hAnsi="Book Antiqua"/>
        </w:rPr>
        <w:t xml:space="preserve">ppellant has family in Afghanistan. </w:t>
      </w:r>
    </w:p>
    <w:p w:rsidR="00B3090A" w:rsidRDefault="00B3090A" w:rsidP="00B3090A">
      <w:pPr>
        <w:ind w:left="567" w:hanging="567"/>
        <w:jc w:val="both"/>
        <w:rPr>
          <w:rFonts w:ascii="Book Antiqua" w:hAnsi="Book Antiqua"/>
        </w:rPr>
      </w:pPr>
    </w:p>
    <w:p w:rsidR="00B3090A" w:rsidRDefault="00B3090A" w:rsidP="00B3090A">
      <w:pPr>
        <w:ind w:left="567" w:hanging="567"/>
        <w:jc w:val="both"/>
        <w:rPr>
          <w:rFonts w:ascii="Book Antiqua" w:hAnsi="Book Antiqua" w:cs="Arial"/>
        </w:rPr>
      </w:pPr>
      <w:r>
        <w:rPr>
          <w:rFonts w:ascii="Book Antiqua" w:hAnsi="Book Antiqua"/>
        </w:rPr>
        <w:t>1</w:t>
      </w:r>
      <w:r w:rsidR="00DE401B">
        <w:rPr>
          <w:rFonts w:ascii="Book Antiqua" w:hAnsi="Book Antiqua"/>
        </w:rPr>
        <w:t>8</w:t>
      </w:r>
      <w:r>
        <w:rPr>
          <w:rFonts w:ascii="Book Antiqua" w:hAnsi="Book Antiqua"/>
        </w:rPr>
        <w:t xml:space="preserve">.    </w:t>
      </w:r>
      <w:r w:rsidR="00530D52">
        <w:rPr>
          <w:rFonts w:ascii="Book Antiqua" w:hAnsi="Book Antiqua"/>
        </w:rPr>
        <w:tab/>
        <w:t>There was no material error in the judge</w:t>
      </w:r>
      <w:r w:rsidR="00035078">
        <w:rPr>
          <w:rFonts w:ascii="Book Antiqua" w:hAnsi="Book Antiqua"/>
        </w:rPr>
        <w:t xml:space="preserve">’s </w:t>
      </w:r>
      <w:r w:rsidR="00ED3295" w:rsidRPr="002D02A8">
        <w:rPr>
          <w:rFonts w:ascii="Book Antiqua" w:hAnsi="Book Antiqua"/>
        </w:rPr>
        <w:t>decision</w:t>
      </w:r>
      <w:r w:rsidR="00035078">
        <w:rPr>
          <w:rFonts w:ascii="Book Antiqua" w:hAnsi="Book Antiqua"/>
        </w:rPr>
        <w:t xml:space="preserve">. </w:t>
      </w:r>
      <w:r w:rsidR="0055549E">
        <w:rPr>
          <w:rFonts w:ascii="Book Antiqua" w:hAnsi="Book Antiqua"/>
        </w:rPr>
        <w:t xml:space="preserve">In the event, that </w:t>
      </w:r>
      <w:r w:rsidR="00035078">
        <w:rPr>
          <w:rFonts w:ascii="Book Antiqua" w:hAnsi="Book Antiqua"/>
        </w:rPr>
        <w:t xml:space="preserve">it </w:t>
      </w:r>
      <w:r w:rsidR="00ED3295" w:rsidRPr="002D02A8">
        <w:rPr>
          <w:rFonts w:ascii="Book Antiqua" w:hAnsi="Book Antiqua"/>
        </w:rPr>
        <w:t>fell to be remade on the evidence that was before the FtT</w:t>
      </w:r>
      <w:r>
        <w:rPr>
          <w:rFonts w:ascii="Book Antiqua" w:hAnsi="Book Antiqua"/>
        </w:rPr>
        <w:t xml:space="preserve"> </w:t>
      </w:r>
      <w:r w:rsidR="00ED3295" w:rsidRPr="002D02A8">
        <w:rPr>
          <w:rFonts w:ascii="Book Antiqua" w:hAnsi="Book Antiqua"/>
        </w:rPr>
        <w:t>(there was no application made under Rule 15</w:t>
      </w:r>
      <w:r>
        <w:rPr>
          <w:rFonts w:ascii="Book Antiqua" w:hAnsi="Book Antiqua"/>
        </w:rPr>
        <w:t>)</w:t>
      </w:r>
      <w:r w:rsidR="00ED3295" w:rsidRPr="002D02A8">
        <w:rPr>
          <w:rFonts w:ascii="Book Antiqua" w:hAnsi="Book Antiqua"/>
        </w:rPr>
        <w:t xml:space="preserve">, applying </w:t>
      </w:r>
      <w:r w:rsidR="00ED3295" w:rsidRPr="00B3090A">
        <w:rPr>
          <w:rFonts w:ascii="Book Antiqua" w:hAnsi="Book Antiqua"/>
          <w:i/>
        </w:rPr>
        <w:t>AS</w:t>
      </w:r>
      <w:r w:rsidR="008A7311">
        <w:rPr>
          <w:rStyle w:val="FootnoteReference"/>
          <w:rFonts w:ascii="Book Antiqua" w:hAnsi="Book Antiqua"/>
          <w:i/>
        </w:rPr>
        <w:footnoteReference w:id="1"/>
      </w:r>
      <w:r w:rsidR="00ED3295" w:rsidRPr="002D02A8">
        <w:rPr>
          <w:rFonts w:ascii="Book Antiqua" w:hAnsi="Book Antiqua"/>
        </w:rPr>
        <w:t xml:space="preserve">, it is inevitable that the appeal would be dismissed. </w:t>
      </w:r>
      <w:r w:rsidR="00956566">
        <w:rPr>
          <w:rFonts w:ascii="Book Antiqua" w:hAnsi="Book Antiqua"/>
        </w:rPr>
        <w:t xml:space="preserve"> I appreciate </w:t>
      </w:r>
      <w:r w:rsidR="00956566">
        <w:rPr>
          <w:rFonts w:ascii="Book Antiqua" w:hAnsi="Book Antiqua"/>
        </w:rPr>
        <w:lastRenderedPageBreak/>
        <w:t xml:space="preserve">that I have not heard submissions on the applicability of </w:t>
      </w:r>
      <w:r w:rsidR="00956566" w:rsidRPr="00E1233F">
        <w:rPr>
          <w:rFonts w:ascii="Book Antiqua" w:hAnsi="Book Antiqua"/>
          <w:i/>
        </w:rPr>
        <w:t>AS</w:t>
      </w:r>
      <w:r w:rsidR="00956566" w:rsidRPr="00162AAF">
        <w:rPr>
          <w:rFonts w:ascii="Book Antiqua" w:hAnsi="Book Antiqua"/>
          <w:i/>
        </w:rPr>
        <w:t>.</w:t>
      </w:r>
      <w:r w:rsidR="00956566">
        <w:rPr>
          <w:rFonts w:ascii="Book Antiqua" w:hAnsi="Book Antiqua"/>
        </w:rPr>
        <w:t xml:space="preserve"> </w:t>
      </w:r>
      <w:r w:rsidR="00505195">
        <w:rPr>
          <w:rFonts w:ascii="Book Antiqua" w:hAnsi="Book Antiqua"/>
        </w:rPr>
        <w:t xml:space="preserve"> </w:t>
      </w:r>
      <w:r w:rsidR="00162AAF">
        <w:rPr>
          <w:rFonts w:ascii="Book Antiqua" w:hAnsi="Book Antiqua" w:cs="Arial"/>
        </w:rPr>
        <w:t xml:space="preserve">Mr Bandegani informed me that he was instructed to represent the Appellant at the error of law stage only. He sought an adjournment to submit further evidence </w:t>
      </w:r>
      <w:r w:rsidR="00035078">
        <w:rPr>
          <w:rFonts w:ascii="Book Antiqua" w:hAnsi="Book Antiqua" w:cs="Arial"/>
        </w:rPr>
        <w:t>(</w:t>
      </w:r>
      <w:r w:rsidR="00162AAF">
        <w:rPr>
          <w:rFonts w:ascii="Book Antiqua" w:hAnsi="Book Antiqua" w:cs="Arial"/>
        </w:rPr>
        <w:t>without identifying this</w:t>
      </w:r>
      <w:r w:rsidR="00035078">
        <w:rPr>
          <w:rFonts w:ascii="Book Antiqua" w:hAnsi="Book Antiqua" w:cs="Arial"/>
        </w:rPr>
        <w:t>)</w:t>
      </w:r>
      <w:r w:rsidR="00CB58EA">
        <w:rPr>
          <w:rFonts w:ascii="Book Antiqua" w:hAnsi="Book Antiqua" w:cs="Arial"/>
        </w:rPr>
        <w:t xml:space="preserve">. He </w:t>
      </w:r>
      <w:r w:rsidR="00162AAF">
        <w:rPr>
          <w:rFonts w:ascii="Book Antiqua" w:hAnsi="Book Antiqua" w:cs="Arial"/>
        </w:rPr>
        <w:t>explain</w:t>
      </w:r>
      <w:r w:rsidR="00E1233F">
        <w:rPr>
          <w:rFonts w:ascii="Book Antiqua" w:hAnsi="Book Antiqua" w:cs="Arial"/>
        </w:rPr>
        <w:t>ed</w:t>
      </w:r>
      <w:r w:rsidR="00162AAF">
        <w:rPr>
          <w:rFonts w:ascii="Book Antiqua" w:hAnsi="Book Antiqua" w:cs="Arial"/>
        </w:rPr>
        <w:t xml:space="preserve"> that it was necessary because of the passage of time</w:t>
      </w:r>
      <w:r w:rsidR="00CB58EA">
        <w:rPr>
          <w:rFonts w:ascii="Book Antiqua" w:hAnsi="Book Antiqua" w:cs="Arial"/>
        </w:rPr>
        <w:t xml:space="preserve"> and it was fair to allow the Appellant the opportunity of a re-hearing to address </w:t>
      </w:r>
      <w:r w:rsidR="00CB58EA" w:rsidRPr="00CB58EA">
        <w:rPr>
          <w:rFonts w:ascii="Book Antiqua" w:hAnsi="Book Antiqua" w:cs="Arial"/>
          <w:i/>
        </w:rPr>
        <w:t>AS.</w:t>
      </w:r>
      <w:r w:rsidR="00CB58EA">
        <w:rPr>
          <w:rFonts w:ascii="Book Antiqua" w:hAnsi="Book Antiqua" w:cs="Arial"/>
        </w:rPr>
        <w:t xml:space="preserve"> </w:t>
      </w:r>
      <w:r w:rsidR="00162AAF">
        <w:rPr>
          <w:rFonts w:ascii="Book Antiqua" w:hAnsi="Book Antiqua" w:cs="Arial"/>
        </w:rPr>
        <w:t xml:space="preserve"> The decision was promulgated over a year ago</w:t>
      </w:r>
      <w:r w:rsidR="00277132">
        <w:rPr>
          <w:rFonts w:ascii="Book Antiqua" w:hAnsi="Book Antiqua" w:cs="Arial"/>
        </w:rPr>
        <w:t xml:space="preserve">; however, the Appellant has not submitted further evidence.  </w:t>
      </w:r>
      <w:r w:rsidR="00162AAF">
        <w:rPr>
          <w:rFonts w:ascii="Book Antiqua" w:hAnsi="Book Antiqua" w:cs="Arial"/>
        </w:rPr>
        <w:t xml:space="preserve">I accept that </w:t>
      </w:r>
      <w:r w:rsidR="00162AAF" w:rsidRPr="00035078">
        <w:rPr>
          <w:rFonts w:ascii="Book Antiqua" w:hAnsi="Book Antiqua" w:cs="Arial"/>
          <w:i/>
        </w:rPr>
        <w:t>AS</w:t>
      </w:r>
      <w:r w:rsidR="00162AAF">
        <w:rPr>
          <w:rFonts w:ascii="Book Antiqua" w:hAnsi="Book Antiqua" w:cs="Arial"/>
        </w:rPr>
        <w:t xml:space="preserve"> is not material in respect of whether judge erred and I have not considered it in this context.</w:t>
      </w:r>
      <w:r w:rsidR="00277132">
        <w:rPr>
          <w:rFonts w:ascii="Book Antiqua" w:hAnsi="Book Antiqua" w:cs="Arial"/>
        </w:rPr>
        <w:t xml:space="preserve"> </w:t>
      </w:r>
      <w:r w:rsidR="00162AAF">
        <w:rPr>
          <w:rFonts w:ascii="Book Antiqua" w:hAnsi="Book Antiqua" w:cs="Arial"/>
        </w:rPr>
        <w:t xml:space="preserve">It is not material to my decision in respect of the </w:t>
      </w:r>
      <w:r w:rsidR="00035078">
        <w:rPr>
          <w:rFonts w:ascii="Book Antiqua" w:hAnsi="Book Antiqua" w:cs="Arial"/>
        </w:rPr>
        <w:t xml:space="preserve">lawfulness of </w:t>
      </w:r>
      <w:r w:rsidR="00162AAF">
        <w:rPr>
          <w:rFonts w:ascii="Book Antiqua" w:hAnsi="Book Antiqua" w:cs="Arial"/>
        </w:rPr>
        <w:t xml:space="preserve">Judge Meyler’s decision.  </w:t>
      </w:r>
      <w:r w:rsidR="00956566">
        <w:rPr>
          <w:rFonts w:ascii="Book Antiqua" w:hAnsi="Book Antiqua"/>
        </w:rPr>
        <w:t xml:space="preserve">However, </w:t>
      </w:r>
      <w:r w:rsidR="00162AAF">
        <w:rPr>
          <w:rFonts w:ascii="Book Antiqua" w:hAnsi="Book Antiqua"/>
        </w:rPr>
        <w:t xml:space="preserve">it is </w:t>
      </w:r>
      <w:r w:rsidR="00956566">
        <w:rPr>
          <w:rFonts w:ascii="Book Antiqua" w:hAnsi="Book Antiqua" w:cs="Arial"/>
        </w:rPr>
        <w:t>difficult to see how this appeal could succeed</w:t>
      </w:r>
      <w:r w:rsidR="00162AAF">
        <w:rPr>
          <w:rFonts w:ascii="Book Antiqua" w:hAnsi="Book Antiqua" w:cs="Arial"/>
        </w:rPr>
        <w:t xml:space="preserve"> applying </w:t>
      </w:r>
      <w:r w:rsidR="00162AAF" w:rsidRPr="00E1233F">
        <w:rPr>
          <w:rFonts w:ascii="Book Antiqua" w:hAnsi="Book Antiqua" w:cs="Arial"/>
          <w:i/>
        </w:rPr>
        <w:t xml:space="preserve">AS </w:t>
      </w:r>
      <w:r w:rsidR="00162AAF">
        <w:rPr>
          <w:rFonts w:ascii="Book Antiqua" w:hAnsi="Book Antiqua" w:cs="Arial"/>
        </w:rPr>
        <w:t>and</w:t>
      </w:r>
      <w:r w:rsidR="00DE401B">
        <w:rPr>
          <w:rFonts w:ascii="Book Antiqua" w:hAnsi="Book Antiqua" w:cs="Arial"/>
        </w:rPr>
        <w:t xml:space="preserve"> </w:t>
      </w:r>
      <w:r w:rsidR="00162AAF">
        <w:rPr>
          <w:rFonts w:ascii="Book Antiqua" w:hAnsi="Book Antiqua" w:cs="Arial"/>
        </w:rPr>
        <w:t xml:space="preserve">it </w:t>
      </w:r>
      <w:r w:rsidR="00DE401B">
        <w:rPr>
          <w:rFonts w:ascii="Book Antiqua" w:hAnsi="Book Antiqua" w:cs="Arial"/>
        </w:rPr>
        <w:t xml:space="preserve">could not </w:t>
      </w:r>
      <w:r w:rsidR="00162AAF">
        <w:rPr>
          <w:rFonts w:ascii="Book Antiqua" w:hAnsi="Book Antiqua" w:cs="Arial"/>
        </w:rPr>
        <w:t xml:space="preserve">on the evidence before the FtT. </w:t>
      </w:r>
      <w:r w:rsidR="00277132">
        <w:rPr>
          <w:rFonts w:ascii="Book Antiqua" w:hAnsi="Book Antiqua" w:cs="Arial"/>
        </w:rPr>
        <w:t xml:space="preserve"> The position remains that relocation is generally reasonable for a single male in good health. T</w:t>
      </w:r>
      <w:r w:rsidR="00956566">
        <w:rPr>
          <w:rFonts w:ascii="Book Antiqua" w:hAnsi="Book Antiqua" w:cs="Arial"/>
        </w:rPr>
        <w:t xml:space="preserve">he </w:t>
      </w:r>
      <w:r>
        <w:rPr>
          <w:rFonts w:ascii="Book Antiqua" w:hAnsi="Book Antiqua" w:cs="Arial"/>
        </w:rPr>
        <w:t xml:space="preserve">UT </w:t>
      </w:r>
      <w:r w:rsidR="00035078">
        <w:rPr>
          <w:rFonts w:ascii="Book Antiqua" w:hAnsi="Book Antiqua" w:cs="Arial"/>
        </w:rPr>
        <w:t xml:space="preserve">in </w:t>
      </w:r>
      <w:r w:rsidR="00035078" w:rsidRPr="00035078">
        <w:rPr>
          <w:rFonts w:ascii="Book Antiqua" w:hAnsi="Book Antiqua" w:cs="Arial"/>
          <w:i/>
        </w:rPr>
        <w:t xml:space="preserve">AS </w:t>
      </w:r>
      <w:r>
        <w:rPr>
          <w:rFonts w:ascii="Book Antiqua" w:hAnsi="Book Antiqua" w:cs="Arial"/>
        </w:rPr>
        <w:t xml:space="preserve">made findings at </w:t>
      </w:r>
      <w:r w:rsidRPr="00505CED">
        <w:rPr>
          <w:rFonts w:ascii="Book Antiqua" w:hAnsi="Book Antiqua" w:cs="Arial"/>
        </w:rPr>
        <w:t>[189] – [235]. The</w:t>
      </w:r>
      <w:r>
        <w:rPr>
          <w:rFonts w:ascii="Book Antiqua" w:hAnsi="Book Antiqua" w:cs="Arial"/>
        </w:rPr>
        <w:t>y can be</w:t>
      </w:r>
      <w:r w:rsidRPr="00505CED">
        <w:rPr>
          <w:rFonts w:ascii="Book Antiqua" w:hAnsi="Book Antiqua" w:cs="Arial"/>
        </w:rPr>
        <w:t xml:space="preserve"> summarised</w:t>
      </w:r>
      <w:r>
        <w:rPr>
          <w:rFonts w:ascii="Book Antiqua" w:hAnsi="Book Antiqua" w:cs="Arial"/>
        </w:rPr>
        <w:t xml:space="preserve"> as follows</w:t>
      </w:r>
      <w:r w:rsidRPr="00505CED">
        <w:rPr>
          <w:rFonts w:ascii="Book Antiqua" w:hAnsi="Book Antiqua" w:cs="Arial"/>
        </w:rPr>
        <w:t>:</w:t>
      </w:r>
      <w:r>
        <w:rPr>
          <w:rFonts w:ascii="Book Antiqua" w:hAnsi="Book Antiqua" w:cs="Arial"/>
        </w:rPr>
        <w:t xml:space="preserve"> </w:t>
      </w:r>
    </w:p>
    <w:p w:rsidR="00E1233F" w:rsidRDefault="00B3090A" w:rsidP="00AD1D90">
      <w:pPr>
        <w:pStyle w:val="ListParagraph"/>
        <w:numPr>
          <w:ilvl w:val="0"/>
          <w:numId w:val="2"/>
        </w:numPr>
        <w:tabs>
          <w:tab w:val="left" w:pos="2520"/>
        </w:tabs>
        <w:spacing w:before="120" w:after="120"/>
        <w:ind w:left="1701" w:hanging="567"/>
        <w:jc w:val="both"/>
        <w:rPr>
          <w:rFonts w:ascii="Book Antiqua" w:hAnsi="Book Antiqua" w:cs="Arial"/>
        </w:rPr>
      </w:pPr>
      <w:r w:rsidRPr="00196B97">
        <w:rPr>
          <w:rFonts w:ascii="Book Antiqua" w:hAnsi="Book Antiqua" w:cs="Arial"/>
        </w:rPr>
        <w:t>The volatility and fluidity of armed conflict in Afghanistan i</w:t>
      </w:r>
      <w:r w:rsidR="00E1233F">
        <w:rPr>
          <w:rFonts w:ascii="Book Antiqua" w:hAnsi="Book Antiqua" w:cs="Arial"/>
        </w:rPr>
        <w:t>s</w:t>
      </w:r>
      <w:r w:rsidRPr="00196B97">
        <w:rPr>
          <w:rFonts w:ascii="Book Antiqua" w:hAnsi="Book Antiqua" w:cs="Arial"/>
        </w:rPr>
        <w:t xml:space="preserve"> likely to be less in Kabul compared to smaller urban centres and rural areas. The nature of security incident</w:t>
      </w:r>
      <w:r w:rsidR="00E1233F">
        <w:rPr>
          <w:rFonts w:ascii="Book Antiqua" w:hAnsi="Book Antiqua" w:cs="Arial"/>
        </w:rPr>
        <w:t>s in Kabul follow</w:t>
      </w:r>
      <w:r w:rsidRPr="00196B97">
        <w:rPr>
          <w:rFonts w:ascii="Book Antiqua" w:hAnsi="Book Antiqua" w:cs="Arial"/>
        </w:rPr>
        <w:t xml:space="preserve"> a relatively consistent pattern, with the focus on suicide and complex incidents rather than air strikes and ground engagement which </w:t>
      </w:r>
      <w:r w:rsidR="007E6320">
        <w:rPr>
          <w:rFonts w:ascii="Book Antiqua" w:hAnsi="Book Antiqua" w:cs="Arial"/>
        </w:rPr>
        <w:t xml:space="preserve">is </w:t>
      </w:r>
      <w:r w:rsidR="007E6320" w:rsidRPr="00196B97">
        <w:rPr>
          <w:rFonts w:ascii="Book Antiqua" w:hAnsi="Book Antiqua" w:cs="Arial"/>
        </w:rPr>
        <w:t>more</w:t>
      </w:r>
      <w:r w:rsidRPr="00196B97">
        <w:rPr>
          <w:rFonts w:ascii="Book Antiqua" w:hAnsi="Book Antiqua" w:cs="Arial"/>
        </w:rPr>
        <w:t xml:space="preserve"> common in other parts of Afghanistan</w:t>
      </w:r>
      <w:r w:rsidR="00E1233F">
        <w:rPr>
          <w:rFonts w:ascii="Book Antiqua" w:hAnsi="Book Antiqua" w:cs="Arial"/>
        </w:rPr>
        <w:t xml:space="preserve">. The latter include </w:t>
      </w:r>
      <w:r w:rsidRPr="00196B97">
        <w:rPr>
          <w:rFonts w:ascii="Book Antiqua" w:hAnsi="Book Antiqua" w:cs="Arial"/>
        </w:rPr>
        <w:t xml:space="preserve">wider civilian casualties than the specific target of the attack </w:t>
      </w:r>
      <w:r w:rsidR="007E6320" w:rsidRPr="00196B97">
        <w:rPr>
          <w:rFonts w:ascii="Book Antiqua" w:hAnsi="Book Antiqua" w:cs="Arial"/>
        </w:rPr>
        <w:t>and</w:t>
      </w:r>
      <w:r w:rsidRPr="00196B97">
        <w:rPr>
          <w:rFonts w:ascii="Book Antiqua" w:hAnsi="Book Antiqua" w:cs="Arial"/>
        </w:rPr>
        <w:t xml:space="preserve"> potential significant collateral damage to lives and property.</w:t>
      </w:r>
    </w:p>
    <w:p w:rsidR="00B3090A" w:rsidRPr="00196B97" w:rsidRDefault="00B3090A" w:rsidP="00AD1D90">
      <w:pPr>
        <w:pStyle w:val="ListParagraph"/>
        <w:numPr>
          <w:ilvl w:val="0"/>
          <w:numId w:val="2"/>
        </w:numPr>
        <w:tabs>
          <w:tab w:val="left" w:pos="2520"/>
        </w:tabs>
        <w:spacing w:before="120" w:after="120"/>
        <w:ind w:left="1701" w:hanging="567"/>
        <w:jc w:val="both"/>
        <w:rPr>
          <w:rFonts w:ascii="Book Antiqua" w:hAnsi="Book Antiqua" w:cs="Arial"/>
        </w:rPr>
      </w:pPr>
      <w:r w:rsidRPr="00196B97">
        <w:rPr>
          <w:rFonts w:ascii="Book Antiqua" w:hAnsi="Book Antiqua" w:cs="Arial"/>
        </w:rPr>
        <w:t xml:space="preserve">Civilian casualties in Kabul increase year on year and are at record levels since 2009 when UNAMA started gathering data. The intensity of conflict in Kabul is increasing. The security incidents in Kabul are spread around rather than being concentrated in a particular area of areas and include as targets individuals, government and international buildings as well as </w:t>
      </w:r>
      <w:r w:rsidRPr="00196B97">
        <w:rPr>
          <w:rFonts w:ascii="Book Antiqua" w:hAnsi="Book Antiqua" w:cs="Arial"/>
        </w:rPr>
        <w:lastRenderedPageBreak/>
        <w:t xml:space="preserve">civilian areas and affect everyday life. There has been deterioration in the security situation </w:t>
      </w:r>
      <w:r w:rsidR="00E1233F">
        <w:rPr>
          <w:rFonts w:ascii="Book Antiqua" w:hAnsi="Book Antiqua" w:cs="Arial"/>
        </w:rPr>
        <w:t xml:space="preserve">in </w:t>
      </w:r>
      <w:r w:rsidRPr="00196B97">
        <w:rPr>
          <w:rFonts w:ascii="Book Antiqua" w:hAnsi="Book Antiqua" w:cs="Arial"/>
        </w:rPr>
        <w:t xml:space="preserve">Kabul, particularly since the withdrawal of international security forces in 2014.  There is a negative effect of the security incidents felt generally on the residents of Kabul. Security incidents are not at such a high level </w:t>
      </w:r>
      <w:r w:rsidR="007E6320" w:rsidRPr="00196B97">
        <w:rPr>
          <w:rFonts w:ascii="Book Antiqua" w:hAnsi="Book Antiqua" w:cs="Arial"/>
        </w:rPr>
        <w:t>to</w:t>
      </w:r>
      <w:r w:rsidRPr="00196B97">
        <w:rPr>
          <w:rFonts w:ascii="Book Antiqua" w:hAnsi="Book Antiqua" w:cs="Arial"/>
        </w:rPr>
        <w:t xml:space="preserve"> make internal relocation to Kabul unsafe. The security situation affects that the entire population and not a particular geographical area or group of residents.</w:t>
      </w:r>
      <w:r>
        <w:rPr>
          <w:rFonts w:ascii="Book Antiqua" w:hAnsi="Book Antiqua" w:cs="Arial"/>
        </w:rPr>
        <w:t xml:space="preserve"> </w:t>
      </w:r>
      <w:r w:rsidRPr="00196B97">
        <w:rPr>
          <w:rFonts w:ascii="Book Antiqua" w:hAnsi="Book Antiqua" w:cs="Arial"/>
        </w:rPr>
        <w:t>There is no increased risk to those returned over and above that faced by the population of Kabul city as a whole</w:t>
      </w:r>
      <w:r>
        <w:rPr>
          <w:rFonts w:ascii="Book Antiqua" w:hAnsi="Book Antiqua" w:cs="Arial"/>
        </w:rPr>
        <w:t>.</w:t>
      </w:r>
      <w:r w:rsidRPr="00196B97">
        <w:rPr>
          <w:rFonts w:ascii="Book Antiqua" w:hAnsi="Book Antiqua" w:cs="Arial"/>
        </w:rPr>
        <w:t xml:space="preserve"> </w:t>
      </w:r>
    </w:p>
    <w:p w:rsidR="008A7311" w:rsidRDefault="00B3090A" w:rsidP="00AD1D90">
      <w:pPr>
        <w:pStyle w:val="ListParagraph"/>
        <w:numPr>
          <w:ilvl w:val="0"/>
          <w:numId w:val="2"/>
        </w:numPr>
        <w:tabs>
          <w:tab w:val="left" w:pos="2520"/>
        </w:tabs>
        <w:spacing w:before="120" w:after="120"/>
        <w:ind w:left="1701" w:hanging="567"/>
        <w:jc w:val="both"/>
        <w:rPr>
          <w:rFonts w:ascii="Book Antiqua" w:hAnsi="Book Antiqua" w:cs="Arial"/>
        </w:rPr>
      </w:pPr>
      <w:r w:rsidRPr="00196B97">
        <w:rPr>
          <w:rFonts w:ascii="Book Antiqua" w:hAnsi="Book Antiqua" w:cs="Arial"/>
        </w:rPr>
        <w:t>Single able</w:t>
      </w:r>
      <w:r w:rsidR="00DE401B">
        <w:rPr>
          <w:rFonts w:ascii="Book Antiqua" w:hAnsi="Book Antiqua" w:cs="Arial"/>
        </w:rPr>
        <w:t>-</w:t>
      </w:r>
      <w:r w:rsidRPr="00196B97">
        <w:rPr>
          <w:rFonts w:ascii="Book Antiqua" w:hAnsi="Book Antiqua" w:cs="Arial"/>
        </w:rPr>
        <w:t xml:space="preserve">bodied men and married couples of working age without identified specific vulnerabilities may in certain circumstances be able to subsist without family and community support in urban and semi-urban areas that have the necessary infrastructure and livelihood opportunities to meet the </w:t>
      </w:r>
      <w:r w:rsidR="007E6320" w:rsidRPr="00196B97">
        <w:rPr>
          <w:rFonts w:ascii="Book Antiqua" w:hAnsi="Book Antiqua" w:cs="Arial"/>
        </w:rPr>
        <w:t>necessities</w:t>
      </w:r>
      <w:r w:rsidRPr="00196B97">
        <w:rPr>
          <w:rFonts w:ascii="Book Antiqua" w:hAnsi="Book Antiqua" w:cs="Arial"/>
        </w:rPr>
        <w:t xml:space="preserve"> of life and that under effective Government control. More formal /expensive accommodation and more skilled employment </w:t>
      </w:r>
      <w:r w:rsidR="00505195" w:rsidRPr="00196B97">
        <w:rPr>
          <w:rFonts w:ascii="Book Antiqua" w:hAnsi="Book Antiqua" w:cs="Arial"/>
        </w:rPr>
        <w:t>are</w:t>
      </w:r>
      <w:r w:rsidRPr="00196B97">
        <w:rPr>
          <w:rFonts w:ascii="Book Antiqua" w:hAnsi="Book Antiqua" w:cs="Arial"/>
        </w:rPr>
        <w:t xml:space="preserve"> likely to require references from someone within a support network but it is not essential to obtain accommodation or employment in every case.  A person with a strong family or other support network in Kabul (or potentially in Afghanistan) would be in a stronger position on return to Kabul particularly if that support network included wealthy or influential individuals with good connections themselves.  The relevance and usefulness of a support network </w:t>
      </w:r>
      <w:r w:rsidR="00E1233F">
        <w:rPr>
          <w:rFonts w:ascii="Book Antiqua" w:hAnsi="Book Antiqua" w:cs="Arial"/>
        </w:rPr>
        <w:t xml:space="preserve">is </w:t>
      </w:r>
      <w:r w:rsidRPr="00196B97">
        <w:rPr>
          <w:rFonts w:ascii="Book Antiqua" w:hAnsi="Book Antiqua" w:cs="Arial"/>
        </w:rPr>
        <w:t xml:space="preserve">likely to be somewhere on a spectrum depending on variable factors and the issue is not limited to Kabul.  Kabul is such a place where a support network is not essential and that internal relocation is generally reasonable without one for a single male in good health. </w:t>
      </w:r>
      <w:r>
        <w:rPr>
          <w:rFonts w:ascii="Book Antiqua" w:hAnsi="Book Antiqua" w:cs="Arial"/>
        </w:rPr>
        <w:t xml:space="preserve"> </w:t>
      </w:r>
      <w:r w:rsidR="008A7311" w:rsidRPr="00196B97">
        <w:rPr>
          <w:rFonts w:ascii="Book Antiqua" w:hAnsi="Book Antiqua" w:cs="Arial"/>
        </w:rPr>
        <w:t xml:space="preserve">The availability of a support network may counter a </w:t>
      </w:r>
      <w:r w:rsidR="007E6320" w:rsidRPr="00196B97">
        <w:rPr>
          <w:rFonts w:ascii="Book Antiqua" w:hAnsi="Book Antiqua" w:cs="Arial"/>
        </w:rPr>
        <w:t>vulnerability</w:t>
      </w:r>
      <w:r w:rsidR="008A7311" w:rsidRPr="00196B97">
        <w:rPr>
          <w:rFonts w:ascii="Book Antiqua" w:hAnsi="Book Antiqua" w:cs="Arial"/>
        </w:rPr>
        <w:t xml:space="preserve"> of an individual on return</w:t>
      </w:r>
      <w:r w:rsidR="008A7311">
        <w:rPr>
          <w:rFonts w:ascii="Book Antiqua" w:hAnsi="Book Antiqua" w:cs="Arial"/>
        </w:rPr>
        <w:t>.</w:t>
      </w:r>
      <w:r w:rsidR="008A7311" w:rsidRPr="00196B97">
        <w:rPr>
          <w:rFonts w:ascii="Book Antiqua" w:hAnsi="Book Antiqua" w:cs="Arial"/>
        </w:rPr>
        <w:t xml:space="preserve"> </w:t>
      </w:r>
    </w:p>
    <w:p w:rsidR="008A7311" w:rsidRPr="00196B97" w:rsidRDefault="008A7311" w:rsidP="00AD1D90">
      <w:pPr>
        <w:pStyle w:val="ListParagraph"/>
        <w:numPr>
          <w:ilvl w:val="0"/>
          <w:numId w:val="2"/>
        </w:numPr>
        <w:tabs>
          <w:tab w:val="left" w:pos="2520"/>
        </w:tabs>
        <w:spacing w:before="120" w:after="120"/>
        <w:ind w:left="1701" w:hanging="567"/>
        <w:jc w:val="both"/>
        <w:rPr>
          <w:rFonts w:ascii="Book Antiqua" w:hAnsi="Book Antiqua" w:cs="Arial"/>
        </w:rPr>
      </w:pPr>
      <w:r w:rsidRPr="00196B97">
        <w:rPr>
          <w:rFonts w:ascii="Book Antiqua" w:hAnsi="Book Antiqua" w:cs="Arial"/>
        </w:rPr>
        <w:t xml:space="preserve">A single male would not be unable to find some sort of accommodation which is comparable to that available for </w:t>
      </w:r>
      <w:r w:rsidR="007E6320" w:rsidRPr="00196B97">
        <w:rPr>
          <w:rFonts w:ascii="Book Antiqua" w:hAnsi="Book Antiqua" w:cs="Arial"/>
        </w:rPr>
        <w:t>most of</w:t>
      </w:r>
      <w:r w:rsidRPr="00196B97">
        <w:rPr>
          <w:rFonts w:ascii="Book Antiqua" w:hAnsi="Book Antiqua" w:cs="Arial"/>
        </w:rPr>
        <w:t xml:space="preserve"> the population in Kabul even without support from a network in the city</w:t>
      </w:r>
      <w:r>
        <w:rPr>
          <w:rFonts w:ascii="Book Antiqua" w:hAnsi="Book Antiqua" w:cs="Arial"/>
        </w:rPr>
        <w:t>.</w:t>
      </w:r>
      <w:r w:rsidRPr="00196B97">
        <w:rPr>
          <w:rFonts w:ascii="Book Antiqua" w:hAnsi="Book Antiqua" w:cs="Arial"/>
        </w:rPr>
        <w:t xml:space="preserve"> </w:t>
      </w:r>
    </w:p>
    <w:p w:rsidR="008A7311" w:rsidRDefault="008A7311" w:rsidP="00AD1D90">
      <w:pPr>
        <w:pStyle w:val="ListParagraph"/>
        <w:numPr>
          <w:ilvl w:val="0"/>
          <w:numId w:val="2"/>
        </w:numPr>
        <w:tabs>
          <w:tab w:val="left" w:pos="2520"/>
        </w:tabs>
        <w:spacing w:before="120" w:after="120"/>
        <w:ind w:left="1701" w:hanging="567"/>
        <w:jc w:val="both"/>
        <w:rPr>
          <w:rFonts w:ascii="Book Antiqua" w:hAnsi="Book Antiqua" w:cs="Arial"/>
        </w:rPr>
      </w:pPr>
      <w:r w:rsidRPr="0077247B">
        <w:rPr>
          <w:rFonts w:ascii="Book Antiqua" w:hAnsi="Book Antiqua" w:cs="Arial"/>
        </w:rPr>
        <w:t xml:space="preserve">There is a basic package of healthcare in Afghanistan around a third of the population have inadequate access to it with significant barriers and inequality of access. The position in better in Kabul.  There is little to suggest that a returnee in good health is any worse off or has any less access to healthcare than </w:t>
      </w:r>
      <w:r w:rsidR="007E6320" w:rsidRPr="0077247B">
        <w:rPr>
          <w:rFonts w:ascii="Book Antiqua" w:hAnsi="Book Antiqua" w:cs="Arial"/>
        </w:rPr>
        <w:t>most of</w:t>
      </w:r>
      <w:r w:rsidRPr="0077247B">
        <w:rPr>
          <w:rFonts w:ascii="Book Antiqua" w:hAnsi="Book Antiqua" w:cs="Arial"/>
        </w:rPr>
        <w:t xml:space="preserve"> the population</w:t>
      </w:r>
      <w:r>
        <w:rPr>
          <w:rFonts w:ascii="Book Antiqua" w:hAnsi="Book Antiqua" w:cs="Arial"/>
        </w:rPr>
        <w:t xml:space="preserve"> in</w:t>
      </w:r>
      <w:r w:rsidRPr="0077247B">
        <w:rPr>
          <w:rFonts w:ascii="Book Antiqua" w:hAnsi="Book Antiqua" w:cs="Arial"/>
        </w:rPr>
        <w:t xml:space="preserve"> Kabul</w:t>
      </w:r>
      <w:r>
        <w:rPr>
          <w:rFonts w:ascii="Book Antiqua" w:hAnsi="Book Antiqua" w:cs="Arial"/>
        </w:rPr>
        <w:t>.</w:t>
      </w:r>
      <w:r w:rsidRPr="0077247B">
        <w:rPr>
          <w:rFonts w:ascii="Book Antiqua" w:hAnsi="Book Antiqua" w:cs="Arial"/>
        </w:rPr>
        <w:t xml:space="preserve"> </w:t>
      </w:r>
    </w:p>
    <w:p w:rsidR="008A7311" w:rsidRPr="00196B97" w:rsidRDefault="008A7311" w:rsidP="00AD1D90">
      <w:pPr>
        <w:pStyle w:val="ListParagraph"/>
        <w:numPr>
          <w:ilvl w:val="0"/>
          <w:numId w:val="2"/>
        </w:numPr>
        <w:tabs>
          <w:tab w:val="left" w:pos="2520"/>
        </w:tabs>
        <w:spacing w:before="120" w:after="120"/>
        <w:ind w:left="1701" w:hanging="567"/>
        <w:jc w:val="both"/>
        <w:rPr>
          <w:rFonts w:ascii="Book Antiqua" w:hAnsi="Book Antiqua" w:cs="Arial"/>
        </w:rPr>
      </w:pPr>
      <w:r w:rsidRPr="00196B97">
        <w:rPr>
          <w:rFonts w:ascii="Book Antiqua" w:hAnsi="Book Antiqua" w:cs="Arial"/>
        </w:rPr>
        <w:t xml:space="preserve">Stable, higher quality better paid employment is difficult to obtain in Kabul without appropriately placed connections. </w:t>
      </w:r>
      <w:r>
        <w:rPr>
          <w:rFonts w:ascii="Book Antiqua" w:hAnsi="Book Antiqua" w:cs="Arial"/>
        </w:rPr>
        <w:t xml:space="preserve"> </w:t>
      </w:r>
      <w:r w:rsidRPr="00196B97">
        <w:rPr>
          <w:rFonts w:ascii="Book Antiqua" w:hAnsi="Book Antiqua" w:cs="Arial"/>
        </w:rPr>
        <w:t xml:space="preserve">There is availability of lower skilled jobs which do not require specific skills, experience or </w:t>
      </w:r>
      <w:r w:rsidR="00505195" w:rsidRPr="00196B97">
        <w:rPr>
          <w:rFonts w:ascii="Book Antiqua" w:hAnsi="Book Antiqua" w:cs="Arial"/>
        </w:rPr>
        <w:t>connections and</w:t>
      </w:r>
      <w:r w:rsidRPr="00196B97">
        <w:rPr>
          <w:rFonts w:ascii="Book Antiqua" w:hAnsi="Book Antiqua" w:cs="Arial"/>
        </w:rPr>
        <w:t xml:space="preserve"> a single man could survive much better on low or unskilled jobs or irregular work</w:t>
      </w:r>
      <w:r>
        <w:rPr>
          <w:rFonts w:ascii="Book Antiqua" w:hAnsi="Book Antiqua" w:cs="Arial"/>
        </w:rPr>
        <w:t xml:space="preserve">. </w:t>
      </w:r>
      <w:r w:rsidRPr="00196B97">
        <w:rPr>
          <w:rFonts w:ascii="Book Antiqua" w:hAnsi="Book Antiqua" w:cs="Arial"/>
        </w:rPr>
        <w:t xml:space="preserve"> </w:t>
      </w:r>
    </w:p>
    <w:p w:rsidR="008A7311" w:rsidRDefault="008A7311" w:rsidP="00AD1D90">
      <w:pPr>
        <w:pStyle w:val="ListParagraph"/>
        <w:numPr>
          <w:ilvl w:val="0"/>
          <w:numId w:val="2"/>
        </w:numPr>
        <w:tabs>
          <w:tab w:val="left" w:pos="2520"/>
        </w:tabs>
        <w:spacing w:before="120" w:after="120"/>
        <w:ind w:left="1701" w:hanging="567"/>
        <w:jc w:val="both"/>
        <w:rPr>
          <w:rFonts w:ascii="Book Antiqua" w:hAnsi="Book Antiqua" w:cs="Arial"/>
        </w:rPr>
      </w:pPr>
      <w:r w:rsidRPr="0077247B">
        <w:rPr>
          <w:rFonts w:ascii="Book Antiqua" w:hAnsi="Book Antiqua" w:cs="Arial"/>
        </w:rPr>
        <w:t>It has not been established that there is any real risk that a single man will feel compelled to join an armed gang for economic survival in Kabul</w:t>
      </w:r>
      <w:r>
        <w:rPr>
          <w:rFonts w:ascii="Book Antiqua" w:hAnsi="Book Antiqua" w:cs="Arial"/>
        </w:rPr>
        <w:t>.</w:t>
      </w:r>
      <w:r w:rsidRPr="0077247B">
        <w:rPr>
          <w:rFonts w:ascii="Book Antiqua" w:hAnsi="Book Antiqua" w:cs="Arial"/>
        </w:rPr>
        <w:t xml:space="preserve"> There are livelihood opportunities available for single men in good health on </w:t>
      </w:r>
      <w:r w:rsidRPr="0077247B">
        <w:rPr>
          <w:rFonts w:ascii="Book Antiqua" w:hAnsi="Book Antiqua" w:cs="Arial"/>
        </w:rPr>
        <w:lastRenderedPageBreak/>
        <w:t xml:space="preserve">return to Kabul such that there is no real likelihood that they will be forced in to a life of crime, subjected to exploitative work or join an armed AGE </w:t>
      </w:r>
    </w:p>
    <w:p w:rsidR="008A7311" w:rsidRDefault="008A7311" w:rsidP="00AD1D90">
      <w:pPr>
        <w:pStyle w:val="ListParagraph"/>
        <w:numPr>
          <w:ilvl w:val="0"/>
          <w:numId w:val="2"/>
        </w:numPr>
        <w:tabs>
          <w:tab w:val="left" w:pos="2520"/>
        </w:tabs>
        <w:spacing w:before="120" w:after="120"/>
        <w:ind w:left="1701" w:hanging="567"/>
        <w:jc w:val="both"/>
        <w:rPr>
          <w:rFonts w:ascii="Book Antiqua" w:hAnsi="Book Antiqua" w:cs="Arial"/>
        </w:rPr>
      </w:pPr>
      <w:r w:rsidRPr="00196B97">
        <w:rPr>
          <w:rFonts w:ascii="Book Antiqua" w:hAnsi="Book Antiqua" w:cs="Arial"/>
        </w:rPr>
        <w:t xml:space="preserve">There is a basic level of support “parachute package” which includes the cover of temporary accommodation travel expenses and either cash on return or support in-kind for those with a plan to establish them in Kabul. This makes a material even if marginal difference to the reasonableness of return to Kabul for a healthy single male. </w:t>
      </w:r>
    </w:p>
    <w:p w:rsidR="008A7311" w:rsidRPr="00196B97" w:rsidRDefault="008A7311" w:rsidP="00AD1D90">
      <w:pPr>
        <w:pStyle w:val="ListParagraph"/>
        <w:numPr>
          <w:ilvl w:val="0"/>
          <w:numId w:val="2"/>
        </w:numPr>
        <w:tabs>
          <w:tab w:val="left" w:pos="2520"/>
        </w:tabs>
        <w:spacing w:before="120" w:after="120"/>
        <w:ind w:left="1701" w:hanging="567"/>
        <w:jc w:val="both"/>
        <w:rPr>
          <w:rFonts w:ascii="Book Antiqua" w:hAnsi="Book Antiqua" w:cs="Arial"/>
        </w:rPr>
      </w:pPr>
      <w:r w:rsidRPr="00196B97">
        <w:rPr>
          <w:rFonts w:ascii="Book Antiqua" w:hAnsi="Book Antiqua" w:cs="Arial"/>
        </w:rPr>
        <w:t xml:space="preserve">It is not generally unsafe or unreasonable for a single healthy man to internally relocate to Kabul. </w:t>
      </w:r>
      <w:r>
        <w:rPr>
          <w:rFonts w:ascii="Book Antiqua" w:hAnsi="Book Antiqua" w:cs="Arial"/>
        </w:rPr>
        <w:t xml:space="preserve"> </w:t>
      </w:r>
      <w:r w:rsidRPr="00196B97">
        <w:rPr>
          <w:rFonts w:ascii="Book Antiqua" w:hAnsi="Book Antiqua" w:cs="Arial"/>
        </w:rPr>
        <w:t xml:space="preserve">A case by case consideration of whether it is reasonable for a </w:t>
      </w:r>
      <w:r w:rsidR="007E6320" w:rsidRPr="00196B97">
        <w:rPr>
          <w:rFonts w:ascii="Book Antiqua" w:hAnsi="Book Antiqua" w:cs="Arial"/>
        </w:rPr>
        <w:t>person</w:t>
      </w:r>
      <w:r w:rsidRPr="00196B97">
        <w:rPr>
          <w:rFonts w:ascii="Book Antiqua" w:hAnsi="Book Antiqua" w:cs="Arial"/>
        </w:rPr>
        <w:t xml:space="preserve"> is required and the following are specific factors that may be relevant to bear in mind </w:t>
      </w:r>
    </w:p>
    <w:p w:rsidR="008A7311" w:rsidRPr="0077247B" w:rsidRDefault="008A7311" w:rsidP="00AD1D90">
      <w:pPr>
        <w:pStyle w:val="ListParagraph"/>
        <w:numPr>
          <w:ilvl w:val="4"/>
          <w:numId w:val="3"/>
        </w:numPr>
        <w:spacing w:before="120" w:after="120"/>
        <w:ind w:left="2268" w:hanging="567"/>
        <w:jc w:val="both"/>
        <w:rPr>
          <w:rFonts w:ascii="Book Antiqua" w:hAnsi="Book Antiqua" w:cs="Arial"/>
        </w:rPr>
      </w:pPr>
      <w:r w:rsidRPr="0077247B">
        <w:rPr>
          <w:rFonts w:ascii="Book Antiqua" w:hAnsi="Book Antiqua" w:cs="Arial"/>
        </w:rPr>
        <w:t xml:space="preserve">Age </w:t>
      </w:r>
    </w:p>
    <w:p w:rsidR="008A7311" w:rsidRPr="0077247B" w:rsidRDefault="008A7311" w:rsidP="00AD1D90">
      <w:pPr>
        <w:pStyle w:val="ListParagraph"/>
        <w:numPr>
          <w:ilvl w:val="4"/>
          <w:numId w:val="3"/>
        </w:numPr>
        <w:spacing w:before="120" w:after="120"/>
        <w:ind w:left="2268" w:hanging="567"/>
        <w:jc w:val="both"/>
        <w:rPr>
          <w:rFonts w:ascii="Book Antiqua" w:hAnsi="Book Antiqua" w:cs="Arial"/>
        </w:rPr>
      </w:pPr>
      <w:r w:rsidRPr="0077247B">
        <w:rPr>
          <w:rFonts w:ascii="Book Antiqua" w:hAnsi="Book Antiqua" w:cs="Arial"/>
        </w:rPr>
        <w:t xml:space="preserve">Nature and quality connections to Kabul and/or Afghanistan </w:t>
      </w:r>
    </w:p>
    <w:p w:rsidR="008A7311" w:rsidRPr="0077247B" w:rsidRDefault="008A7311" w:rsidP="00AD1D90">
      <w:pPr>
        <w:pStyle w:val="ListParagraph"/>
        <w:numPr>
          <w:ilvl w:val="4"/>
          <w:numId w:val="3"/>
        </w:numPr>
        <w:spacing w:before="120" w:after="120"/>
        <w:ind w:left="2268" w:hanging="567"/>
        <w:jc w:val="both"/>
        <w:rPr>
          <w:rFonts w:ascii="Book Antiqua" w:hAnsi="Book Antiqua" w:cs="Arial"/>
        </w:rPr>
      </w:pPr>
      <w:r w:rsidRPr="0077247B">
        <w:rPr>
          <w:rFonts w:ascii="Book Antiqua" w:hAnsi="Book Antiqua" w:cs="Arial"/>
        </w:rPr>
        <w:t xml:space="preserve">Physical and mental health </w:t>
      </w:r>
    </w:p>
    <w:p w:rsidR="008A7311" w:rsidRDefault="008A7311" w:rsidP="00AD1D90">
      <w:pPr>
        <w:pStyle w:val="ListParagraph"/>
        <w:numPr>
          <w:ilvl w:val="4"/>
          <w:numId w:val="3"/>
        </w:numPr>
        <w:spacing w:before="120" w:after="120"/>
        <w:ind w:left="2268" w:hanging="567"/>
        <w:jc w:val="both"/>
        <w:rPr>
          <w:rFonts w:ascii="Book Antiqua" w:hAnsi="Book Antiqua" w:cs="Arial"/>
        </w:rPr>
      </w:pPr>
      <w:r w:rsidRPr="0077247B">
        <w:rPr>
          <w:rFonts w:ascii="Book Antiqua" w:hAnsi="Book Antiqua" w:cs="Arial"/>
        </w:rPr>
        <w:t xml:space="preserve">Language, education and vocational and skill </w:t>
      </w:r>
    </w:p>
    <w:p w:rsidR="00162AAF" w:rsidRPr="00162AAF" w:rsidRDefault="00162AAF" w:rsidP="00BC2F2C">
      <w:pPr>
        <w:tabs>
          <w:tab w:val="left" w:pos="567"/>
        </w:tabs>
        <w:ind w:left="567" w:hanging="567"/>
        <w:jc w:val="both"/>
        <w:rPr>
          <w:rFonts w:ascii="Book Antiqua" w:hAnsi="Book Antiqua" w:cs="Arial"/>
          <w:i/>
        </w:rPr>
      </w:pPr>
      <w:r w:rsidRPr="00162AAF">
        <w:rPr>
          <w:rFonts w:ascii="Book Antiqua" w:hAnsi="Book Antiqua" w:cs="Arial"/>
          <w:i/>
        </w:rPr>
        <w:t xml:space="preserve">Conclusions </w:t>
      </w:r>
    </w:p>
    <w:p w:rsidR="00162AAF" w:rsidRDefault="00162AAF" w:rsidP="00BC2F2C">
      <w:pPr>
        <w:tabs>
          <w:tab w:val="left" w:pos="567"/>
        </w:tabs>
        <w:ind w:left="567" w:hanging="567"/>
        <w:jc w:val="both"/>
        <w:rPr>
          <w:rFonts w:ascii="Book Antiqua" w:hAnsi="Book Antiqua" w:cs="Arial"/>
        </w:rPr>
      </w:pPr>
    </w:p>
    <w:p w:rsidR="008A7311" w:rsidRPr="002D02A8" w:rsidRDefault="008A7311" w:rsidP="00956566">
      <w:pPr>
        <w:tabs>
          <w:tab w:val="left" w:pos="567"/>
        </w:tabs>
        <w:ind w:left="567" w:hanging="567"/>
        <w:jc w:val="both"/>
        <w:rPr>
          <w:rFonts w:ascii="Book Antiqua" w:hAnsi="Book Antiqua"/>
          <w:b/>
        </w:rPr>
      </w:pPr>
      <w:r>
        <w:rPr>
          <w:rFonts w:ascii="Book Antiqua" w:hAnsi="Book Antiqua" w:cs="Arial"/>
        </w:rPr>
        <w:t>1</w:t>
      </w:r>
      <w:r w:rsidR="00CB58EA">
        <w:rPr>
          <w:rFonts w:ascii="Book Antiqua" w:hAnsi="Book Antiqua" w:cs="Arial"/>
        </w:rPr>
        <w:t>9</w:t>
      </w:r>
      <w:r w:rsidR="00162AAF">
        <w:rPr>
          <w:rFonts w:ascii="Book Antiqua" w:hAnsi="Book Antiqua" w:cs="Arial"/>
        </w:rPr>
        <w:t>.</w:t>
      </w:r>
      <w:r>
        <w:rPr>
          <w:rFonts w:ascii="Book Antiqua" w:hAnsi="Book Antiqua" w:cs="Arial"/>
        </w:rPr>
        <w:t xml:space="preserve">  </w:t>
      </w:r>
      <w:r>
        <w:rPr>
          <w:rFonts w:ascii="Book Antiqua" w:hAnsi="Book Antiqua" w:cs="Arial"/>
        </w:rPr>
        <w:tab/>
      </w:r>
      <w:r w:rsidR="00956566">
        <w:rPr>
          <w:rFonts w:ascii="Book Antiqua" w:hAnsi="Book Antiqua" w:cs="Arial"/>
        </w:rPr>
        <w:t>The judge did not factor in</w:t>
      </w:r>
      <w:r w:rsidR="0027001A">
        <w:rPr>
          <w:rFonts w:ascii="Book Antiqua" w:hAnsi="Book Antiqua" w:cs="Arial"/>
        </w:rPr>
        <w:t xml:space="preserve">to the assessment of reasonableness the </w:t>
      </w:r>
      <w:r w:rsidR="00505195">
        <w:rPr>
          <w:rFonts w:ascii="Book Antiqua" w:hAnsi="Book Antiqua" w:cs="Arial"/>
        </w:rPr>
        <w:t>background evidence relied on by the Appellant concerning the deterioration</w:t>
      </w:r>
      <w:r w:rsidR="00956566">
        <w:rPr>
          <w:rFonts w:ascii="Book Antiqua" w:hAnsi="Book Antiqua" w:cs="Arial"/>
        </w:rPr>
        <w:t xml:space="preserve"> of conditions in Kabul into the assessment of </w:t>
      </w:r>
      <w:r w:rsidR="00505195">
        <w:rPr>
          <w:rFonts w:ascii="Book Antiqua" w:hAnsi="Book Antiqua" w:cs="Arial"/>
        </w:rPr>
        <w:t>reasonableness</w:t>
      </w:r>
      <w:r w:rsidR="00956566">
        <w:rPr>
          <w:rFonts w:ascii="Book Antiqua" w:hAnsi="Book Antiqua" w:cs="Arial"/>
        </w:rPr>
        <w:t>. However, the error was not material considering the law as it stood at the time of the promulgation of the decision</w:t>
      </w:r>
      <w:r w:rsidR="00162AAF">
        <w:rPr>
          <w:rFonts w:ascii="Book Antiqua" w:hAnsi="Book Antiqua" w:cs="Arial"/>
        </w:rPr>
        <w:t xml:space="preserve">. </w:t>
      </w:r>
      <w:r>
        <w:rPr>
          <w:rFonts w:ascii="Book Antiqua" w:hAnsi="Book Antiqua"/>
        </w:rPr>
        <w:t>The judge erred. The error</w:t>
      </w:r>
      <w:r w:rsidR="00956566">
        <w:rPr>
          <w:rFonts w:ascii="Book Antiqua" w:hAnsi="Book Antiqua"/>
        </w:rPr>
        <w:t xml:space="preserve"> is not material. The decision to dismiss the appeal is maintained.  </w:t>
      </w:r>
    </w:p>
    <w:p w:rsidR="00ED3295" w:rsidRDefault="00ED3295" w:rsidP="00ED3295"/>
    <w:p w:rsidR="00C7558F" w:rsidRPr="00C7558F" w:rsidRDefault="00C7558F" w:rsidP="00C7558F">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rsidR="00C7558F" w:rsidRPr="00C7558F" w:rsidRDefault="00C7558F" w:rsidP="00C7558F">
      <w:pPr>
        <w:jc w:val="both"/>
        <w:rPr>
          <w:rFonts w:ascii="Book Antiqua" w:hAnsi="Book Antiqua" w:cs="Arial"/>
        </w:rPr>
      </w:pPr>
    </w:p>
    <w:p w:rsidR="00C7558F" w:rsidRPr="00687601" w:rsidRDefault="00C7558F" w:rsidP="00C7558F">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rsidR="00C7558F" w:rsidRPr="000704BB" w:rsidRDefault="00C7558F" w:rsidP="00BF23BB">
      <w:pPr>
        <w:tabs>
          <w:tab w:val="left" w:pos="567"/>
        </w:tabs>
        <w:ind w:left="567" w:hanging="567"/>
        <w:jc w:val="both"/>
        <w:rPr>
          <w:rFonts w:ascii="Book Antiqua" w:hAnsi="Book Antiqua" w:cs="Arial"/>
        </w:rPr>
      </w:pPr>
    </w:p>
    <w:p w:rsidR="00A509FA" w:rsidRPr="000704BB" w:rsidRDefault="00A509FA" w:rsidP="00780F86">
      <w:pPr>
        <w:ind w:left="540" w:hanging="540"/>
        <w:jc w:val="both"/>
        <w:rPr>
          <w:rFonts w:ascii="Book Antiqua" w:hAnsi="Book Antiqua" w:cs="Arial"/>
        </w:rPr>
      </w:pPr>
    </w:p>
    <w:p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7E6320" w:rsidRPr="007E6320">
        <w:rPr>
          <w:rFonts w:ascii="Lucida Calligraphy" w:hAnsi="Lucida Calligraphy" w:cs="Arial"/>
        </w:rPr>
        <w:t>Joanna McWilliam</w:t>
      </w:r>
      <w:r w:rsidRPr="007E6320">
        <w:rPr>
          <w:rFonts w:ascii="Lucida Calligraphy" w:hAnsi="Lucida Calligraphy"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7E6320">
        <w:rPr>
          <w:rFonts w:ascii="Book Antiqua" w:hAnsi="Book Antiqua" w:cs="Arial"/>
        </w:rPr>
        <w:t xml:space="preserve"> 4 July 2018</w:t>
      </w:r>
    </w:p>
    <w:p w:rsidR="001F2716" w:rsidRPr="000704BB" w:rsidRDefault="001F2716" w:rsidP="00402B9E">
      <w:pPr>
        <w:tabs>
          <w:tab w:val="left" w:pos="2520"/>
        </w:tabs>
        <w:ind w:left="540" w:hanging="540"/>
        <w:jc w:val="both"/>
        <w:rPr>
          <w:rFonts w:ascii="Book Antiqua" w:hAnsi="Book Antiqua" w:cs="Arial"/>
        </w:rPr>
      </w:pPr>
    </w:p>
    <w:p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sectPr w:rsidR="001F2716" w:rsidRPr="000704B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1B1" w:rsidRDefault="00E511B1">
      <w:r>
        <w:separator/>
      </w:r>
    </w:p>
  </w:endnote>
  <w:endnote w:type="continuationSeparator" w:id="0">
    <w:p w:rsidR="00E511B1" w:rsidRDefault="00E5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170128"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004319AE"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585F3B">
      <w:rPr>
        <w:rStyle w:val="PageNumber"/>
        <w:rFonts w:ascii="Book Antiqua" w:hAnsi="Book Antiqua" w:cs="Arial"/>
        <w:noProof/>
        <w:sz w:val="16"/>
        <w:szCs w:val="16"/>
      </w:rPr>
      <w:t>10</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EB0A7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1B1" w:rsidRDefault="00E511B1">
      <w:r>
        <w:separator/>
      </w:r>
    </w:p>
  </w:footnote>
  <w:footnote w:type="continuationSeparator" w:id="0">
    <w:p w:rsidR="00E511B1" w:rsidRDefault="00E511B1">
      <w:r>
        <w:continuationSeparator/>
      </w:r>
    </w:p>
  </w:footnote>
  <w:footnote w:id="1">
    <w:p w:rsidR="008A7311" w:rsidRDefault="008A7311" w:rsidP="008A7311">
      <w:pPr>
        <w:rPr>
          <w:rFonts w:ascii="Book Antiqua" w:hAnsi="Book Antiqua"/>
          <w:sz w:val="18"/>
          <w:szCs w:val="18"/>
        </w:rPr>
      </w:pPr>
      <w:r>
        <w:rPr>
          <w:rStyle w:val="FootnoteReference"/>
        </w:rPr>
        <w:footnoteRef/>
      </w:r>
      <w:r>
        <w:t xml:space="preserve"> </w:t>
      </w:r>
      <w:r w:rsidRPr="008A7311">
        <w:rPr>
          <w:rFonts w:ascii="Book Antiqua" w:hAnsi="Book Antiqua"/>
          <w:sz w:val="18"/>
          <w:szCs w:val="18"/>
        </w:rPr>
        <w:t xml:space="preserve">The </w:t>
      </w:r>
      <w:r w:rsidR="00505195" w:rsidRPr="008A7311">
        <w:rPr>
          <w:rFonts w:ascii="Book Antiqua" w:hAnsi="Book Antiqua"/>
          <w:sz w:val="18"/>
          <w:szCs w:val="18"/>
        </w:rPr>
        <w:t>head note</w:t>
      </w:r>
      <w:r w:rsidRPr="008A7311">
        <w:rPr>
          <w:rFonts w:ascii="Book Antiqua" w:hAnsi="Book Antiqua"/>
          <w:sz w:val="18"/>
          <w:szCs w:val="18"/>
        </w:rPr>
        <w:t xml:space="preserve"> in AS reflected in the main body of the decision reads;</w:t>
      </w:r>
    </w:p>
    <w:p w:rsidR="008A7311" w:rsidRDefault="008A7311" w:rsidP="008A7311"/>
    <w:p w:rsidR="008A7311" w:rsidRPr="008A7311" w:rsidRDefault="008A7311" w:rsidP="008A7311">
      <w:pPr>
        <w:ind w:firstLine="360"/>
        <w:jc w:val="both"/>
        <w:rPr>
          <w:rFonts w:ascii="Book Antiqua" w:hAnsi="Book Antiqua" w:cs="Arial"/>
          <w:i/>
          <w:sz w:val="18"/>
          <w:szCs w:val="18"/>
        </w:rPr>
      </w:pPr>
      <w:r w:rsidRPr="008A7311">
        <w:rPr>
          <w:rFonts w:ascii="Book Antiqua" w:hAnsi="Book Antiqua" w:cs="Arial"/>
          <w:i/>
          <w:sz w:val="18"/>
          <w:szCs w:val="18"/>
        </w:rPr>
        <w:t>“Risk on return to Kabul from the Taliban</w:t>
      </w:r>
    </w:p>
    <w:p w:rsidR="008A7311" w:rsidRPr="008A7311" w:rsidRDefault="008A7311" w:rsidP="008A7311">
      <w:pPr>
        <w:jc w:val="both"/>
        <w:rPr>
          <w:rFonts w:ascii="Book Antiqua" w:hAnsi="Book Antiqua" w:cs="Arial"/>
          <w:i/>
          <w:sz w:val="18"/>
          <w:szCs w:val="18"/>
        </w:rPr>
      </w:pPr>
    </w:p>
    <w:p w:rsidR="008A7311" w:rsidRPr="008A7311" w:rsidRDefault="008A7311" w:rsidP="008A7311">
      <w:pPr>
        <w:numPr>
          <w:ilvl w:val="0"/>
          <w:numId w:val="1"/>
        </w:numPr>
        <w:jc w:val="both"/>
        <w:rPr>
          <w:rFonts w:ascii="Book Antiqua" w:hAnsi="Book Antiqua" w:cs="Arial"/>
          <w:i/>
          <w:sz w:val="18"/>
          <w:szCs w:val="18"/>
        </w:rPr>
      </w:pPr>
      <w:r w:rsidRPr="008A7311">
        <w:rPr>
          <w:rFonts w:ascii="Book Antiqua" w:hAnsi="Book Antiqua" w:cs="Arial"/>
          <w:i/>
          <w:sz w:val="18"/>
          <w:szCs w:val="18"/>
        </w:rPr>
        <w:t>A person who is of lower-level interest for the Taliban (i.e. not a senior government or security services official, or a spy) is not at real risk of persecution from the Taliban in Kabul.</w:t>
      </w:r>
    </w:p>
    <w:p w:rsidR="008A7311" w:rsidRPr="008A7311" w:rsidRDefault="008A7311" w:rsidP="008A7311">
      <w:pPr>
        <w:ind w:left="360"/>
        <w:jc w:val="both"/>
        <w:rPr>
          <w:rFonts w:ascii="Book Antiqua" w:hAnsi="Book Antiqua" w:cs="Arial"/>
          <w:i/>
          <w:sz w:val="18"/>
          <w:szCs w:val="18"/>
        </w:rPr>
      </w:pPr>
    </w:p>
    <w:p w:rsidR="008A7311" w:rsidRPr="008A7311" w:rsidRDefault="008A7311" w:rsidP="008A7311">
      <w:pPr>
        <w:ind w:firstLine="360"/>
        <w:jc w:val="both"/>
        <w:rPr>
          <w:rFonts w:ascii="Book Antiqua" w:hAnsi="Book Antiqua" w:cs="Arial"/>
          <w:i/>
          <w:sz w:val="18"/>
          <w:szCs w:val="18"/>
        </w:rPr>
      </w:pPr>
      <w:r w:rsidRPr="008A7311">
        <w:rPr>
          <w:rFonts w:ascii="Book Antiqua" w:hAnsi="Book Antiqua" w:cs="Arial"/>
          <w:i/>
          <w:sz w:val="18"/>
          <w:szCs w:val="18"/>
        </w:rPr>
        <w:t>Internal relocation to Kabul</w:t>
      </w:r>
    </w:p>
    <w:p w:rsidR="008A7311" w:rsidRPr="008A7311" w:rsidRDefault="008A7311" w:rsidP="008A7311">
      <w:pPr>
        <w:jc w:val="both"/>
        <w:rPr>
          <w:rFonts w:ascii="Book Antiqua" w:hAnsi="Book Antiqua" w:cs="Arial"/>
          <w:i/>
          <w:sz w:val="18"/>
          <w:szCs w:val="18"/>
        </w:rPr>
      </w:pPr>
    </w:p>
    <w:p w:rsidR="008A7311" w:rsidRPr="008A7311" w:rsidRDefault="008A7311" w:rsidP="008A7311">
      <w:pPr>
        <w:numPr>
          <w:ilvl w:val="0"/>
          <w:numId w:val="1"/>
        </w:numPr>
        <w:jc w:val="both"/>
        <w:rPr>
          <w:rFonts w:ascii="Book Antiqua" w:hAnsi="Book Antiqua" w:cs="Arial"/>
          <w:i/>
          <w:sz w:val="18"/>
          <w:szCs w:val="18"/>
        </w:rPr>
      </w:pPr>
      <w:r w:rsidRPr="008A7311">
        <w:rPr>
          <w:rFonts w:ascii="Book Antiqua" w:hAnsi="Book Antiqua" w:cs="Arial"/>
          <w:i/>
          <w:sz w:val="18"/>
          <w:szCs w:val="18"/>
        </w:rPr>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8A7311" w:rsidRPr="008A7311" w:rsidRDefault="008A7311" w:rsidP="008A7311">
      <w:pPr>
        <w:ind w:left="720"/>
        <w:jc w:val="both"/>
        <w:rPr>
          <w:rFonts w:ascii="Book Antiqua" w:hAnsi="Book Antiqua" w:cs="Arial"/>
          <w:i/>
          <w:sz w:val="18"/>
          <w:szCs w:val="18"/>
        </w:rPr>
      </w:pPr>
    </w:p>
    <w:p w:rsidR="008A7311" w:rsidRPr="008A7311" w:rsidRDefault="008A7311" w:rsidP="008A7311">
      <w:pPr>
        <w:numPr>
          <w:ilvl w:val="0"/>
          <w:numId w:val="1"/>
        </w:numPr>
        <w:jc w:val="both"/>
        <w:rPr>
          <w:rFonts w:ascii="Book Antiqua" w:hAnsi="Book Antiqua" w:cs="Arial"/>
          <w:i/>
          <w:sz w:val="18"/>
          <w:szCs w:val="18"/>
        </w:rPr>
      </w:pPr>
      <w:r w:rsidRPr="008A7311">
        <w:rPr>
          <w:rFonts w:ascii="Book Antiqua" w:hAnsi="Book Antiqua" w:cs="Arial"/>
          <w:i/>
          <w:sz w:val="18"/>
          <w:szCs w:val="18"/>
        </w:rPr>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8A7311" w:rsidRPr="008A7311" w:rsidRDefault="008A7311" w:rsidP="008A7311">
      <w:pPr>
        <w:pStyle w:val="ListParagraph"/>
        <w:rPr>
          <w:rFonts w:ascii="Book Antiqua" w:hAnsi="Book Antiqua" w:cs="Arial"/>
          <w:i/>
          <w:sz w:val="18"/>
          <w:szCs w:val="18"/>
        </w:rPr>
      </w:pPr>
    </w:p>
    <w:p w:rsidR="008A7311" w:rsidRPr="008A7311" w:rsidRDefault="008A7311" w:rsidP="008A7311">
      <w:pPr>
        <w:numPr>
          <w:ilvl w:val="0"/>
          <w:numId w:val="1"/>
        </w:numPr>
        <w:jc w:val="both"/>
        <w:rPr>
          <w:rFonts w:ascii="Book Antiqua" w:hAnsi="Book Antiqua" w:cs="Arial"/>
          <w:i/>
          <w:sz w:val="18"/>
          <w:szCs w:val="18"/>
        </w:rPr>
      </w:pPr>
      <w:r w:rsidRPr="008A7311">
        <w:rPr>
          <w:rFonts w:ascii="Book Antiqua" w:hAnsi="Book Antiqua" w:cs="Arial"/>
          <w:i/>
          <w:sz w:val="18"/>
          <w:szCs w:val="18"/>
        </w:rPr>
        <w:t>A person with a support network or specific connections in Kabul is likely to be in a more advantageous position on return, which may counter a particular vulnerability of an individual on return.</w:t>
      </w:r>
    </w:p>
    <w:p w:rsidR="008A7311" w:rsidRPr="008A7311" w:rsidRDefault="008A7311" w:rsidP="008A7311">
      <w:pPr>
        <w:pStyle w:val="ListParagraph"/>
        <w:ind w:left="360"/>
        <w:jc w:val="both"/>
        <w:rPr>
          <w:rFonts w:ascii="Book Antiqua" w:hAnsi="Book Antiqua" w:cs="Arial"/>
          <w:i/>
          <w:sz w:val="18"/>
          <w:szCs w:val="18"/>
        </w:rPr>
      </w:pPr>
    </w:p>
    <w:p w:rsidR="008A7311" w:rsidRPr="008A7311" w:rsidRDefault="008A7311" w:rsidP="008A7311">
      <w:pPr>
        <w:numPr>
          <w:ilvl w:val="0"/>
          <w:numId w:val="1"/>
        </w:numPr>
        <w:jc w:val="both"/>
        <w:rPr>
          <w:rFonts w:ascii="Book Antiqua" w:hAnsi="Book Antiqua" w:cs="Arial"/>
          <w:i/>
          <w:sz w:val="18"/>
          <w:szCs w:val="18"/>
        </w:rPr>
      </w:pPr>
      <w:r w:rsidRPr="008A7311">
        <w:rPr>
          <w:rFonts w:ascii="Book Antiqua" w:hAnsi="Book Antiqua" w:cs="Arial"/>
          <w:i/>
          <w:sz w:val="18"/>
          <w:szCs w:val="18"/>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8A7311" w:rsidRPr="008A7311" w:rsidRDefault="008A7311" w:rsidP="008A7311">
      <w:pPr>
        <w:jc w:val="both"/>
        <w:rPr>
          <w:rFonts w:ascii="Book Antiqua" w:hAnsi="Book Antiqua" w:cs="Arial"/>
          <w:i/>
          <w:sz w:val="18"/>
          <w:szCs w:val="18"/>
        </w:rPr>
      </w:pPr>
    </w:p>
    <w:p w:rsidR="008A7311" w:rsidRPr="008A7311" w:rsidRDefault="008A7311" w:rsidP="008A7311">
      <w:pPr>
        <w:pStyle w:val="ListParagraph"/>
        <w:ind w:left="360"/>
        <w:jc w:val="both"/>
        <w:rPr>
          <w:rFonts w:ascii="Book Antiqua" w:hAnsi="Book Antiqua" w:cs="Arial"/>
          <w:i/>
          <w:sz w:val="18"/>
          <w:szCs w:val="18"/>
        </w:rPr>
      </w:pPr>
      <w:r w:rsidRPr="008A7311">
        <w:rPr>
          <w:rFonts w:ascii="Book Antiqua" w:hAnsi="Book Antiqua" w:cs="Arial"/>
          <w:i/>
          <w:sz w:val="18"/>
          <w:szCs w:val="18"/>
        </w:rPr>
        <w:t>Previous Country Guidance</w:t>
      </w:r>
    </w:p>
    <w:p w:rsidR="008A7311" w:rsidRPr="008A7311" w:rsidRDefault="008A7311" w:rsidP="008A7311">
      <w:pPr>
        <w:pStyle w:val="ListParagraph"/>
        <w:jc w:val="both"/>
        <w:rPr>
          <w:rFonts w:ascii="Book Antiqua" w:hAnsi="Book Antiqua" w:cs="Arial"/>
          <w:i/>
          <w:sz w:val="18"/>
          <w:szCs w:val="18"/>
        </w:rPr>
      </w:pPr>
    </w:p>
    <w:p w:rsidR="008A7311" w:rsidRPr="008A7311" w:rsidRDefault="008A7311" w:rsidP="008A7311">
      <w:pPr>
        <w:numPr>
          <w:ilvl w:val="0"/>
          <w:numId w:val="1"/>
        </w:numPr>
        <w:jc w:val="both"/>
        <w:rPr>
          <w:rFonts w:ascii="Book Antiqua" w:hAnsi="Book Antiqua" w:cs="Arial"/>
          <w:i/>
          <w:sz w:val="18"/>
          <w:szCs w:val="18"/>
        </w:rPr>
      </w:pPr>
      <w:r w:rsidRPr="008A7311">
        <w:rPr>
          <w:rFonts w:ascii="Book Antiqua" w:hAnsi="Book Antiqua" w:cs="Arial"/>
          <w:i/>
          <w:sz w:val="18"/>
          <w:szCs w:val="18"/>
        </w:rPr>
        <w:t xml:space="preserve">The country guidance in </w:t>
      </w:r>
      <w:r w:rsidRPr="008A7311">
        <w:rPr>
          <w:rFonts w:ascii="Book Antiqua" w:hAnsi="Book Antiqua" w:cs="Arial"/>
          <w:i/>
          <w:sz w:val="18"/>
          <w:szCs w:val="18"/>
          <w:u w:val="single"/>
        </w:rPr>
        <w:t>AK (Article 15(c)) Afghanistan</w:t>
      </w:r>
      <w:r w:rsidRPr="008A7311">
        <w:rPr>
          <w:rFonts w:ascii="Book Antiqua" w:hAnsi="Book Antiqua" w:cs="Arial"/>
          <w:i/>
          <w:sz w:val="18"/>
          <w:szCs w:val="18"/>
        </w:rPr>
        <w:t xml:space="preserve"> CG [2012] UKUT 163 (IAC) in relation to Article 15(c) of the Qualification Directive remains unaffected by this decision.</w:t>
      </w:r>
    </w:p>
    <w:p w:rsidR="008A7311" w:rsidRPr="008A7311" w:rsidRDefault="008A7311" w:rsidP="008A7311">
      <w:pPr>
        <w:ind w:left="720"/>
        <w:jc w:val="both"/>
        <w:rPr>
          <w:rFonts w:ascii="Book Antiqua" w:hAnsi="Book Antiqua" w:cs="Arial"/>
          <w:i/>
          <w:sz w:val="18"/>
          <w:szCs w:val="18"/>
        </w:rPr>
      </w:pPr>
    </w:p>
    <w:p w:rsidR="008A7311" w:rsidRPr="00F645D7" w:rsidRDefault="008A7311" w:rsidP="008A7311">
      <w:pPr>
        <w:numPr>
          <w:ilvl w:val="0"/>
          <w:numId w:val="1"/>
        </w:numPr>
        <w:jc w:val="both"/>
        <w:rPr>
          <w:rFonts w:ascii="Book Antiqua" w:hAnsi="Book Antiqua" w:cs="Arial"/>
          <w:i/>
        </w:rPr>
      </w:pPr>
      <w:r w:rsidRPr="008A7311">
        <w:rPr>
          <w:rFonts w:ascii="Book Antiqua" w:hAnsi="Book Antiqua" w:cs="Arial"/>
          <w:i/>
          <w:sz w:val="18"/>
          <w:szCs w:val="18"/>
        </w:rPr>
        <w:t xml:space="preserve">The country guidance in </w:t>
      </w:r>
      <w:r w:rsidRPr="008A7311">
        <w:rPr>
          <w:rFonts w:ascii="Book Antiqua" w:hAnsi="Book Antiqua" w:cs="Arial"/>
          <w:i/>
          <w:sz w:val="18"/>
          <w:szCs w:val="18"/>
          <w:u w:val="single"/>
        </w:rPr>
        <w:t>AK (Article 15(c)) Afghanistan</w:t>
      </w:r>
      <w:r w:rsidRPr="008A7311">
        <w:rPr>
          <w:rFonts w:ascii="Book Antiqua" w:hAnsi="Book Antiqua" w:cs="Arial"/>
          <w:i/>
          <w:sz w:val="18"/>
          <w:szCs w:val="18"/>
        </w:rPr>
        <w:t xml:space="preserve"> CG [2012] UKUT 163 (IAC) in relation to the (un)reasonableness of internal relocation to Kabul (and other potential</w:t>
      </w:r>
      <w:r w:rsidRPr="00F645D7">
        <w:rPr>
          <w:rFonts w:ascii="Book Antiqua" w:hAnsi="Book Antiqua" w:cs="Arial"/>
          <w:i/>
        </w:rPr>
        <w:t xml:space="preserve"> places of internal relocation) for certain categories of women remains unaffected by this decision.</w:t>
      </w:r>
    </w:p>
    <w:p w:rsidR="008A7311" w:rsidRPr="00F645D7" w:rsidRDefault="008A7311" w:rsidP="008A7311">
      <w:pPr>
        <w:pStyle w:val="ListParagraph"/>
        <w:jc w:val="both"/>
        <w:rPr>
          <w:rFonts w:ascii="Book Antiqua" w:hAnsi="Book Antiqua" w:cs="Arial"/>
          <w:i/>
        </w:rPr>
      </w:pPr>
    </w:p>
    <w:p w:rsidR="008A7311" w:rsidRPr="008A7311" w:rsidRDefault="008A7311" w:rsidP="008A7311">
      <w:pPr>
        <w:numPr>
          <w:ilvl w:val="0"/>
          <w:numId w:val="1"/>
        </w:numPr>
        <w:jc w:val="both"/>
        <w:rPr>
          <w:rFonts w:ascii="Book Antiqua" w:hAnsi="Book Antiqua" w:cs="Arial"/>
          <w:i/>
          <w:sz w:val="18"/>
          <w:szCs w:val="18"/>
        </w:rPr>
      </w:pPr>
      <w:r w:rsidRPr="008A7311">
        <w:rPr>
          <w:rFonts w:ascii="Book Antiqua" w:hAnsi="Book Antiqua" w:cs="Arial"/>
          <w:i/>
          <w:sz w:val="18"/>
          <w:szCs w:val="18"/>
        </w:rPr>
        <w:t xml:space="preserve">The country guidance in </w:t>
      </w:r>
      <w:r w:rsidRPr="008A7311">
        <w:rPr>
          <w:rFonts w:ascii="Book Antiqua" w:hAnsi="Book Antiqua" w:cs="Arial"/>
          <w:i/>
          <w:sz w:val="18"/>
          <w:szCs w:val="18"/>
          <w:u w:val="single"/>
        </w:rPr>
        <w:t>AA (unattended children) Afghanistan</w:t>
      </w:r>
      <w:r w:rsidRPr="008A7311">
        <w:rPr>
          <w:rFonts w:ascii="Book Antiqua" w:hAnsi="Book Antiqua" w:cs="Arial"/>
          <w:i/>
          <w:sz w:val="18"/>
          <w:szCs w:val="18"/>
        </w:rPr>
        <w:t xml:space="preserve"> CG [2012] UKUT 00016 (IAC) also remains unaffected by this decision”.</w:t>
      </w:r>
    </w:p>
    <w:p w:rsidR="008A7311" w:rsidRPr="008A7311" w:rsidRDefault="008A7311" w:rsidP="008A7311">
      <w:pPr>
        <w:tabs>
          <w:tab w:val="left" w:pos="2520"/>
        </w:tabs>
        <w:jc w:val="center"/>
        <w:rPr>
          <w:rFonts w:ascii="Book Antiqua" w:hAnsi="Book Antiqua" w:cs="Arial"/>
          <w:b/>
          <w:sz w:val="18"/>
          <w:szCs w:val="18"/>
          <w:u w:val="single"/>
        </w:rPr>
      </w:pPr>
    </w:p>
    <w:p w:rsidR="008A7311" w:rsidRPr="008A7311" w:rsidRDefault="008A7311" w:rsidP="008A7311">
      <w:pPr>
        <w:tabs>
          <w:tab w:val="left" w:pos="2520"/>
        </w:tabs>
        <w:rPr>
          <w:rFonts w:ascii="Book Antiqua" w:hAnsi="Book Antiqua" w:cs="Arial"/>
          <w:sz w:val="18"/>
          <w:szCs w:val="18"/>
        </w:rPr>
      </w:pPr>
    </w:p>
    <w:p w:rsidR="008A7311" w:rsidRDefault="008A731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2E6013">
      <w:rPr>
        <w:rFonts w:ascii="Book Antiqua" w:hAnsi="Book Antiqua" w:cs="Arial"/>
        <w:sz w:val="16"/>
        <w:szCs w:val="16"/>
      </w:rPr>
      <w:t xml:space="preserve"> PA/10809/2016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A6EC9"/>
    <w:multiLevelType w:val="hybridMultilevel"/>
    <w:tmpl w:val="25E41A2A"/>
    <w:lvl w:ilvl="0" w:tplc="FDE00E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E8345E"/>
    <w:multiLevelType w:val="hybridMultilevel"/>
    <w:tmpl w:val="71F66CD4"/>
    <w:lvl w:ilvl="0" w:tplc="08090013">
      <w:start w:val="1"/>
      <w:numFmt w:val="upperRoman"/>
      <w:lvlText w:val="%1."/>
      <w:lvlJc w:val="righ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8E34A2"/>
    <w:multiLevelType w:val="hybridMultilevel"/>
    <w:tmpl w:val="8ACC2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DB"/>
    <w:rsid w:val="00000621"/>
    <w:rsid w:val="000029BB"/>
    <w:rsid w:val="000036C2"/>
    <w:rsid w:val="00025087"/>
    <w:rsid w:val="00033D3D"/>
    <w:rsid w:val="00035078"/>
    <w:rsid w:val="00053429"/>
    <w:rsid w:val="00062F02"/>
    <w:rsid w:val="000641CA"/>
    <w:rsid w:val="000704BB"/>
    <w:rsid w:val="00071A7E"/>
    <w:rsid w:val="000746C0"/>
    <w:rsid w:val="00074D1D"/>
    <w:rsid w:val="00092580"/>
    <w:rsid w:val="00093D4D"/>
    <w:rsid w:val="000A46ED"/>
    <w:rsid w:val="000B086E"/>
    <w:rsid w:val="000B6967"/>
    <w:rsid w:val="000C07B7"/>
    <w:rsid w:val="000D43A2"/>
    <w:rsid w:val="000D442E"/>
    <w:rsid w:val="000D5D94"/>
    <w:rsid w:val="000E1D2B"/>
    <w:rsid w:val="000E6D20"/>
    <w:rsid w:val="000F1A0E"/>
    <w:rsid w:val="00111EC3"/>
    <w:rsid w:val="001165A7"/>
    <w:rsid w:val="00124C29"/>
    <w:rsid w:val="00125D0A"/>
    <w:rsid w:val="0014162A"/>
    <w:rsid w:val="00150C5F"/>
    <w:rsid w:val="00162AAF"/>
    <w:rsid w:val="00167D3A"/>
    <w:rsid w:val="00170128"/>
    <w:rsid w:val="00190911"/>
    <w:rsid w:val="00196530"/>
    <w:rsid w:val="001A08CA"/>
    <w:rsid w:val="001A3082"/>
    <w:rsid w:val="001B186A"/>
    <w:rsid w:val="001B2F75"/>
    <w:rsid w:val="001B376E"/>
    <w:rsid w:val="001B78FC"/>
    <w:rsid w:val="001C2D96"/>
    <w:rsid w:val="001C5B44"/>
    <w:rsid w:val="001D7B26"/>
    <w:rsid w:val="001F2716"/>
    <w:rsid w:val="00203FB0"/>
    <w:rsid w:val="00207617"/>
    <w:rsid w:val="0023134B"/>
    <w:rsid w:val="00265705"/>
    <w:rsid w:val="002666E5"/>
    <w:rsid w:val="0027001A"/>
    <w:rsid w:val="00277132"/>
    <w:rsid w:val="00283659"/>
    <w:rsid w:val="00295B40"/>
    <w:rsid w:val="002C6BD4"/>
    <w:rsid w:val="002D68BF"/>
    <w:rsid w:val="002E6013"/>
    <w:rsid w:val="002F6302"/>
    <w:rsid w:val="002F6B98"/>
    <w:rsid w:val="00322AE9"/>
    <w:rsid w:val="00336CBF"/>
    <w:rsid w:val="00343FE3"/>
    <w:rsid w:val="00350C8F"/>
    <w:rsid w:val="003546C8"/>
    <w:rsid w:val="00365F5E"/>
    <w:rsid w:val="003A7CF2"/>
    <w:rsid w:val="003C5CE5"/>
    <w:rsid w:val="003E267B"/>
    <w:rsid w:val="003E7CD1"/>
    <w:rsid w:val="003F1F9B"/>
    <w:rsid w:val="00402B9E"/>
    <w:rsid w:val="00417179"/>
    <w:rsid w:val="004249CB"/>
    <w:rsid w:val="004319AE"/>
    <w:rsid w:val="0044127D"/>
    <w:rsid w:val="004448DB"/>
    <w:rsid w:val="00446C9A"/>
    <w:rsid w:val="00452F2B"/>
    <w:rsid w:val="00477193"/>
    <w:rsid w:val="004A1848"/>
    <w:rsid w:val="004A6F4A"/>
    <w:rsid w:val="004B4EC6"/>
    <w:rsid w:val="004B5CB6"/>
    <w:rsid w:val="004E0F3D"/>
    <w:rsid w:val="004E4717"/>
    <w:rsid w:val="00505195"/>
    <w:rsid w:val="00507FEC"/>
    <w:rsid w:val="00510F0E"/>
    <w:rsid w:val="00530D52"/>
    <w:rsid w:val="005479E1"/>
    <w:rsid w:val="00553E0A"/>
    <w:rsid w:val="0055549E"/>
    <w:rsid w:val="005570FD"/>
    <w:rsid w:val="005575EA"/>
    <w:rsid w:val="00563EB8"/>
    <w:rsid w:val="005717B3"/>
    <w:rsid w:val="0057790C"/>
    <w:rsid w:val="0058013B"/>
    <w:rsid w:val="00585F3B"/>
    <w:rsid w:val="00593795"/>
    <w:rsid w:val="005A75FF"/>
    <w:rsid w:val="005C647D"/>
    <w:rsid w:val="005D10AB"/>
    <w:rsid w:val="00601D8F"/>
    <w:rsid w:val="00607964"/>
    <w:rsid w:val="0063578C"/>
    <w:rsid w:val="00643BFC"/>
    <w:rsid w:val="006500FC"/>
    <w:rsid w:val="00652D2C"/>
    <w:rsid w:val="00653E97"/>
    <w:rsid w:val="00657B51"/>
    <w:rsid w:val="00660A86"/>
    <w:rsid w:val="00666A8F"/>
    <w:rsid w:val="006701F7"/>
    <w:rsid w:val="00675C47"/>
    <w:rsid w:val="00684A74"/>
    <w:rsid w:val="00690B8A"/>
    <w:rsid w:val="006C0042"/>
    <w:rsid w:val="006D6955"/>
    <w:rsid w:val="006D6B97"/>
    <w:rsid w:val="006F1873"/>
    <w:rsid w:val="006F2CF1"/>
    <w:rsid w:val="007038ED"/>
    <w:rsid w:val="00703BC3"/>
    <w:rsid w:val="00704B61"/>
    <w:rsid w:val="007552A9"/>
    <w:rsid w:val="00761858"/>
    <w:rsid w:val="00767D59"/>
    <w:rsid w:val="00776E97"/>
    <w:rsid w:val="00780F86"/>
    <w:rsid w:val="007912AD"/>
    <w:rsid w:val="00795164"/>
    <w:rsid w:val="00797649"/>
    <w:rsid w:val="007B0824"/>
    <w:rsid w:val="007B5D3C"/>
    <w:rsid w:val="007E6320"/>
    <w:rsid w:val="007F2A46"/>
    <w:rsid w:val="00806249"/>
    <w:rsid w:val="00821B72"/>
    <w:rsid w:val="00823EF2"/>
    <w:rsid w:val="00826081"/>
    <w:rsid w:val="008303B8"/>
    <w:rsid w:val="00833DCE"/>
    <w:rsid w:val="0085296A"/>
    <w:rsid w:val="00871D34"/>
    <w:rsid w:val="0087227A"/>
    <w:rsid w:val="008856CB"/>
    <w:rsid w:val="008A7311"/>
    <w:rsid w:val="008B270C"/>
    <w:rsid w:val="008B5078"/>
    <w:rsid w:val="008C3D3D"/>
    <w:rsid w:val="008D4131"/>
    <w:rsid w:val="008F1932"/>
    <w:rsid w:val="009108FB"/>
    <w:rsid w:val="00921062"/>
    <w:rsid w:val="00926331"/>
    <w:rsid w:val="00944DA9"/>
    <w:rsid w:val="00945773"/>
    <w:rsid w:val="009540A2"/>
    <w:rsid w:val="00956566"/>
    <w:rsid w:val="009722BC"/>
    <w:rsid w:val="009727A3"/>
    <w:rsid w:val="00972CDB"/>
    <w:rsid w:val="009732B1"/>
    <w:rsid w:val="00987774"/>
    <w:rsid w:val="0099709D"/>
    <w:rsid w:val="009A11E8"/>
    <w:rsid w:val="009E503A"/>
    <w:rsid w:val="009F5220"/>
    <w:rsid w:val="00A02ABE"/>
    <w:rsid w:val="00A15234"/>
    <w:rsid w:val="00A201AB"/>
    <w:rsid w:val="00A31C8B"/>
    <w:rsid w:val="00A41BF7"/>
    <w:rsid w:val="00A509FA"/>
    <w:rsid w:val="00A71C11"/>
    <w:rsid w:val="00A845DC"/>
    <w:rsid w:val="00A91E77"/>
    <w:rsid w:val="00AB5A05"/>
    <w:rsid w:val="00AD1D90"/>
    <w:rsid w:val="00B26AA2"/>
    <w:rsid w:val="00B3090A"/>
    <w:rsid w:val="00B3524D"/>
    <w:rsid w:val="00B40F69"/>
    <w:rsid w:val="00B46616"/>
    <w:rsid w:val="00B7040A"/>
    <w:rsid w:val="00B83391"/>
    <w:rsid w:val="00B86AE6"/>
    <w:rsid w:val="00B917DC"/>
    <w:rsid w:val="00B95326"/>
    <w:rsid w:val="00B96D47"/>
    <w:rsid w:val="00BC2F2C"/>
    <w:rsid w:val="00BD4196"/>
    <w:rsid w:val="00BF22CA"/>
    <w:rsid w:val="00BF23BB"/>
    <w:rsid w:val="00BF7F4D"/>
    <w:rsid w:val="00C26032"/>
    <w:rsid w:val="00C345E1"/>
    <w:rsid w:val="00C43BFD"/>
    <w:rsid w:val="00C7558F"/>
    <w:rsid w:val="00C77BDD"/>
    <w:rsid w:val="00CB58EA"/>
    <w:rsid w:val="00CB6E35"/>
    <w:rsid w:val="00CC0CFF"/>
    <w:rsid w:val="00CD7C89"/>
    <w:rsid w:val="00CE1A46"/>
    <w:rsid w:val="00D20757"/>
    <w:rsid w:val="00D22636"/>
    <w:rsid w:val="00D40FD5"/>
    <w:rsid w:val="00D40FD9"/>
    <w:rsid w:val="00D47EAB"/>
    <w:rsid w:val="00D53769"/>
    <w:rsid w:val="00D61B2B"/>
    <w:rsid w:val="00D62151"/>
    <w:rsid w:val="00D74EE9"/>
    <w:rsid w:val="00D85C13"/>
    <w:rsid w:val="00D9111A"/>
    <w:rsid w:val="00D91BE3"/>
    <w:rsid w:val="00D94AFC"/>
    <w:rsid w:val="00DB70AE"/>
    <w:rsid w:val="00DD1A53"/>
    <w:rsid w:val="00DD2AE3"/>
    <w:rsid w:val="00DD4B5B"/>
    <w:rsid w:val="00DD5071"/>
    <w:rsid w:val="00DD5C39"/>
    <w:rsid w:val="00DD7103"/>
    <w:rsid w:val="00DE2878"/>
    <w:rsid w:val="00DE401B"/>
    <w:rsid w:val="00DE5E10"/>
    <w:rsid w:val="00DE7DB7"/>
    <w:rsid w:val="00E00A0A"/>
    <w:rsid w:val="00E066DE"/>
    <w:rsid w:val="00E07F57"/>
    <w:rsid w:val="00E1233F"/>
    <w:rsid w:val="00E207C1"/>
    <w:rsid w:val="00E25248"/>
    <w:rsid w:val="00E30683"/>
    <w:rsid w:val="00E33863"/>
    <w:rsid w:val="00E453D8"/>
    <w:rsid w:val="00E50BCE"/>
    <w:rsid w:val="00E511B1"/>
    <w:rsid w:val="00E574BF"/>
    <w:rsid w:val="00E61292"/>
    <w:rsid w:val="00E637DE"/>
    <w:rsid w:val="00E77C4D"/>
    <w:rsid w:val="00E81D01"/>
    <w:rsid w:val="00EB0A7A"/>
    <w:rsid w:val="00EC2597"/>
    <w:rsid w:val="00ED3295"/>
    <w:rsid w:val="00ED49E2"/>
    <w:rsid w:val="00EE1F55"/>
    <w:rsid w:val="00EE45D8"/>
    <w:rsid w:val="00EE79EE"/>
    <w:rsid w:val="00F22EDA"/>
    <w:rsid w:val="00F4027F"/>
    <w:rsid w:val="00F65C9E"/>
    <w:rsid w:val="00FB24D9"/>
    <w:rsid w:val="00FB25B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515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128"/>
    <w:rPr>
      <w:sz w:val="24"/>
      <w:szCs w:val="24"/>
    </w:rPr>
  </w:style>
  <w:style w:type="paragraph" w:styleId="Heading1">
    <w:name w:val="heading 1"/>
    <w:basedOn w:val="Normal"/>
    <w:link w:val="Heading1Char"/>
    <w:uiPriority w:val="9"/>
    <w:qFormat/>
    <w:rsid w:val="00ED32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Heading1Char">
    <w:name w:val="Heading 1 Char"/>
    <w:basedOn w:val="DefaultParagraphFont"/>
    <w:link w:val="Heading1"/>
    <w:uiPriority w:val="9"/>
    <w:rsid w:val="00ED3295"/>
    <w:rPr>
      <w:b/>
      <w:bCs/>
      <w:kern w:val="36"/>
      <w:sz w:val="48"/>
      <w:szCs w:val="48"/>
    </w:rPr>
  </w:style>
  <w:style w:type="paragraph" w:styleId="ListParagraph">
    <w:name w:val="List Paragraph"/>
    <w:basedOn w:val="Normal"/>
    <w:uiPriority w:val="34"/>
    <w:qFormat/>
    <w:rsid w:val="00ED3295"/>
    <w:pPr>
      <w:ind w:left="720"/>
    </w:pPr>
  </w:style>
  <w:style w:type="paragraph" w:styleId="EndnoteText">
    <w:name w:val="endnote text"/>
    <w:basedOn w:val="Normal"/>
    <w:link w:val="EndnoteTextChar"/>
    <w:rsid w:val="00B3090A"/>
    <w:rPr>
      <w:sz w:val="20"/>
      <w:szCs w:val="20"/>
    </w:rPr>
  </w:style>
  <w:style w:type="character" w:customStyle="1" w:styleId="EndnoteTextChar">
    <w:name w:val="Endnote Text Char"/>
    <w:basedOn w:val="DefaultParagraphFont"/>
    <w:link w:val="EndnoteText"/>
    <w:rsid w:val="00B3090A"/>
  </w:style>
  <w:style w:type="character" w:styleId="EndnoteReference">
    <w:name w:val="endnote reference"/>
    <w:basedOn w:val="DefaultParagraphFont"/>
    <w:rsid w:val="00B3090A"/>
    <w:rPr>
      <w:vertAlign w:val="superscript"/>
    </w:rPr>
  </w:style>
  <w:style w:type="paragraph" w:styleId="FootnoteText">
    <w:name w:val="footnote text"/>
    <w:basedOn w:val="Normal"/>
    <w:link w:val="FootnoteTextChar"/>
    <w:rsid w:val="008A7311"/>
    <w:rPr>
      <w:sz w:val="20"/>
      <w:szCs w:val="20"/>
    </w:rPr>
  </w:style>
  <w:style w:type="character" w:customStyle="1" w:styleId="FootnoteTextChar">
    <w:name w:val="Footnote Text Char"/>
    <w:basedOn w:val="DefaultParagraphFont"/>
    <w:link w:val="FootnoteText"/>
    <w:rsid w:val="008A7311"/>
  </w:style>
  <w:style w:type="character" w:styleId="FootnoteReference">
    <w:name w:val="footnote reference"/>
    <w:basedOn w:val="DefaultParagraphFont"/>
    <w:rsid w:val="008A73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8340C-DC5A-431D-964C-2D01B023D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3961</Words>
  <Characters>22578</Characters>
  <Application>Microsoft Office Word</Application>
  <DocSecurity>0</DocSecurity>
  <Lines>188</Lines>
  <Paragraphs>52</Paragraphs>
  <ScaleCrop>false</ScaleCrop>
  <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2018-07-23T10:07:00Z</dcterms:created>
  <dcterms:modified xsi:type="dcterms:W3CDTF">2018-07-23T10:07:00Z</dcterms:modified>
</cp:coreProperties>
</file>