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24ED2" w14:textId="77777777" w:rsidR="00814178" w:rsidRDefault="00814178" w:rsidP="0050388A">
      <w:pPr>
        <w:jc w:val="center"/>
        <w:rPr>
          <w:rFonts w:ascii="Book Antiqua" w:hAnsi="Book Antiqua" w:cs="Arial"/>
          <w:caps/>
          <w:color w:val="000000"/>
          <w:sz w:val="16"/>
          <w:szCs w:val="16"/>
        </w:rPr>
      </w:pPr>
    </w:p>
    <w:p w14:paraId="4D7BCCE7" w14:textId="36D8AF09" w:rsidR="00814178" w:rsidRDefault="00814178" w:rsidP="0050388A">
      <w:pPr>
        <w:jc w:val="center"/>
        <w:rPr>
          <w:rFonts w:ascii="Book Antiqua" w:hAnsi="Book Antiqua" w:cs="Arial"/>
          <w:caps/>
          <w:color w:val="000000"/>
          <w:sz w:val="16"/>
          <w:szCs w:val="16"/>
        </w:rPr>
      </w:pPr>
      <w:r>
        <w:rPr>
          <w:noProof/>
        </w:rPr>
        <w:drawing>
          <wp:inline distT="0" distB="0" distL="0" distR="0" wp14:anchorId="31BFCBCE" wp14:editId="25FA6804">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14:paraId="4359A4C8" w14:textId="5B5755B0" w:rsidR="003257CA" w:rsidRPr="00AE6DDE" w:rsidRDefault="003257CA" w:rsidP="0050388A">
      <w:pPr>
        <w:jc w:val="center"/>
        <w:rPr>
          <w:rFonts w:ascii="Book Antiqua" w:hAnsi="Book Antiqua" w:cs="Arial"/>
          <w:caps/>
          <w:color w:val="000000"/>
          <w:sz w:val="16"/>
          <w:szCs w:val="16"/>
        </w:rPr>
      </w:pPr>
    </w:p>
    <w:p w14:paraId="6BCBEEC8" w14:textId="4C2118FD" w:rsidR="007C703A" w:rsidRDefault="0008619C" w:rsidP="00026328">
      <w:pPr>
        <w:tabs>
          <w:tab w:val="left" w:pos="5670"/>
          <w:tab w:val="right" w:pos="9720"/>
        </w:tabs>
        <w:ind w:right="-79"/>
        <w:rPr>
          <w:rFonts w:cs="Arial"/>
          <w:b/>
          <w:color w:val="000000"/>
        </w:rPr>
      </w:pPr>
      <w:r>
        <w:rPr>
          <w:rFonts w:cs="Arial"/>
          <w:b/>
          <w:color w:val="000000"/>
        </w:rPr>
        <w:t xml:space="preserve">Upper Tribunal </w:t>
      </w:r>
      <w:r w:rsidR="00C74BC0">
        <w:rPr>
          <w:rFonts w:cs="Arial"/>
          <w:b/>
          <w:color w:val="000000"/>
        </w:rPr>
        <w:t xml:space="preserve"> </w:t>
      </w:r>
      <w:r w:rsidR="00C74BC0">
        <w:rPr>
          <w:rFonts w:cs="Arial"/>
          <w:b/>
          <w:color w:val="000000"/>
        </w:rPr>
        <w:tab/>
      </w:r>
      <w:r w:rsidR="00AD0791">
        <w:rPr>
          <w:rFonts w:cs="Arial"/>
          <w:b/>
          <w:color w:val="000000"/>
        </w:rPr>
        <w:t xml:space="preserve">      </w:t>
      </w:r>
      <w:r w:rsidR="00026328">
        <w:rPr>
          <w:rFonts w:cs="Arial"/>
          <w:b/>
          <w:color w:val="000000"/>
        </w:rPr>
        <w:t xml:space="preserve"> </w:t>
      </w:r>
    </w:p>
    <w:p w14:paraId="5CAE64A0" w14:textId="227F5E6E" w:rsidR="00CB703D" w:rsidRDefault="0008619C" w:rsidP="00026328">
      <w:pPr>
        <w:tabs>
          <w:tab w:val="left" w:pos="5670"/>
          <w:tab w:val="right" w:pos="9720"/>
        </w:tabs>
        <w:ind w:right="-79"/>
        <w:rPr>
          <w:rFonts w:cs="Arial"/>
          <w:b/>
          <w:color w:val="000000"/>
        </w:rPr>
      </w:pPr>
      <w:r>
        <w:rPr>
          <w:rFonts w:cs="Arial"/>
          <w:b/>
          <w:color w:val="000000"/>
        </w:rPr>
        <w:t xml:space="preserve">(Immigration and Asylum </w:t>
      </w:r>
      <w:proofErr w:type="gramStart"/>
      <w:r>
        <w:rPr>
          <w:rFonts w:cs="Arial"/>
          <w:b/>
          <w:color w:val="000000"/>
        </w:rPr>
        <w:t>Chamber)</w:t>
      </w:r>
      <w:r w:rsidR="007105EC">
        <w:rPr>
          <w:rFonts w:cs="Arial"/>
          <w:b/>
          <w:color w:val="000000"/>
        </w:rPr>
        <w:t xml:space="preserve">   </w:t>
      </w:r>
      <w:proofErr w:type="gramEnd"/>
      <w:r w:rsidR="007105EC">
        <w:rPr>
          <w:rFonts w:cs="Arial"/>
          <w:b/>
          <w:color w:val="000000"/>
        </w:rPr>
        <w:t xml:space="preserve">  </w:t>
      </w:r>
      <w:r w:rsidR="00814178">
        <w:rPr>
          <w:rFonts w:cs="Arial"/>
          <w:b/>
          <w:color w:val="000000"/>
        </w:rPr>
        <w:t xml:space="preserve">                   </w:t>
      </w:r>
      <w:r w:rsidR="00814178">
        <w:rPr>
          <w:rFonts w:cs="Arial"/>
          <w:b/>
          <w:color w:val="000000"/>
        </w:rPr>
        <w:t>Appeal Number: PA/10817/2019(P)</w:t>
      </w:r>
    </w:p>
    <w:p w14:paraId="0FCD3E98" w14:textId="77777777" w:rsidR="00CB703D" w:rsidRDefault="00CB703D" w:rsidP="00814178">
      <w:pPr>
        <w:tabs>
          <w:tab w:val="left" w:pos="5670"/>
          <w:tab w:val="right" w:pos="9720"/>
        </w:tabs>
        <w:ind w:right="-79"/>
        <w:rPr>
          <w:rFonts w:cs="Arial"/>
          <w:b/>
          <w:color w:val="000000"/>
        </w:rPr>
      </w:pPr>
    </w:p>
    <w:p w14:paraId="6EDB5E43" w14:textId="0A11E5BF" w:rsidR="00CB703D" w:rsidRPr="00CB703D" w:rsidRDefault="00CB703D" w:rsidP="007C703A">
      <w:pPr>
        <w:tabs>
          <w:tab w:val="left" w:pos="5670"/>
          <w:tab w:val="right" w:pos="9720"/>
        </w:tabs>
        <w:spacing w:line="360" w:lineRule="auto"/>
        <w:ind w:right="-82"/>
        <w:rPr>
          <w:rFonts w:cs="Arial"/>
          <w:b/>
          <w:color w:val="000000"/>
          <w:u w:val="single"/>
        </w:rPr>
      </w:pPr>
      <w:r>
        <w:rPr>
          <w:rFonts w:cs="Arial"/>
          <w:b/>
          <w:color w:val="000000"/>
        </w:rPr>
        <w:t xml:space="preserve">                                                    </w:t>
      </w:r>
      <w:r w:rsidRPr="00CB703D">
        <w:rPr>
          <w:rFonts w:cs="Arial"/>
          <w:b/>
          <w:color w:val="000000"/>
          <w:u w:val="single"/>
        </w:rPr>
        <w:t xml:space="preserve">THE IMMIGRATION ACTS </w:t>
      </w:r>
    </w:p>
    <w:p w14:paraId="099456F6" w14:textId="10F13B35" w:rsidR="007105EC" w:rsidRDefault="007105EC" w:rsidP="00814178">
      <w:pPr>
        <w:tabs>
          <w:tab w:val="left" w:pos="5670"/>
          <w:tab w:val="right" w:pos="9720"/>
        </w:tabs>
        <w:ind w:right="-79"/>
        <w:rPr>
          <w:rFonts w:cs="Arial"/>
          <w:b/>
          <w:color w:val="000000"/>
        </w:rPr>
      </w:pPr>
      <w:r>
        <w:rPr>
          <w:rFonts w:cs="Arial"/>
          <w:b/>
          <w:color w:val="000000"/>
        </w:rPr>
        <w:t xml:space="preserve">                                                              </w:t>
      </w:r>
    </w:p>
    <w:p w14:paraId="70AD4D87" w14:textId="5969744F" w:rsidR="00CB703D" w:rsidRDefault="00026328" w:rsidP="00026328">
      <w:pPr>
        <w:tabs>
          <w:tab w:val="left" w:pos="5670"/>
          <w:tab w:val="right" w:pos="9720"/>
        </w:tabs>
        <w:ind w:right="-79"/>
        <w:rPr>
          <w:rFonts w:cs="Arial"/>
          <w:b/>
          <w:color w:val="000000"/>
        </w:rPr>
      </w:pPr>
      <w:r>
        <w:rPr>
          <w:rFonts w:cs="Arial"/>
          <w:b/>
          <w:color w:val="000000"/>
        </w:rPr>
        <w:t>Decided Under R</w:t>
      </w:r>
      <w:r w:rsidR="00CB703D">
        <w:rPr>
          <w:rFonts w:cs="Arial"/>
          <w:b/>
          <w:color w:val="000000"/>
        </w:rPr>
        <w:t xml:space="preserve">ule 34                                                </w:t>
      </w:r>
      <w:r>
        <w:rPr>
          <w:rFonts w:cs="Arial"/>
          <w:b/>
          <w:color w:val="000000"/>
        </w:rPr>
        <w:t xml:space="preserve"> </w:t>
      </w:r>
      <w:r w:rsidR="00CB703D">
        <w:rPr>
          <w:rFonts w:cs="Arial"/>
          <w:b/>
          <w:color w:val="000000"/>
        </w:rPr>
        <w:t>Decision &amp; Reasons Promulgated</w:t>
      </w:r>
      <w:r w:rsidR="007105EC">
        <w:rPr>
          <w:rFonts w:cs="Arial"/>
          <w:b/>
          <w:color w:val="000000"/>
        </w:rPr>
        <w:t xml:space="preserve">   </w:t>
      </w:r>
    </w:p>
    <w:p w14:paraId="40AD13E1" w14:textId="20071966" w:rsidR="00CB703D" w:rsidRDefault="00CB703D" w:rsidP="00CB703D">
      <w:pPr>
        <w:tabs>
          <w:tab w:val="left" w:pos="5670"/>
          <w:tab w:val="right" w:pos="9720"/>
        </w:tabs>
        <w:spacing w:line="360" w:lineRule="auto"/>
        <w:ind w:right="-82"/>
        <w:rPr>
          <w:rFonts w:cs="Arial"/>
          <w:b/>
          <w:color w:val="000000"/>
        </w:rPr>
      </w:pPr>
      <w:r>
        <w:rPr>
          <w:rFonts w:cs="Arial"/>
          <w:b/>
          <w:color w:val="000000"/>
        </w:rPr>
        <w:t xml:space="preserve">On </w:t>
      </w:r>
      <w:r w:rsidR="000261EA">
        <w:rPr>
          <w:rFonts w:cs="Arial"/>
          <w:b/>
          <w:color w:val="000000"/>
        </w:rPr>
        <w:t>19 August</w:t>
      </w:r>
      <w:r>
        <w:rPr>
          <w:rFonts w:cs="Arial"/>
          <w:b/>
          <w:color w:val="000000"/>
        </w:rPr>
        <w:t xml:space="preserve"> 2020     </w:t>
      </w:r>
      <w:r w:rsidR="00814178">
        <w:rPr>
          <w:rFonts w:cs="Arial"/>
          <w:b/>
          <w:color w:val="000000"/>
        </w:rPr>
        <w:t xml:space="preserve">                                                   </w:t>
      </w:r>
      <w:proofErr w:type="gramStart"/>
      <w:r w:rsidR="00026328">
        <w:rPr>
          <w:rFonts w:cs="Arial"/>
          <w:b/>
          <w:color w:val="000000"/>
        </w:rPr>
        <w:t>On</w:t>
      </w:r>
      <w:proofErr w:type="gramEnd"/>
      <w:r w:rsidR="00026328">
        <w:rPr>
          <w:rFonts w:cs="Arial"/>
          <w:b/>
          <w:color w:val="000000"/>
        </w:rPr>
        <w:t xml:space="preserve"> 24 August 2020</w:t>
      </w:r>
      <w:r>
        <w:rPr>
          <w:rFonts w:cs="Arial"/>
          <w:b/>
          <w:color w:val="000000"/>
        </w:rPr>
        <w:t xml:space="preserve">                                                                </w:t>
      </w:r>
    </w:p>
    <w:p w14:paraId="7C3144AC" w14:textId="77777777" w:rsidR="00CB703D" w:rsidRDefault="00CB703D" w:rsidP="00CB703D">
      <w:pPr>
        <w:tabs>
          <w:tab w:val="left" w:pos="5670"/>
          <w:tab w:val="right" w:pos="9720"/>
        </w:tabs>
        <w:spacing w:line="360" w:lineRule="auto"/>
        <w:ind w:right="-82"/>
        <w:rPr>
          <w:rFonts w:cs="Arial"/>
          <w:b/>
          <w:color w:val="000000"/>
        </w:rPr>
      </w:pPr>
    </w:p>
    <w:p w14:paraId="2708D114" w14:textId="77777777" w:rsidR="00814178" w:rsidRDefault="00814178" w:rsidP="00026328">
      <w:pPr>
        <w:tabs>
          <w:tab w:val="left" w:pos="5670"/>
          <w:tab w:val="right" w:pos="9720"/>
        </w:tabs>
        <w:spacing w:line="360" w:lineRule="auto"/>
        <w:ind w:right="-82"/>
        <w:jc w:val="center"/>
        <w:rPr>
          <w:rFonts w:cs="Arial"/>
          <w:b/>
          <w:color w:val="000000"/>
        </w:rPr>
      </w:pPr>
    </w:p>
    <w:p w14:paraId="423F2599" w14:textId="1849B3FA" w:rsidR="003257CA" w:rsidRDefault="00CB703D" w:rsidP="00026328">
      <w:pPr>
        <w:tabs>
          <w:tab w:val="left" w:pos="5670"/>
          <w:tab w:val="right" w:pos="9720"/>
        </w:tabs>
        <w:spacing w:line="360" w:lineRule="auto"/>
        <w:ind w:right="-82"/>
        <w:jc w:val="center"/>
        <w:rPr>
          <w:rFonts w:cs="Arial"/>
          <w:b/>
        </w:rPr>
      </w:pPr>
      <w:r>
        <w:rPr>
          <w:rFonts w:cs="Arial"/>
          <w:b/>
          <w:color w:val="000000"/>
        </w:rPr>
        <w:t>B</w:t>
      </w:r>
      <w:r w:rsidR="003257CA" w:rsidRPr="002630D9">
        <w:rPr>
          <w:rFonts w:cs="Arial"/>
          <w:b/>
        </w:rPr>
        <w:t>efore</w:t>
      </w:r>
    </w:p>
    <w:p w14:paraId="5E8A2AC7" w14:textId="77777777" w:rsidR="00814178" w:rsidRPr="002630D9" w:rsidRDefault="00814178" w:rsidP="00814178">
      <w:pPr>
        <w:tabs>
          <w:tab w:val="left" w:pos="5670"/>
          <w:tab w:val="right" w:pos="9720"/>
        </w:tabs>
        <w:ind w:right="-79"/>
        <w:jc w:val="center"/>
        <w:rPr>
          <w:rFonts w:cs="Arial"/>
          <w:b/>
        </w:rPr>
      </w:pPr>
    </w:p>
    <w:p w14:paraId="0B922757" w14:textId="77777777" w:rsidR="003257CA" w:rsidRPr="002630D9" w:rsidRDefault="003257CA" w:rsidP="002630D9">
      <w:pPr>
        <w:spacing w:line="360" w:lineRule="auto"/>
        <w:jc w:val="center"/>
        <w:rPr>
          <w:rFonts w:cs="Arial"/>
          <w:b/>
          <w:color w:val="000000"/>
        </w:rPr>
      </w:pPr>
      <w:r w:rsidRPr="002630D9">
        <w:rPr>
          <w:rFonts w:cs="Arial"/>
          <w:b/>
          <w:color w:val="000000"/>
        </w:rPr>
        <w:t>UPPER TRIBUNAL JUDGE FINCH</w:t>
      </w:r>
    </w:p>
    <w:p w14:paraId="0E66EBA3" w14:textId="77777777" w:rsidR="00814178" w:rsidRDefault="00814178" w:rsidP="00814178">
      <w:pPr>
        <w:jc w:val="center"/>
        <w:rPr>
          <w:rFonts w:cs="Arial"/>
          <w:b/>
        </w:rPr>
      </w:pPr>
    </w:p>
    <w:p w14:paraId="6AD50CFC" w14:textId="1D6A9712" w:rsidR="00C0730D" w:rsidRDefault="003257CA" w:rsidP="00C0730D">
      <w:pPr>
        <w:spacing w:line="360" w:lineRule="auto"/>
        <w:jc w:val="center"/>
        <w:rPr>
          <w:rFonts w:cs="Arial"/>
          <w:b/>
        </w:rPr>
      </w:pPr>
      <w:r w:rsidRPr="002630D9">
        <w:rPr>
          <w:rFonts w:cs="Arial"/>
          <w:b/>
        </w:rPr>
        <w:t>Between</w:t>
      </w:r>
    </w:p>
    <w:p w14:paraId="1D3252A0" w14:textId="77777777" w:rsidR="00814178" w:rsidRDefault="00814178" w:rsidP="00C0730D">
      <w:pPr>
        <w:spacing w:line="360" w:lineRule="auto"/>
        <w:jc w:val="center"/>
        <w:rPr>
          <w:rFonts w:cs="Arial"/>
          <w:b/>
        </w:rPr>
      </w:pPr>
    </w:p>
    <w:p w14:paraId="7C02405C" w14:textId="77777777" w:rsidR="000261EA" w:rsidRDefault="000261EA" w:rsidP="00814178">
      <w:pPr>
        <w:jc w:val="center"/>
        <w:rPr>
          <w:rFonts w:cs="Arial"/>
          <w:b/>
        </w:rPr>
      </w:pPr>
      <w:r>
        <w:rPr>
          <w:rFonts w:cs="Arial"/>
          <w:b/>
        </w:rPr>
        <w:t>W.R.</w:t>
      </w:r>
    </w:p>
    <w:p w14:paraId="532B1439" w14:textId="55749F9D" w:rsidR="00A15324" w:rsidRDefault="000261EA" w:rsidP="00814178">
      <w:pPr>
        <w:jc w:val="center"/>
        <w:rPr>
          <w:rFonts w:cs="Arial"/>
          <w:b/>
        </w:rPr>
      </w:pPr>
      <w:r w:rsidRPr="00814178">
        <w:rPr>
          <w:rFonts w:cs="Arial"/>
        </w:rPr>
        <w:t>(ANONYMITY ORDER MADE)</w:t>
      </w:r>
      <w:r w:rsidR="00414344">
        <w:rPr>
          <w:rFonts w:cs="Arial"/>
          <w:b/>
        </w:rPr>
        <w:t xml:space="preserve">                                      </w:t>
      </w:r>
    </w:p>
    <w:p w14:paraId="63A80E33" w14:textId="77777777" w:rsidR="00211DB2" w:rsidRPr="00814178" w:rsidRDefault="00211DB2" w:rsidP="002630D9">
      <w:pPr>
        <w:spacing w:line="360" w:lineRule="auto"/>
        <w:jc w:val="center"/>
        <w:rPr>
          <w:rFonts w:cs="Arial"/>
          <w:u w:val="single"/>
        </w:rPr>
      </w:pPr>
      <w:r>
        <w:rPr>
          <w:rFonts w:cs="Arial"/>
          <w:b/>
        </w:rPr>
        <w:t xml:space="preserve">                                                                                                                              </w:t>
      </w:r>
      <w:r w:rsidRPr="00814178">
        <w:rPr>
          <w:rFonts w:cs="Arial"/>
          <w:u w:val="single"/>
        </w:rPr>
        <w:t>Appellant</w:t>
      </w:r>
    </w:p>
    <w:p w14:paraId="44A870D9" w14:textId="77777777" w:rsidR="00211DB2" w:rsidRDefault="00211DB2" w:rsidP="002630D9">
      <w:pPr>
        <w:spacing w:line="360" w:lineRule="auto"/>
        <w:jc w:val="center"/>
        <w:rPr>
          <w:rFonts w:cs="Arial"/>
          <w:b/>
        </w:rPr>
      </w:pPr>
      <w:r>
        <w:rPr>
          <w:rFonts w:cs="Arial"/>
          <w:b/>
        </w:rPr>
        <w:t xml:space="preserve">-and- </w:t>
      </w:r>
    </w:p>
    <w:p w14:paraId="40F6855E" w14:textId="3E951BD6" w:rsidR="00CE0F47" w:rsidRDefault="00C0730D" w:rsidP="002630D9">
      <w:pPr>
        <w:spacing w:line="360" w:lineRule="auto"/>
        <w:jc w:val="center"/>
        <w:rPr>
          <w:rFonts w:cs="Arial"/>
          <w:b/>
        </w:rPr>
      </w:pPr>
      <w:r>
        <w:rPr>
          <w:rFonts w:cs="Arial"/>
          <w:b/>
        </w:rPr>
        <w:t xml:space="preserve">SECRETARY OF STATE FOR THE HOME DEPARTMENT </w:t>
      </w:r>
    </w:p>
    <w:p w14:paraId="4C672BDB" w14:textId="53603D22" w:rsidR="00DD4868" w:rsidRPr="00814178" w:rsidRDefault="00DD4868" w:rsidP="002630D9">
      <w:pPr>
        <w:spacing w:line="360" w:lineRule="auto"/>
        <w:jc w:val="center"/>
        <w:rPr>
          <w:rFonts w:cs="Arial"/>
          <w:u w:val="single"/>
        </w:rPr>
      </w:pPr>
      <w:r>
        <w:rPr>
          <w:rFonts w:cs="Arial"/>
          <w:b/>
        </w:rPr>
        <w:t xml:space="preserve">                                                                                                                                   </w:t>
      </w:r>
      <w:r w:rsidR="00211DB2" w:rsidRPr="00814178">
        <w:rPr>
          <w:rFonts w:cs="Arial"/>
          <w:u w:val="single"/>
        </w:rPr>
        <w:t xml:space="preserve">Respondent </w:t>
      </w:r>
      <w:r w:rsidRPr="00814178">
        <w:rPr>
          <w:rFonts w:cs="Arial"/>
          <w:u w:val="single"/>
        </w:rPr>
        <w:t xml:space="preserve"> </w:t>
      </w:r>
    </w:p>
    <w:p w14:paraId="14B8EA32" w14:textId="676A1042" w:rsidR="005D603D" w:rsidRPr="002630D9" w:rsidRDefault="005D603D" w:rsidP="005D603D">
      <w:pPr>
        <w:tabs>
          <w:tab w:val="left" w:pos="2520"/>
        </w:tabs>
        <w:spacing w:line="360" w:lineRule="auto"/>
        <w:rPr>
          <w:rFonts w:cs="Arial"/>
        </w:rPr>
      </w:pPr>
    </w:p>
    <w:p w14:paraId="54BDBDB1" w14:textId="77777777" w:rsidR="003257CA" w:rsidRDefault="003257CA" w:rsidP="002630D9">
      <w:pPr>
        <w:spacing w:line="360" w:lineRule="auto"/>
        <w:jc w:val="center"/>
        <w:rPr>
          <w:rFonts w:cs="Arial"/>
          <w:b/>
          <w:u w:val="single"/>
        </w:rPr>
      </w:pPr>
      <w:r w:rsidRPr="002630D9">
        <w:rPr>
          <w:rFonts w:cs="Arial"/>
          <w:b/>
          <w:u w:val="single"/>
        </w:rPr>
        <w:t>DECISION AND REASONS</w:t>
      </w:r>
    </w:p>
    <w:p w14:paraId="0E231548" w14:textId="77777777" w:rsidR="003257CA" w:rsidRPr="00303BAF" w:rsidRDefault="003257CA" w:rsidP="002630D9">
      <w:pPr>
        <w:spacing w:line="360" w:lineRule="auto"/>
        <w:jc w:val="both"/>
        <w:rPr>
          <w:rFonts w:cs="Arial"/>
          <w:b/>
        </w:rPr>
      </w:pPr>
      <w:r>
        <w:rPr>
          <w:rFonts w:cs="Arial"/>
          <w:b/>
        </w:rPr>
        <w:t xml:space="preserve">                                                                                                                                                                                                                                                                                                                                                                                                                                                          </w:t>
      </w:r>
    </w:p>
    <w:p w14:paraId="742BFA5D" w14:textId="7BCFF0D0" w:rsidR="000261EA" w:rsidRDefault="000261EA" w:rsidP="002630D9">
      <w:pPr>
        <w:spacing w:line="360" w:lineRule="auto"/>
        <w:jc w:val="both"/>
        <w:rPr>
          <w:rFonts w:cs="Arial"/>
          <w:b/>
        </w:rPr>
      </w:pPr>
      <w:r>
        <w:rPr>
          <w:rFonts w:cs="Arial"/>
          <w:b/>
        </w:rPr>
        <w:t>ANONYMITY ORDER</w:t>
      </w:r>
    </w:p>
    <w:p w14:paraId="6FA94B28" w14:textId="0A43A261" w:rsidR="000261EA" w:rsidRDefault="000261EA" w:rsidP="002630D9">
      <w:pPr>
        <w:spacing w:line="360" w:lineRule="auto"/>
        <w:jc w:val="both"/>
        <w:rPr>
          <w:rFonts w:cs="Arial"/>
          <w:b/>
        </w:rPr>
      </w:pPr>
      <w:r>
        <w:t>The appellant be granted anonymity throughout these proceedings, unless and until a tribunal or court directs otherwise, and be referred to as W.R. No report of these proceedings shall directly or indirectly identify him or any member of his family. This direction applies both to the appellant and to the respondent. Failure to comply with this direction could lead to a contempt of court.</w:t>
      </w:r>
    </w:p>
    <w:p w14:paraId="62269E28" w14:textId="77777777" w:rsidR="000261EA" w:rsidRDefault="000261EA" w:rsidP="002630D9">
      <w:pPr>
        <w:spacing w:line="360" w:lineRule="auto"/>
        <w:jc w:val="both"/>
        <w:rPr>
          <w:rFonts w:cs="Arial"/>
          <w:b/>
        </w:rPr>
      </w:pPr>
    </w:p>
    <w:p w14:paraId="72F426CC" w14:textId="6DD6BD3C" w:rsidR="00623A8F" w:rsidRDefault="003257CA" w:rsidP="002630D9">
      <w:pPr>
        <w:spacing w:line="360" w:lineRule="auto"/>
        <w:jc w:val="both"/>
        <w:rPr>
          <w:rFonts w:cs="Arial"/>
          <w:b/>
        </w:rPr>
      </w:pPr>
      <w:r w:rsidRPr="009D341B">
        <w:rPr>
          <w:rFonts w:cs="Arial"/>
          <w:b/>
        </w:rPr>
        <w:t>BACKGROUND TO THE APPEAL</w:t>
      </w:r>
    </w:p>
    <w:p w14:paraId="2F4878A1" w14:textId="567BAE2C" w:rsidR="000261EA" w:rsidRDefault="00A22C23" w:rsidP="002630D9">
      <w:pPr>
        <w:spacing w:line="360" w:lineRule="auto"/>
        <w:ind w:left="567" w:hanging="567"/>
        <w:jc w:val="both"/>
        <w:rPr>
          <w:rFonts w:cs="Arial"/>
        </w:rPr>
      </w:pPr>
      <w:r>
        <w:rPr>
          <w:rFonts w:cs="Arial"/>
        </w:rPr>
        <w:t>1.</w:t>
      </w:r>
      <w:r>
        <w:rPr>
          <w:rFonts w:cs="Arial"/>
        </w:rPr>
        <w:tab/>
      </w:r>
      <w:r w:rsidR="003257CA" w:rsidRPr="002630D9">
        <w:rPr>
          <w:rFonts w:cs="Arial"/>
        </w:rPr>
        <w:t xml:space="preserve">The </w:t>
      </w:r>
      <w:r w:rsidR="001C5143">
        <w:rPr>
          <w:rFonts w:cs="Arial"/>
        </w:rPr>
        <w:t>Appell</w:t>
      </w:r>
      <w:r w:rsidR="009E5625">
        <w:rPr>
          <w:rFonts w:cs="Arial"/>
        </w:rPr>
        <w:t>ant</w:t>
      </w:r>
      <w:r w:rsidR="006B4BC6">
        <w:rPr>
          <w:rFonts w:cs="Arial"/>
        </w:rPr>
        <w:t xml:space="preserve"> </w:t>
      </w:r>
      <w:r w:rsidR="00211DB2">
        <w:rPr>
          <w:rFonts w:cs="Arial"/>
        </w:rPr>
        <w:t xml:space="preserve">is </w:t>
      </w:r>
      <w:r w:rsidR="003A161B">
        <w:rPr>
          <w:rFonts w:cs="Arial"/>
        </w:rPr>
        <w:t xml:space="preserve">a national of </w:t>
      </w:r>
      <w:r w:rsidR="000261EA">
        <w:rPr>
          <w:rFonts w:cs="Arial"/>
        </w:rPr>
        <w:t>Afghanistan</w:t>
      </w:r>
      <w:r w:rsidR="00D47A43">
        <w:rPr>
          <w:rFonts w:cs="Arial"/>
        </w:rPr>
        <w:t xml:space="preserve"> and, whilst he was there, he was employed by the Afghan police as a driver. </w:t>
      </w:r>
      <w:r w:rsidR="000261EA">
        <w:rPr>
          <w:rFonts w:cs="Arial"/>
        </w:rPr>
        <w:t xml:space="preserve">He entered the United Kingdom on 6 October 2015 and applied for asylum on that same day. His application was refused on 21 March 2018 and his subsequent </w:t>
      </w:r>
      <w:r w:rsidR="000261EA">
        <w:rPr>
          <w:rFonts w:cs="Arial"/>
        </w:rPr>
        <w:lastRenderedPageBreak/>
        <w:t xml:space="preserve">appeal was dismissed on 9 June 2018. He made a fresh claim, which was refused on 21 October 2019 and he appealed against that decision. </w:t>
      </w:r>
    </w:p>
    <w:p w14:paraId="3DDD3D3F" w14:textId="6B8378D2" w:rsidR="000261EA" w:rsidRDefault="000261EA" w:rsidP="002630D9">
      <w:pPr>
        <w:spacing w:line="360" w:lineRule="auto"/>
        <w:ind w:left="567" w:hanging="567"/>
        <w:jc w:val="both"/>
        <w:rPr>
          <w:rFonts w:cs="Arial"/>
        </w:rPr>
      </w:pPr>
    </w:p>
    <w:p w14:paraId="2D1C8E1B" w14:textId="1C36C860" w:rsidR="00A15324" w:rsidRDefault="000261EA" w:rsidP="002630D9">
      <w:pPr>
        <w:spacing w:line="360" w:lineRule="auto"/>
        <w:ind w:left="567" w:hanging="567"/>
        <w:jc w:val="both"/>
        <w:rPr>
          <w:rFonts w:cs="Arial"/>
        </w:rPr>
      </w:pPr>
      <w:r>
        <w:rPr>
          <w:rFonts w:cs="Arial"/>
        </w:rPr>
        <w:t>2.</w:t>
      </w:r>
      <w:r>
        <w:rPr>
          <w:rFonts w:cs="Arial"/>
        </w:rPr>
        <w:tab/>
      </w:r>
      <w:r w:rsidR="00FB7CDD">
        <w:rPr>
          <w:rFonts w:cs="Arial"/>
        </w:rPr>
        <w:t xml:space="preserve">First-tier Tribunal Judge </w:t>
      </w:r>
      <w:r>
        <w:rPr>
          <w:rFonts w:cs="Arial"/>
        </w:rPr>
        <w:t>Rea dismissed his appeal</w:t>
      </w:r>
      <w:r w:rsidR="00FB7CDD">
        <w:rPr>
          <w:rFonts w:cs="Arial"/>
        </w:rPr>
        <w:t xml:space="preserve"> in a decision promulgated on </w:t>
      </w:r>
      <w:r>
        <w:rPr>
          <w:rFonts w:cs="Arial"/>
        </w:rPr>
        <w:t>23 January 2020</w:t>
      </w:r>
      <w:r w:rsidR="00FB7CDD">
        <w:rPr>
          <w:rFonts w:cs="Arial"/>
        </w:rPr>
        <w:t xml:space="preserve">. </w:t>
      </w:r>
      <w:r>
        <w:rPr>
          <w:rFonts w:cs="Arial"/>
        </w:rPr>
        <w:t>The Appellant appealed against this decision and Upper Tribunal Judge Martin</w:t>
      </w:r>
      <w:r w:rsidR="00E61070">
        <w:rPr>
          <w:rFonts w:cs="Arial"/>
        </w:rPr>
        <w:t>, sitting as a First-tier Tribunal Judge, refused him permission on 5 March 2020. However, on 20 May 2020, permission to appeal to the Upper Tribunal was granted by Upper Tribunal Judge Owens.</w:t>
      </w:r>
    </w:p>
    <w:p w14:paraId="7CB1BE46" w14:textId="49DD747F" w:rsidR="00E61070" w:rsidRDefault="00E61070" w:rsidP="002630D9">
      <w:pPr>
        <w:spacing w:line="360" w:lineRule="auto"/>
        <w:ind w:left="567" w:hanging="567"/>
        <w:jc w:val="both"/>
        <w:rPr>
          <w:rFonts w:cs="Arial"/>
        </w:rPr>
      </w:pPr>
    </w:p>
    <w:p w14:paraId="4FCB09B9" w14:textId="425AE83F" w:rsidR="00E61070" w:rsidRDefault="00E61070" w:rsidP="002630D9">
      <w:pPr>
        <w:spacing w:line="360" w:lineRule="auto"/>
        <w:ind w:left="567" w:hanging="567"/>
        <w:jc w:val="both"/>
        <w:rPr>
          <w:rFonts w:cs="Arial"/>
        </w:rPr>
      </w:pPr>
      <w:r>
        <w:rPr>
          <w:rFonts w:cs="Arial"/>
        </w:rPr>
        <w:t>3.</w:t>
      </w:r>
      <w:r>
        <w:rPr>
          <w:rFonts w:cs="Arial"/>
        </w:rPr>
        <w:tab/>
        <w:t xml:space="preserve">On 9 June 2020, the Appellant’s solicitors lodged an Application for Directions on Further Procedure and the Vice-President made directions in response on 29 June 2020. He stated that it was his view that the error of law hearing could proceed on the papers.  It does not appear that the parties have made any further submissions in reply to these directions. </w:t>
      </w:r>
    </w:p>
    <w:p w14:paraId="5C3CC4AB" w14:textId="2251BB73" w:rsidR="00DB5D21" w:rsidRDefault="00DB5D21" w:rsidP="002630D9">
      <w:pPr>
        <w:spacing w:line="360" w:lineRule="auto"/>
        <w:ind w:left="567" w:hanging="567"/>
        <w:jc w:val="both"/>
        <w:rPr>
          <w:rFonts w:cs="Arial"/>
        </w:rPr>
      </w:pPr>
    </w:p>
    <w:p w14:paraId="1060CECC" w14:textId="77777777" w:rsidR="00E61070" w:rsidRDefault="00E61070" w:rsidP="002630D9">
      <w:pPr>
        <w:spacing w:line="360" w:lineRule="auto"/>
        <w:ind w:left="567" w:hanging="567"/>
        <w:jc w:val="both"/>
        <w:rPr>
          <w:rFonts w:cs="Arial"/>
        </w:rPr>
      </w:pPr>
      <w:r>
        <w:rPr>
          <w:rFonts w:cs="Arial"/>
        </w:rPr>
        <w:t>4</w:t>
      </w:r>
      <w:r w:rsidR="0067578D">
        <w:rPr>
          <w:rFonts w:cs="Arial"/>
        </w:rPr>
        <w:t>.</w:t>
      </w:r>
      <w:r w:rsidR="00A15324">
        <w:rPr>
          <w:rFonts w:cs="Arial"/>
        </w:rPr>
        <w:tab/>
      </w:r>
      <w:r w:rsidR="0067578D">
        <w:rPr>
          <w:rFonts w:cs="Arial"/>
        </w:rPr>
        <w:t xml:space="preserve">The Appellant </w:t>
      </w:r>
      <w:r>
        <w:rPr>
          <w:rFonts w:cs="Arial"/>
        </w:rPr>
        <w:t xml:space="preserve">had not opposed the initial error of law element of the appeal proceeding on the papers and the Respondent has not opposed this course of action. </w:t>
      </w:r>
    </w:p>
    <w:p w14:paraId="6E7B80C7" w14:textId="77777777" w:rsidR="00E61070" w:rsidRDefault="00E61070" w:rsidP="002630D9">
      <w:pPr>
        <w:spacing w:line="360" w:lineRule="auto"/>
        <w:ind w:left="567" w:hanging="567"/>
        <w:jc w:val="both"/>
        <w:rPr>
          <w:rFonts w:cs="Arial"/>
        </w:rPr>
      </w:pPr>
    </w:p>
    <w:p w14:paraId="5584B775" w14:textId="650F584F" w:rsidR="00111277" w:rsidRDefault="00E61070" w:rsidP="002630D9">
      <w:pPr>
        <w:spacing w:line="360" w:lineRule="auto"/>
        <w:ind w:left="567" w:hanging="567"/>
        <w:jc w:val="both"/>
        <w:rPr>
          <w:rFonts w:cs="Arial"/>
        </w:rPr>
      </w:pPr>
      <w:r>
        <w:rPr>
          <w:rFonts w:cs="Arial"/>
        </w:rPr>
        <w:t>5.</w:t>
      </w:r>
      <w:r>
        <w:rPr>
          <w:rFonts w:cs="Arial"/>
        </w:rPr>
        <w:tab/>
        <w:t xml:space="preserve">I have read the decision under challenge, the grant of permission and the Appellant’s application and find that it is appropriate for </w:t>
      </w:r>
      <w:r w:rsidR="00111277">
        <w:rPr>
          <w:rFonts w:cs="Arial"/>
        </w:rPr>
        <w:t>the error of law hearing to proceed on the papers  The issue between the parties is a narrow one and it is in the interests of justice for the matter to be heard on the papers so that the matter can be decided without any further delay.</w:t>
      </w:r>
    </w:p>
    <w:p w14:paraId="20A24EC8" w14:textId="77777777" w:rsidR="00111277" w:rsidRDefault="00111277" w:rsidP="002630D9">
      <w:pPr>
        <w:spacing w:line="360" w:lineRule="auto"/>
        <w:ind w:left="567" w:hanging="567"/>
        <w:jc w:val="both"/>
        <w:rPr>
          <w:rFonts w:cs="Arial"/>
        </w:rPr>
      </w:pPr>
    </w:p>
    <w:p w14:paraId="51DDA419" w14:textId="18BBACD0" w:rsidR="00111277" w:rsidRDefault="00111277" w:rsidP="002630D9">
      <w:pPr>
        <w:spacing w:line="360" w:lineRule="auto"/>
        <w:ind w:left="567" w:hanging="567"/>
        <w:jc w:val="both"/>
        <w:rPr>
          <w:rFonts w:cs="Arial"/>
        </w:rPr>
      </w:pPr>
      <w:r>
        <w:rPr>
          <w:rFonts w:cs="Arial"/>
        </w:rPr>
        <w:t>6.</w:t>
      </w:r>
      <w:r>
        <w:rPr>
          <w:rFonts w:cs="Arial"/>
        </w:rPr>
        <w:tab/>
        <w:t xml:space="preserve">When reaching this decision, I have </w:t>
      </w:r>
      <w:proofErr w:type="gramStart"/>
      <w:r>
        <w:rPr>
          <w:rFonts w:cs="Arial"/>
        </w:rPr>
        <w:t>taken into account</w:t>
      </w:r>
      <w:proofErr w:type="gramEnd"/>
      <w:r>
        <w:rPr>
          <w:rFonts w:cs="Arial"/>
        </w:rPr>
        <w:t xml:space="preserve"> the overriding Objective of the Tribunal Procedure (Upper Tribunal) Rules 2008, as amended, is for the Upper Tribunal to deal with appeals fairly and justly and without any unnecessary delay. </w:t>
      </w:r>
    </w:p>
    <w:p w14:paraId="0FD4CAE9" w14:textId="77777777" w:rsidR="0067578D" w:rsidRDefault="0067578D" w:rsidP="002630D9">
      <w:pPr>
        <w:spacing w:line="360" w:lineRule="auto"/>
        <w:ind w:left="567" w:hanging="567"/>
        <w:jc w:val="both"/>
        <w:rPr>
          <w:rFonts w:cs="Arial"/>
        </w:rPr>
      </w:pPr>
    </w:p>
    <w:p w14:paraId="2F2E4E46" w14:textId="2293073D" w:rsidR="002328F9" w:rsidRDefault="0067578D" w:rsidP="002630D9">
      <w:pPr>
        <w:spacing w:line="360" w:lineRule="auto"/>
        <w:ind w:left="567" w:hanging="567"/>
        <w:jc w:val="both"/>
        <w:rPr>
          <w:rFonts w:cs="Arial"/>
        </w:rPr>
      </w:pPr>
      <w:r>
        <w:rPr>
          <w:rFonts w:cs="Arial"/>
        </w:rPr>
        <w:t>7.</w:t>
      </w:r>
      <w:r>
        <w:rPr>
          <w:rFonts w:cs="Arial"/>
        </w:rPr>
        <w:tab/>
        <w:t xml:space="preserve">I </w:t>
      </w:r>
      <w:r w:rsidR="00111277">
        <w:rPr>
          <w:rFonts w:cs="Arial"/>
        </w:rPr>
        <w:t xml:space="preserve">also </w:t>
      </w:r>
      <w:r w:rsidR="0017679A">
        <w:rPr>
          <w:rFonts w:cs="Arial"/>
        </w:rPr>
        <w:t>agree that the</w:t>
      </w:r>
      <w:r w:rsidR="00111277">
        <w:rPr>
          <w:rFonts w:cs="Arial"/>
        </w:rPr>
        <w:t xml:space="preserve">re are </w:t>
      </w:r>
      <w:proofErr w:type="gramStart"/>
      <w:r w:rsidR="00111277">
        <w:rPr>
          <w:rFonts w:cs="Arial"/>
        </w:rPr>
        <w:t>a number of</w:t>
      </w:r>
      <w:proofErr w:type="gramEnd"/>
      <w:r w:rsidR="00111277">
        <w:rPr>
          <w:rFonts w:cs="Arial"/>
        </w:rPr>
        <w:t xml:space="preserve"> evidential and legal issues that </w:t>
      </w:r>
      <w:r w:rsidR="0017679A">
        <w:rPr>
          <w:rFonts w:cs="Arial"/>
        </w:rPr>
        <w:t xml:space="preserve">will need to be explored at an oral hearing </w:t>
      </w:r>
      <w:r w:rsidR="00111277">
        <w:rPr>
          <w:rFonts w:cs="Arial"/>
        </w:rPr>
        <w:t xml:space="preserve">and find </w:t>
      </w:r>
      <w:r w:rsidR="0017679A">
        <w:rPr>
          <w:rFonts w:cs="Arial"/>
        </w:rPr>
        <w:t>that the appropriate venue for such a hearing is the First-tier Tribunal.</w:t>
      </w:r>
    </w:p>
    <w:p w14:paraId="382137FD" w14:textId="77777777" w:rsidR="00967F60" w:rsidRDefault="00967F60" w:rsidP="00590558">
      <w:pPr>
        <w:spacing w:line="360" w:lineRule="auto"/>
        <w:ind w:left="567" w:hanging="567"/>
        <w:jc w:val="both"/>
        <w:rPr>
          <w:rFonts w:cs="Arial"/>
          <w:b/>
        </w:rPr>
      </w:pPr>
    </w:p>
    <w:p w14:paraId="3377233B" w14:textId="56AB6493" w:rsidR="003257CA" w:rsidRDefault="003257CA" w:rsidP="00590558">
      <w:pPr>
        <w:spacing w:line="360" w:lineRule="auto"/>
        <w:ind w:left="567" w:hanging="567"/>
        <w:jc w:val="both"/>
        <w:rPr>
          <w:rFonts w:cs="Arial"/>
          <w:b/>
        </w:rPr>
      </w:pPr>
      <w:r>
        <w:rPr>
          <w:rFonts w:cs="Arial"/>
          <w:b/>
        </w:rPr>
        <w:t xml:space="preserve">ERROR OF LAW </w:t>
      </w:r>
      <w:r w:rsidRPr="009D341B">
        <w:rPr>
          <w:rFonts w:cs="Arial"/>
          <w:b/>
        </w:rPr>
        <w:t xml:space="preserve">DECISION </w:t>
      </w:r>
    </w:p>
    <w:p w14:paraId="7C8F4E1F" w14:textId="77777777" w:rsidR="003257CA" w:rsidRDefault="003257CA" w:rsidP="00590558">
      <w:pPr>
        <w:spacing w:line="360" w:lineRule="auto"/>
        <w:ind w:left="567" w:hanging="567"/>
        <w:jc w:val="both"/>
        <w:rPr>
          <w:rFonts w:cs="Arial"/>
          <w:b/>
        </w:rPr>
      </w:pPr>
    </w:p>
    <w:p w14:paraId="77BFB789" w14:textId="0A24126B" w:rsidR="008C7EDB" w:rsidRDefault="0017679A" w:rsidP="00893C98">
      <w:pPr>
        <w:spacing w:line="360" w:lineRule="auto"/>
        <w:ind w:left="567" w:hanging="567"/>
        <w:jc w:val="both"/>
        <w:rPr>
          <w:rFonts w:cs="Arial"/>
        </w:rPr>
      </w:pPr>
      <w:r>
        <w:rPr>
          <w:rFonts w:cs="Arial"/>
        </w:rPr>
        <w:t>8</w:t>
      </w:r>
      <w:r w:rsidR="00416402">
        <w:rPr>
          <w:rFonts w:cs="Arial"/>
        </w:rPr>
        <w:t xml:space="preserve">. </w:t>
      </w:r>
      <w:r w:rsidR="00416402">
        <w:rPr>
          <w:rFonts w:cs="Arial"/>
        </w:rPr>
        <w:tab/>
      </w:r>
      <w:r w:rsidR="00CF674B">
        <w:rPr>
          <w:rFonts w:cs="Arial"/>
        </w:rPr>
        <w:t xml:space="preserve">The Appellant’s sole ground of appeal relied on the fact that First-tier Tribunal Judge Rea had </w:t>
      </w:r>
      <w:r w:rsidR="00E6313F">
        <w:rPr>
          <w:rFonts w:cs="Arial"/>
        </w:rPr>
        <w:t xml:space="preserve">referred to </w:t>
      </w:r>
      <w:r w:rsidR="00CF674B">
        <w:rPr>
          <w:rFonts w:cs="Arial"/>
        </w:rPr>
        <w:t xml:space="preserve">the case of </w:t>
      </w:r>
      <w:r w:rsidR="00CF674B" w:rsidRPr="00B45FF6">
        <w:rPr>
          <w:rFonts w:cs="Arial"/>
          <w:u w:val="single"/>
        </w:rPr>
        <w:t>AS (Safety of Kabul) Afghanistan CG</w:t>
      </w:r>
      <w:r w:rsidR="00CF674B">
        <w:rPr>
          <w:rFonts w:cs="Arial"/>
        </w:rPr>
        <w:t xml:space="preserve"> [2018] UKUT 00118 (IAC) but this case had been partially overturned by the Court of Appeal and had been remitted to the </w:t>
      </w:r>
      <w:r w:rsidR="00CF674B">
        <w:rPr>
          <w:rFonts w:cs="Arial"/>
        </w:rPr>
        <w:lastRenderedPageBreak/>
        <w:t xml:space="preserve">Upper Tribunal. </w:t>
      </w:r>
      <w:r w:rsidR="00B45FF6">
        <w:rPr>
          <w:rFonts w:cs="Arial"/>
        </w:rPr>
        <w:t xml:space="preserve">I find that the reliance on a country guidance case which had been partially overturned by a higher court did amount to an error of law without further explanation. </w:t>
      </w:r>
    </w:p>
    <w:p w14:paraId="34C33CFA" w14:textId="410711DF" w:rsidR="00CF674B" w:rsidRDefault="00CF674B" w:rsidP="00893C98">
      <w:pPr>
        <w:spacing w:line="360" w:lineRule="auto"/>
        <w:ind w:left="567" w:hanging="567"/>
        <w:jc w:val="both"/>
        <w:rPr>
          <w:rFonts w:cs="Arial"/>
        </w:rPr>
      </w:pPr>
    </w:p>
    <w:p w14:paraId="474563B0" w14:textId="1B1C35D7" w:rsidR="00CF674B" w:rsidRDefault="00CF674B" w:rsidP="00893C98">
      <w:pPr>
        <w:spacing w:line="360" w:lineRule="auto"/>
        <w:ind w:left="567" w:hanging="567"/>
        <w:jc w:val="both"/>
        <w:rPr>
          <w:rFonts w:cs="Arial"/>
        </w:rPr>
      </w:pPr>
      <w:r>
        <w:rPr>
          <w:rFonts w:cs="Arial"/>
        </w:rPr>
        <w:t>9.</w:t>
      </w:r>
      <w:r>
        <w:rPr>
          <w:rFonts w:cs="Arial"/>
        </w:rPr>
        <w:tab/>
        <w:t xml:space="preserve">The Upper Tribunal has now reconsidered its country guidance and published </w:t>
      </w:r>
      <w:r w:rsidRPr="00B45FF6">
        <w:rPr>
          <w:rFonts w:cs="Arial"/>
          <w:u w:val="single"/>
        </w:rPr>
        <w:t>AS (Safety of</w:t>
      </w:r>
      <w:r>
        <w:rPr>
          <w:rFonts w:cs="Arial"/>
        </w:rPr>
        <w:t xml:space="preserve"> </w:t>
      </w:r>
      <w:r w:rsidRPr="00B45FF6">
        <w:rPr>
          <w:rFonts w:cs="Arial"/>
          <w:u w:val="single"/>
        </w:rPr>
        <w:t>Kabul) Afghanistan</w:t>
      </w:r>
      <w:r w:rsidR="00B45FF6">
        <w:rPr>
          <w:rFonts w:cs="Arial"/>
          <w:u w:val="single"/>
        </w:rPr>
        <w:t xml:space="preserve"> CG</w:t>
      </w:r>
      <w:r>
        <w:rPr>
          <w:rFonts w:cs="Arial"/>
        </w:rPr>
        <w:t xml:space="preserve"> [2020] UKUT 00130 (IAC) on 4 May 2020. The decision replicates some of the findings of the 2018 country guidance but does replace it. In addition, the Upper Tribunal made slightly different findings in relation to relocation to Kabul; namely it found that:</w:t>
      </w:r>
    </w:p>
    <w:p w14:paraId="189FBEF8" w14:textId="436DFE65" w:rsidR="00CF674B" w:rsidRDefault="00CF674B" w:rsidP="00893C98">
      <w:pPr>
        <w:spacing w:line="360" w:lineRule="auto"/>
        <w:ind w:left="567" w:hanging="567"/>
        <w:jc w:val="both"/>
        <w:rPr>
          <w:rFonts w:cs="Arial"/>
        </w:rPr>
      </w:pPr>
    </w:p>
    <w:p w14:paraId="62F128F2" w14:textId="72D72403" w:rsidR="00CF674B" w:rsidRPr="00CF674B" w:rsidRDefault="00CF674B" w:rsidP="00CF674B">
      <w:pPr>
        <w:spacing w:line="360" w:lineRule="auto"/>
        <w:ind w:left="1080"/>
        <w:jc w:val="both"/>
        <w:rPr>
          <w:rFonts w:cs="Arial"/>
          <w:iCs/>
        </w:rPr>
      </w:pPr>
      <w:r>
        <w:rPr>
          <w:rFonts w:cs="Arial"/>
        </w:rPr>
        <w:t>“</w:t>
      </w:r>
      <w:r w:rsidRPr="00CF674B">
        <w:rPr>
          <w:rFonts w:cs="Arial"/>
          <w:iCs/>
        </w:rPr>
        <w:t xml:space="preserve">Having regard to the security and humanitarian situation in Kabul as well as the difficulties faced by the population living there (primarily the urban poor but also IDPs and other returnees, which are not dissimilar to the conditions faced throughout many other parts of Afghanistan) it will not, in general, be unreasonable or unduly harsh for a single adult male in good health to relocate to Kabul even if he does not have any specific connections or support network in Kabul and even if he does not have a </w:t>
      </w:r>
      <w:proofErr w:type="spellStart"/>
      <w:r w:rsidRPr="00CF674B">
        <w:rPr>
          <w:rFonts w:cs="Arial"/>
          <w:iCs/>
        </w:rPr>
        <w:t>Tazkera</w:t>
      </w:r>
      <w:proofErr w:type="spellEnd"/>
      <w:r w:rsidRPr="00CF674B">
        <w:rPr>
          <w:rFonts w:cs="Arial"/>
          <w:iCs/>
        </w:rPr>
        <w:t>.</w:t>
      </w:r>
    </w:p>
    <w:p w14:paraId="58BCAA2C" w14:textId="77777777" w:rsidR="00CF674B" w:rsidRPr="00CF674B" w:rsidRDefault="00CF674B" w:rsidP="00CF674B">
      <w:pPr>
        <w:spacing w:line="360" w:lineRule="auto"/>
        <w:ind w:left="567"/>
        <w:jc w:val="both"/>
        <w:rPr>
          <w:rFonts w:cs="Arial"/>
          <w:iCs/>
        </w:rPr>
      </w:pPr>
    </w:p>
    <w:p w14:paraId="7F5CF8C0" w14:textId="2E6B697D" w:rsidR="00CF674B" w:rsidRDefault="00CF674B" w:rsidP="00CF674B">
      <w:pPr>
        <w:spacing w:line="360" w:lineRule="auto"/>
        <w:ind w:left="1080"/>
        <w:jc w:val="both"/>
        <w:rPr>
          <w:rFonts w:cs="Arial"/>
          <w:iCs/>
          <w:u w:val="single"/>
        </w:rPr>
      </w:pPr>
      <w:r w:rsidRPr="00CF674B">
        <w:rPr>
          <w:rFonts w:cs="Arial"/>
          <w:iCs/>
        </w:rPr>
        <w:t xml:space="preserve">However, the particular circumstances of an individual applicant must be taken into account in the context of conditions in the place of relocation, including a person’s age, nature and quality of support network/connections with Kabul/Afghanistan, their physical and mental health, and their language, education and vocational skills when determining whether a person falls within the general position set out above. </w:t>
      </w:r>
      <w:r w:rsidRPr="00B45FF6">
        <w:rPr>
          <w:rFonts w:cs="Arial"/>
          <w:iCs/>
          <w:u w:val="single"/>
        </w:rPr>
        <w:t>Given the limited options</w:t>
      </w:r>
      <w:r w:rsidRPr="00CF674B">
        <w:rPr>
          <w:rFonts w:cs="Arial"/>
          <w:iCs/>
        </w:rPr>
        <w:t xml:space="preserve"> </w:t>
      </w:r>
      <w:r w:rsidRPr="00B45FF6">
        <w:rPr>
          <w:rFonts w:cs="Arial"/>
          <w:iCs/>
          <w:u w:val="single"/>
        </w:rPr>
        <w:t>for employment, capability to undertake manual work may be relevant</w:t>
      </w:r>
      <w:r w:rsidR="00B45FF6" w:rsidRPr="00B45FF6">
        <w:rPr>
          <w:rFonts w:cs="Arial"/>
          <w:iCs/>
          <w:u w:val="single"/>
        </w:rPr>
        <w:t>”</w:t>
      </w:r>
      <w:r w:rsidRPr="00B45FF6">
        <w:rPr>
          <w:rFonts w:cs="Arial"/>
          <w:iCs/>
          <w:u w:val="single"/>
        </w:rPr>
        <w:t>.</w:t>
      </w:r>
    </w:p>
    <w:p w14:paraId="69BAB0BB" w14:textId="3A1AEB59" w:rsidR="00B45FF6" w:rsidRDefault="00B45FF6" w:rsidP="00CF674B">
      <w:pPr>
        <w:spacing w:line="360" w:lineRule="auto"/>
        <w:ind w:left="1080"/>
        <w:jc w:val="both"/>
        <w:rPr>
          <w:rFonts w:cs="Arial"/>
          <w:iCs/>
          <w:u w:val="single"/>
        </w:rPr>
      </w:pPr>
    </w:p>
    <w:p w14:paraId="3112A55F" w14:textId="7808F248" w:rsidR="00CF674B" w:rsidRPr="00CF674B" w:rsidRDefault="00B45FF6" w:rsidP="00893C98">
      <w:pPr>
        <w:spacing w:line="360" w:lineRule="auto"/>
        <w:ind w:left="567" w:hanging="567"/>
        <w:jc w:val="both"/>
        <w:rPr>
          <w:rFonts w:cs="Arial"/>
        </w:rPr>
      </w:pPr>
      <w:r>
        <w:rPr>
          <w:rFonts w:cs="Arial"/>
        </w:rPr>
        <w:t>10.</w:t>
      </w:r>
      <w:r>
        <w:rPr>
          <w:rFonts w:cs="Arial"/>
        </w:rPr>
        <w:tab/>
        <w:t xml:space="preserve">In addition, it is arguable that given First-tier Tribunal Judge Rea’s findings in paragraphs 20 to 23 of his decision, </w:t>
      </w:r>
      <w:r w:rsidR="00E6313F">
        <w:rPr>
          <w:rFonts w:cs="Arial"/>
        </w:rPr>
        <w:t>he did not give sufficient evidence to the role which the Taliban may have perceived the Appellant to have played in Afghanistan, albeit that he may have been technically an army driver.</w:t>
      </w:r>
    </w:p>
    <w:p w14:paraId="1797D9C8" w14:textId="77777777" w:rsidR="0017679A" w:rsidRDefault="0017679A" w:rsidP="00893C98">
      <w:pPr>
        <w:spacing w:line="360" w:lineRule="auto"/>
        <w:ind w:left="567" w:hanging="567"/>
        <w:jc w:val="both"/>
        <w:rPr>
          <w:rFonts w:cs="Arial"/>
        </w:rPr>
      </w:pPr>
    </w:p>
    <w:p w14:paraId="389B94FC" w14:textId="7DAFD57A" w:rsidR="00A87FDC" w:rsidRDefault="00E6313F" w:rsidP="00893C98">
      <w:pPr>
        <w:spacing w:line="360" w:lineRule="auto"/>
        <w:ind w:left="567" w:hanging="567"/>
        <w:jc w:val="both"/>
        <w:rPr>
          <w:rFonts w:cs="Arial"/>
        </w:rPr>
      </w:pPr>
      <w:r>
        <w:rPr>
          <w:rFonts w:cs="Arial"/>
        </w:rPr>
        <w:t>11</w:t>
      </w:r>
      <w:r w:rsidR="00A87FDC">
        <w:rPr>
          <w:rFonts w:cs="Arial"/>
        </w:rPr>
        <w:t>.</w:t>
      </w:r>
      <w:r w:rsidR="00A87FDC">
        <w:rPr>
          <w:rFonts w:cs="Arial"/>
        </w:rPr>
        <w:tab/>
      </w:r>
      <w:r w:rsidR="0017679A">
        <w:rPr>
          <w:rFonts w:cs="Arial"/>
        </w:rPr>
        <w:t xml:space="preserve">Therefore, I find that </w:t>
      </w:r>
      <w:r w:rsidR="00A87FDC">
        <w:rPr>
          <w:rFonts w:cs="Arial"/>
        </w:rPr>
        <w:t xml:space="preserve">First-tier Tribunal Judge </w:t>
      </w:r>
      <w:r>
        <w:rPr>
          <w:rFonts w:cs="Arial"/>
        </w:rPr>
        <w:t>Rea</w:t>
      </w:r>
      <w:r w:rsidR="00A87FDC">
        <w:rPr>
          <w:rFonts w:cs="Arial"/>
        </w:rPr>
        <w:t xml:space="preserve">’s decision contained material errors of law. </w:t>
      </w:r>
    </w:p>
    <w:p w14:paraId="7F5AC36C" w14:textId="77777777" w:rsidR="00A87FDC" w:rsidRDefault="00A87FDC" w:rsidP="00893C98">
      <w:pPr>
        <w:spacing w:line="360" w:lineRule="auto"/>
        <w:ind w:left="567" w:hanging="567"/>
        <w:jc w:val="both"/>
        <w:rPr>
          <w:rFonts w:cs="Arial"/>
        </w:rPr>
      </w:pPr>
    </w:p>
    <w:p w14:paraId="424023C0" w14:textId="77777777" w:rsidR="003257CA" w:rsidRPr="0017679A" w:rsidRDefault="003257CA" w:rsidP="006016B9">
      <w:pPr>
        <w:spacing w:line="360" w:lineRule="auto"/>
        <w:ind w:left="567" w:hanging="567"/>
        <w:jc w:val="both"/>
        <w:rPr>
          <w:rFonts w:ascii="Book Antiqua" w:hAnsi="Book Antiqua" w:cs="Arial"/>
          <w:b/>
          <w:u w:val="single"/>
        </w:rPr>
      </w:pPr>
      <w:r w:rsidRPr="0017679A">
        <w:rPr>
          <w:rFonts w:ascii="Book Antiqua" w:hAnsi="Book Antiqua" w:cs="Arial"/>
          <w:b/>
          <w:u w:val="single"/>
        </w:rPr>
        <w:t xml:space="preserve">DECISION </w:t>
      </w:r>
    </w:p>
    <w:p w14:paraId="31A86068" w14:textId="77777777" w:rsidR="003257CA" w:rsidRPr="00C027FD" w:rsidRDefault="003257CA" w:rsidP="006016B9">
      <w:pPr>
        <w:spacing w:line="360" w:lineRule="auto"/>
        <w:ind w:left="567" w:hanging="567"/>
        <w:jc w:val="both"/>
        <w:rPr>
          <w:rFonts w:ascii="Book Antiqua" w:hAnsi="Book Antiqua" w:cs="Arial"/>
          <w:b/>
        </w:rPr>
      </w:pPr>
    </w:p>
    <w:p w14:paraId="749EEF1C" w14:textId="1A57711B" w:rsidR="00FD45E1" w:rsidRDefault="003257CA" w:rsidP="00640B44">
      <w:pPr>
        <w:spacing w:line="360" w:lineRule="auto"/>
        <w:ind w:left="567" w:hanging="567"/>
        <w:jc w:val="both"/>
        <w:rPr>
          <w:rFonts w:ascii="Book Antiqua" w:hAnsi="Book Antiqua" w:cs="Arial"/>
        </w:rPr>
      </w:pPr>
      <w:r>
        <w:rPr>
          <w:rFonts w:ascii="Book Antiqua" w:hAnsi="Book Antiqua" w:cs="Arial"/>
        </w:rPr>
        <w:t>(1)</w:t>
      </w:r>
      <w:r>
        <w:rPr>
          <w:rFonts w:ascii="Book Antiqua" w:hAnsi="Book Antiqua" w:cs="Arial"/>
        </w:rPr>
        <w:tab/>
        <w:t xml:space="preserve">The </w:t>
      </w:r>
      <w:r w:rsidR="00640B44">
        <w:rPr>
          <w:rFonts w:ascii="Book Antiqua" w:hAnsi="Book Antiqua" w:cs="Arial"/>
        </w:rPr>
        <w:t>Appellant</w:t>
      </w:r>
      <w:r w:rsidR="00E04E76">
        <w:rPr>
          <w:rFonts w:ascii="Book Antiqua" w:hAnsi="Book Antiqua" w:cs="Arial"/>
        </w:rPr>
        <w:t>’</w:t>
      </w:r>
      <w:r>
        <w:rPr>
          <w:rFonts w:ascii="Book Antiqua" w:hAnsi="Book Antiqua" w:cs="Arial"/>
        </w:rPr>
        <w:t>s appeal is</w:t>
      </w:r>
      <w:r w:rsidR="0071667D">
        <w:rPr>
          <w:rFonts w:ascii="Book Antiqua" w:hAnsi="Book Antiqua" w:cs="Arial"/>
        </w:rPr>
        <w:t xml:space="preserve"> </w:t>
      </w:r>
      <w:r w:rsidR="0077734B">
        <w:rPr>
          <w:rFonts w:ascii="Book Antiqua" w:hAnsi="Book Antiqua" w:cs="Arial"/>
        </w:rPr>
        <w:t>allowed</w:t>
      </w:r>
      <w:r w:rsidR="00774905">
        <w:rPr>
          <w:rFonts w:ascii="Book Antiqua" w:hAnsi="Book Antiqua" w:cs="Arial"/>
        </w:rPr>
        <w:t xml:space="preserve"> </w:t>
      </w:r>
    </w:p>
    <w:p w14:paraId="32A7E747" w14:textId="6E6060D6" w:rsidR="006D5842" w:rsidRDefault="006D5842" w:rsidP="00640B44">
      <w:pPr>
        <w:spacing w:line="360" w:lineRule="auto"/>
        <w:ind w:left="567" w:hanging="567"/>
        <w:jc w:val="both"/>
        <w:rPr>
          <w:rFonts w:ascii="Book Antiqua" w:hAnsi="Book Antiqua" w:cs="Arial"/>
        </w:rPr>
      </w:pPr>
    </w:p>
    <w:p w14:paraId="026FEDFA" w14:textId="56AAE4B9" w:rsidR="006D5842" w:rsidRDefault="006D5842" w:rsidP="00640B44">
      <w:pPr>
        <w:spacing w:line="360" w:lineRule="auto"/>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First-tier Tribunal Judge </w:t>
      </w:r>
      <w:r w:rsidR="00111277">
        <w:rPr>
          <w:rFonts w:ascii="Book Antiqua" w:hAnsi="Book Antiqua" w:cs="Arial"/>
        </w:rPr>
        <w:t>Rea</w:t>
      </w:r>
      <w:r w:rsidR="0017679A">
        <w:rPr>
          <w:rFonts w:ascii="Book Antiqua" w:hAnsi="Book Antiqua" w:cs="Arial"/>
        </w:rPr>
        <w:t>’</w:t>
      </w:r>
      <w:r>
        <w:rPr>
          <w:rFonts w:ascii="Book Antiqua" w:hAnsi="Book Antiqua" w:cs="Arial"/>
        </w:rPr>
        <w:t xml:space="preserve">s decision </w:t>
      </w:r>
      <w:r w:rsidR="00367006">
        <w:rPr>
          <w:rFonts w:ascii="Book Antiqua" w:hAnsi="Book Antiqua" w:cs="Arial"/>
        </w:rPr>
        <w:t>is set aside</w:t>
      </w:r>
      <w:r>
        <w:rPr>
          <w:rFonts w:ascii="Book Antiqua" w:hAnsi="Book Antiqua" w:cs="Arial"/>
        </w:rPr>
        <w:t>.</w:t>
      </w:r>
    </w:p>
    <w:p w14:paraId="75157129" w14:textId="52A31792" w:rsidR="001B5840" w:rsidRDefault="001B5840" w:rsidP="00640B44">
      <w:pPr>
        <w:spacing w:line="360" w:lineRule="auto"/>
        <w:ind w:left="567" w:hanging="567"/>
        <w:jc w:val="both"/>
        <w:rPr>
          <w:rFonts w:ascii="Book Antiqua" w:hAnsi="Book Antiqua" w:cs="Arial"/>
        </w:rPr>
      </w:pPr>
    </w:p>
    <w:p w14:paraId="55CC289C" w14:textId="75ABDA4B" w:rsidR="001B5840" w:rsidRDefault="001B5840" w:rsidP="00640B44">
      <w:pPr>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findings made by First-tier Tribunal Judge Rea at paragraphs 20 to 23 of his decision are preserved as the reasoning contained in these paragraphs is detailed and cogent. </w:t>
      </w:r>
    </w:p>
    <w:p w14:paraId="61FD22D4" w14:textId="472E0AC3" w:rsidR="00367006" w:rsidRDefault="00367006" w:rsidP="00640B44">
      <w:pPr>
        <w:spacing w:line="360" w:lineRule="auto"/>
        <w:ind w:left="567" w:hanging="567"/>
        <w:jc w:val="both"/>
        <w:rPr>
          <w:rFonts w:ascii="Book Antiqua" w:hAnsi="Book Antiqua" w:cs="Arial"/>
        </w:rPr>
      </w:pPr>
    </w:p>
    <w:p w14:paraId="4C5FBC52" w14:textId="74AD4A83" w:rsidR="00367006" w:rsidRDefault="00367006" w:rsidP="00640B44">
      <w:pPr>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t>The appeal is re</w:t>
      </w:r>
      <w:r w:rsidR="0017679A">
        <w:rPr>
          <w:rFonts w:ascii="Book Antiqua" w:hAnsi="Book Antiqua" w:cs="Arial"/>
        </w:rPr>
        <w:t xml:space="preserve">mitted to be heard by a First-tier Tribunal Judge other than First-tier Tribunal Judges </w:t>
      </w:r>
      <w:r w:rsidR="00111277">
        <w:rPr>
          <w:rFonts w:ascii="Book Antiqua" w:hAnsi="Book Antiqua" w:cs="Arial"/>
        </w:rPr>
        <w:t>Rea</w:t>
      </w:r>
      <w:r w:rsidR="00E6313F">
        <w:rPr>
          <w:rFonts w:ascii="Book Antiqua" w:hAnsi="Book Antiqua" w:cs="Arial"/>
        </w:rPr>
        <w:t xml:space="preserve"> and</w:t>
      </w:r>
      <w:r w:rsidR="00111277">
        <w:rPr>
          <w:rFonts w:ascii="Book Antiqua" w:hAnsi="Book Antiqua" w:cs="Arial"/>
        </w:rPr>
        <w:t xml:space="preserve"> Murray</w:t>
      </w:r>
      <w:r w:rsidR="00E6313F">
        <w:rPr>
          <w:rFonts w:ascii="Book Antiqua" w:hAnsi="Book Antiqua" w:cs="Arial"/>
        </w:rPr>
        <w:t>.</w:t>
      </w:r>
    </w:p>
    <w:p w14:paraId="33C13FB1" w14:textId="4748A9B1" w:rsidR="003257CA" w:rsidRPr="00725575" w:rsidRDefault="00287F41" w:rsidP="00640B44">
      <w:pPr>
        <w:spacing w:line="360" w:lineRule="auto"/>
        <w:ind w:left="567" w:hanging="567"/>
        <w:jc w:val="both"/>
        <w:rPr>
          <w:rFonts w:ascii="Lucida Handwriting" w:hAnsi="Lucida Handwriting" w:cs="Arial"/>
          <w:sz w:val="40"/>
        </w:rPr>
      </w:pPr>
      <w:r>
        <w:rPr>
          <w:rFonts w:ascii="Lucida Handwriting" w:hAnsi="Lucida Handwriting" w:cs="Arial"/>
          <w:sz w:val="40"/>
        </w:rPr>
        <w:t xml:space="preserve">                                                                                                                                                                                                                                                                                                                                                                                                                                                                                                                                                                                                                                                                                                                                                                                                                                                                                                                                                                                                                                                                                                                                                                                                                                                                                                                                                                                                                                                                                                                                                                                                                                                                                                                </w:t>
      </w:r>
      <w:r w:rsidR="003257CA">
        <w:rPr>
          <w:rFonts w:ascii="Lucida Handwriting" w:hAnsi="Lucida Handwriting" w:cs="Arial"/>
          <w:sz w:val="40"/>
        </w:rPr>
        <w:t>Nadine Finch</w:t>
      </w:r>
    </w:p>
    <w:p w14:paraId="4BC7FB9D" w14:textId="0A07D3F5" w:rsidR="00F4422E" w:rsidRDefault="003257CA"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943D1C">
        <w:rPr>
          <w:rFonts w:ascii="Book Antiqua" w:hAnsi="Book Antiqua" w:cs="Arial"/>
        </w:rPr>
        <w:t xml:space="preserve">                                    </w:t>
      </w:r>
      <w:r w:rsidRPr="00AE6DDE">
        <w:rPr>
          <w:rFonts w:ascii="Book Antiqua" w:hAnsi="Book Antiqua" w:cs="Arial"/>
        </w:rPr>
        <w:t>Date</w:t>
      </w:r>
      <w:r>
        <w:rPr>
          <w:rFonts w:ascii="Book Antiqua" w:hAnsi="Book Antiqua" w:cs="Arial"/>
        </w:rPr>
        <w:t xml:space="preserve"> </w:t>
      </w:r>
      <w:r w:rsidR="00111277">
        <w:rPr>
          <w:rFonts w:ascii="Book Antiqua" w:hAnsi="Book Antiqua" w:cs="Arial"/>
        </w:rPr>
        <w:t>19 August</w:t>
      </w:r>
      <w:r w:rsidR="0077734B">
        <w:rPr>
          <w:rFonts w:ascii="Book Antiqua" w:hAnsi="Book Antiqua" w:cs="Arial"/>
        </w:rPr>
        <w:t xml:space="preserve"> </w:t>
      </w:r>
      <w:r w:rsidR="00F4422E">
        <w:rPr>
          <w:rFonts w:ascii="Book Antiqua" w:hAnsi="Book Antiqua" w:cs="Arial"/>
        </w:rPr>
        <w:t>2020</w:t>
      </w:r>
    </w:p>
    <w:p w14:paraId="1032956D" w14:textId="414076C7" w:rsidR="003257CA" w:rsidRDefault="003257CA" w:rsidP="00847259">
      <w:pPr>
        <w:jc w:val="both"/>
        <w:rPr>
          <w:rFonts w:ascii="Book Antiqua" w:hAnsi="Book Antiqua" w:cs="Arial"/>
          <w:color w:val="000000"/>
        </w:rPr>
      </w:pPr>
      <w:r>
        <w:rPr>
          <w:rFonts w:ascii="Book Antiqua" w:hAnsi="Book Antiqua" w:cs="Arial"/>
          <w:color w:val="000000"/>
        </w:rPr>
        <w:t xml:space="preserve">Upper Tribunal Judge Finch </w:t>
      </w:r>
    </w:p>
    <w:p w14:paraId="7F9B3562" w14:textId="22326CBD" w:rsidR="003257CA" w:rsidRDefault="00814178" w:rsidP="00847259">
      <w:pPr>
        <w:jc w:val="both"/>
        <w:rPr>
          <w:rFonts w:ascii="Book Antiqua" w:hAnsi="Book Antiqua" w:cs="Arial"/>
          <w:color w:val="000000"/>
        </w:rPr>
      </w:pPr>
      <w:r>
        <w:rPr>
          <w:noProof/>
        </w:rPr>
        <w:drawing>
          <wp:anchor distT="0" distB="0" distL="114300" distR="114300" simplePos="0" relativeHeight="251659264" behindDoc="1" locked="0" layoutInCell="1" allowOverlap="1" wp14:anchorId="697AB200" wp14:editId="2D0DF8F2">
            <wp:simplePos x="0" y="0"/>
            <wp:positionH relativeFrom="column">
              <wp:posOffset>2562225</wp:posOffset>
            </wp:positionH>
            <wp:positionV relativeFrom="paragraph">
              <wp:posOffset>135255</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5BF90D" w14:textId="5FC4F686" w:rsidR="003257CA" w:rsidRDefault="003257CA" w:rsidP="00847259">
      <w:pPr>
        <w:jc w:val="both"/>
        <w:rPr>
          <w:rFonts w:ascii="Book Antiqua" w:hAnsi="Book Antiqua" w:cs="Arial"/>
          <w:color w:val="000000"/>
        </w:rPr>
      </w:pPr>
      <w:bookmarkStart w:id="0" w:name="_GoBack"/>
      <w:bookmarkEnd w:id="0"/>
    </w:p>
    <w:sectPr w:rsidR="003257CA" w:rsidSect="00814178">
      <w:headerReference w:type="default" r:id="rId9"/>
      <w:footerReference w:type="defaul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96B19" w14:textId="77777777" w:rsidR="007055DC" w:rsidRDefault="007055DC">
      <w:r>
        <w:separator/>
      </w:r>
    </w:p>
  </w:endnote>
  <w:endnote w:type="continuationSeparator" w:id="0">
    <w:p w14:paraId="018CA562" w14:textId="77777777" w:rsidR="007055DC" w:rsidRDefault="00705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035527"/>
      <w:docPartObj>
        <w:docPartGallery w:val="Page Numbers (Bottom of Page)"/>
        <w:docPartUnique/>
      </w:docPartObj>
    </w:sdtPr>
    <w:sdtEndPr>
      <w:rPr>
        <w:noProof/>
      </w:rPr>
    </w:sdtEndPr>
    <w:sdtContent>
      <w:p w14:paraId="2E18AFAB" w14:textId="3A7A38A3" w:rsidR="002328F9" w:rsidRPr="00814178" w:rsidRDefault="002328F9" w:rsidP="00AD0791">
        <w:pPr>
          <w:pStyle w:val="Footer"/>
          <w:jc w:val="center"/>
        </w:pPr>
        <w:r w:rsidRPr="00814178">
          <w:fldChar w:fldCharType="begin"/>
        </w:r>
        <w:r w:rsidRPr="00814178">
          <w:instrText xml:space="preserve"> PAGE   \* MERGEFORMAT </w:instrText>
        </w:r>
        <w:r w:rsidRPr="00814178">
          <w:fldChar w:fldCharType="separate"/>
        </w:r>
        <w:r w:rsidR="002F0889" w:rsidRPr="00814178">
          <w:rPr>
            <w:noProof/>
          </w:rPr>
          <w:t>4</w:t>
        </w:r>
        <w:r w:rsidRPr="00814178">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E02C4" w14:textId="05E68B5F" w:rsidR="002328F9" w:rsidRPr="00814178" w:rsidRDefault="002328F9" w:rsidP="00AD0791">
    <w:pPr>
      <w:jc w:val="center"/>
      <w:rPr>
        <w:b/>
      </w:rPr>
    </w:pPr>
    <w:r w:rsidRPr="00814178">
      <w:rPr>
        <w:b/>
        <w:spacing w:val="-6"/>
      </w:rPr>
      <w:t>©</w:t>
    </w:r>
    <w:r w:rsidRPr="00814178">
      <w:rPr>
        <w:b/>
      </w:rPr>
      <w:t xml:space="preserve"> CROWN COPYRIGHT 20</w:t>
    </w:r>
    <w:r w:rsidR="00C0730D" w:rsidRPr="00814178">
      <w:rPr>
        <w:b/>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BE697" w14:textId="77777777" w:rsidR="007055DC" w:rsidRDefault="007055DC">
      <w:r>
        <w:separator/>
      </w:r>
    </w:p>
  </w:footnote>
  <w:footnote w:type="continuationSeparator" w:id="0">
    <w:p w14:paraId="1B1640EC" w14:textId="77777777" w:rsidR="007055DC" w:rsidRDefault="00705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B2474" w14:textId="4227A90B" w:rsidR="002328F9" w:rsidRDefault="002328F9" w:rsidP="00AD0791">
    <w:pPr>
      <w:jc w:val="right"/>
      <w:rPr>
        <w:rFonts w:cs="Arial"/>
        <w:color w:val="000000"/>
        <w:sz w:val="16"/>
        <w:szCs w:val="16"/>
      </w:rPr>
    </w:pPr>
    <w:r w:rsidRPr="00814178">
      <w:rPr>
        <w:rFonts w:cs="Arial"/>
        <w:color w:val="000000"/>
        <w:sz w:val="16"/>
        <w:szCs w:val="16"/>
      </w:rPr>
      <w:t xml:space="preserve">Appeal Numbers: </w:t>
    </w:r>
    <w:r w:rsidR="000261EA" w:rsidRPr="00814178">
      <w:rPr>
        <w:rFonts w:cs="Arial"/>
        <w:color w:val="000000"/>
        <w:sz w:val="16"/>
        <w:szCs w:val="16"/>
      </w:rPr>
      <w:t>P</w:t>
    </w:r>
    <w:r w:rsidR="00A15324" w:rsidRPr="00814178">
      <w:rPr>
        <w:rFonts w:cs="Arial"/>
        <w:color w:val="000000"/>
        <w:sz w:val="16"/>
        <w:szCs w:val="16"/>
      </w:rPr>
      <w:t>A/</w:t>
    </w:r>
    <w:r w:rsidR="000261EA" w:rsidRPr="00814178">
      <w:rPr>
        <w:rFonts w:cs="Arial"/>
        <w:color w:val="000000"/>
        <w:sz w:val="16"/>
        <w:szCs w:val="16"/>
      </w:rPr>
      <w:t>10817</w:t>
    </w:r>
    <w:r w:rsidR="00244284" w:rsidRPr="00814178">
      <w:rPr>
        <w:rFonts w:cs="Arial"/>
        <w:color w:val="000000"/>
        <w:sz w:val="16"/>
        <w:szCs w:val="16"/>
      </w:rPr>
      <w:t>/201</w:t>
    </w:r>
    <w:r w:rsidR="000261EA" w:rsidRPr="00814178">
      <w:rPr>
        <w:rFonts w:cs="Arial"/>
        <w:color w:val="000000"/>
        <w:sz w:val="16"/>
        <w:szCs w:val="16"/>
      </w:rPr>
      <w:t>9</w:t>
    </w:r>
    <w:r w:rsidR="00244284" w:rsidRPr="00814178">
      <w:rPr>
        <w:rFonts w:cs="Arial"/>
        <w:color w:val="000000"/>
        <w:sz w:val="16"/>
        <w:szCs w:val="16"/>
      </w:rPr>
      <w:t>(P)</w:t>
    </w:r>
    <w:r>
      <w:rPr>
        <w:rFonts w:cs="Arial"/>
        <w:color w:val="000000"/>
        <w:sz w:val="16"/>
        <w:szCs w:val="16"/>
      </w:rPr>
      <w:t xml:space="preserve">       </w:t>
    </w:r>
  </w:p>
  <w:p w14:paraId="3722547A" w14:textId="77777777" w:rsidR="002328F9" w:rsidRPr="00A82254" w:rsidRDefault="002328F9" w:rsidP="00AD0791">
    <w:pPr>
      <w:jc w:val="right"/>
      <w:rPr>
        <w:rFonts w:cs="Arial"/>
        <w:color w:val="000000"/>
        <w:sz w:val="16"/>
        <w:szCs w:val="16"/>
      </w:rPr>
    </w:pPr>
  </w:p>
  <w:p w14:paraId="3B0F9A19" w14:textId="77777777" w:rsidR="002328F9" w:rsidRDefault="002328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0B666ED3"/>
    <w:multiLevelType w:val="hybridMultilevel"/>
    <w:tmpl w:val="D2746B78"/>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15:restartNumberingAfterBreak="0">
    <w:nsid w:val="0E9355F2"/>
    <w:multiLevelType w:val="multilevel"/>
    <w:tmpl w:val="4890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2145054A"/>
    <w:multiLevelType w:val="hybridMultilevel"/>
    <w:tmpl w:val="7698385E"/>
    <w:lvl w:ilvl="0" w:tplc="541623BC">
      <w:start w:val="1"/>
      <w:numFmt w:val="lowerRoman"/>
      <w:lvlText w:val="(%1)"/>
      <w:lvlJc w:val="left"/>
      <w:pPr>
        <w:ind w:left="1080" w:hanging="720"/>
      </w:pPr>
      <w:rPr>
        <w:b w:val="0"/>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3C901CC4"/>
    <w:multiLevelType w:val="hybridMultilevel"/>
    <w:tmpl w:val="9A007F1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7" w15:restartNumberingAfterBreak="0">
    <w:nsid w:val="48A524C0"/>
    <w:multiLevelType w:val="hybridMultilevel"/>
    <w:tmpl w:val="46E4FBB8"/>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 w15:restartNumberingAfterBreak="0">
    <w:nsid w:val="51016B88"/>
    <w:multiLevelType w:val="multilevel"/>
    <w:tmpl w:val="E76E0F5E"/>
    <w:lvl w:ilvl="0">
      <w:start w:val="1"/>
      <w:numFmt w:val="decimal"/>
      <w:lvlText w:val="%1."/>
      <w:lvlJc w:val="left"/>
      <w:pPr>
        <w:tabs>
          <w:tab w:val="num" w:pos="1080"/>
        </w:tabs>
        <w:ind w:left="1080" w:hanging="720"/>
      </w:pPr>
      <w:rPr>
        <w:b w:val="0"/>
        <w:i w:val="0"/>
      </w:rPr>
    </w:lvl>
    <w:lvl w:ilvl="1">
      <w:start w:val="1"/>
      <w:numFmt w:val="lowerLetter"/>
      <w:lvlText w:val="%2)"/>
      <w:lvlJc w:val="left"/>
      <w:pPr>
        <w:tabs>
          <w:tab w:val="num" w:pos="1440"/>
        </w:tabs>
        <w:ind w:left="1440" w:hanging="720"/>
      </w:pPr>
      <w:rPr>
        <w:b w:val="0"/>
      </w:rPr>
    </w:lvl>
    <w:lvl w:ilvl="2">
      <w:start w:val="1"/>
      <w:numFmt w:val="lowerRoma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5CB677A5"/>
    <w:multiLevelType w:val="multilevel"/>
    <w:tmpl w:val="AD205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674C2C78"/>
    <w:multiLevelType w:val="multilevel"/>
    <w:tmpl w:val="4890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abstractNum w:abstractNumId="13" w15:restartNumberingAfterBreak="0">
    <w:nsid w:val="7F715898"/>
    <w:multiLevelType w:val="multilevel"/>
    <w:tmpl w:val="1E341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3"/>
  </w:num>
  <w:num w:numId="4">
    <w:abstractNumId w:val="0"/>
  </w:num>
  <w:num w:numId="5">
    <w:abstractNumId w:val="10"/>
  </w:num>
  <w:num w:numId="6">
    <w:abstractNumId w:val="5"/>
  </w:num>
  <w:num w:numId="7">
    <w:abstractNumId w:val="9"/>
  </w:num>
  <w:num w:numId="8">
    <w:abstractNumId w:val="13"/>
  </w:num>
  <w:num w:numId="9">
    <w:abstractNumId w:val="11"/>
    <w:lvlOverride w:ilvl="0">
      <w:startOverride w:val="45"/>
    </w:lvlOverride>
  </w:num>
  <w:num w:numId="10">
    <w:abstractNumId w:val="2"/>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704"/>
    <w:rsid w:val="00000621"/>
    <w:rsid w:val="000012A0"/>
    <w:rsid w:val="00002FE6"/>
    <w:rsid w:val="000036C2"/>
    <w:rsid w:val="000036E5"/>
    <w:rsid w:val="00005C5B"/>
    <w:rsid w:val="00011C5D"/>
    <w:rsid w:val="00013EFF"/>
    <w:rsid w:val="00014893"/>
    <w:rsid w:val="00016BC5"/>
    <w:rsid w:val="00025E48"/>
    <w:rsid w:val="000261EA"/>
    <w:rsid w:val="00026328"/>
    <w:rsid w:val="00026E39"/>
    <w:rsid w:val="00033D3D"/>
    <w:rsid w:val="00036E95"/>
    <w:rsid w:val="0003772C"/>
    <w:rsid w:val="00040A6C"/>
    <w:rsid w:val="00042433"/>
    <w:rsid w:val="000428C0"/>
    <w:rsid w:val="00043693"/>
    <w:rsid w:val="00045E7E"/>
    <w:rsid w:val="00046575"/>
    <w:rsid w:val="00052233"/>
    <w:rsid w:val="00062F02"/>
    <w:rsid w:val="00065C97"/>
    <w:rsid w:val="00071A7E"/>
    <w:rsid w:val="000746C0"/>
    <w:rsid w:val="0007473F"/>
    <w:rsid w:val="000747FB"/>
    <w:rsid w:val="00074D1D"/>
    <w:rsid w:val="00080A96"/>
    <w:rsid w:val="00081683"/>
    <w:rsid w:val="00081F3E"/>
    <w:rsid w:val="0008619C"/>
    <w:rsid w:val="00087721"/>
    <w:rsid w:val="00092140"/>
    <w:rsid w:val="00092429"/>
    <w:rsid w:val="00092551"/>
    <w:rsid w:val="00092580"/>
    <w:rsid w:val="00093D4D"/>
    <w:rsid w:val="00095090"/>
    <w:rsid w:val="000A3D14"/>
    <w:rsid w:val="000A3F67"/>
    <w:rsid w:val="000A4D99"/>
    <w:rsid w:val="000A5B67"/>
    <w:rsid w:val="000A5D23"/>
    <w:rsid w:val="000B024E"/>
    <w:rsid w:val="000B0381"/>
    <w:rsid w:val="000B24F7"/>
    <w:rsid w:val="000B51C2"/>
    <w:rsid w:val="000B5402"/>
    <w:rsid w:val="000B6374"/>
    <w:rsid w:val="000B6640"/>
    <w:rsid w:val="000C00D4"/>
    <w:rsid w:val="000C2CDE"/>
    <w:rsid w:val="000C3CB0"/>
    <w:rsid w:val="000C4CC2"/>
    <w:rsid w:val="000D4BC9"/>
    <w:rsid w:val="000D4FEC"/>
    <w:rsid w:val="000D533F"/>
    <w:rsid w:val="000D5D94"/>
    <w:rsid w:val="000E3A77"/>
    <w:rsid w:val="000F150E"/>
    <w:rsid w:val="000F1A0E"/>
    <w:rsid w:val="000F2EDF"/>
    <w:rsid w:val="000F4BBB"/>
    <w:rsid w:val="000F5802"/>
    <w:rsid w:val="0010028C"/>
    <w:rsid w:val="001002BE"/>
    <w:rsid w:val="00100617"/>
    <w:rsid w:val="00100A16"/>
    <w:rsid w:val="00100ED5"/>
    <w:rsid w:val="001069F9"/>
    <w:rsid w:val="00106C24"/>
    <w:rsid w:val="001107AD"/>
    <w:rsid w:val="00110CE1"/>
    <w:rsid w:val="00111206"/>
    <w:rsid w:val="00111277"/>
    <w:rsid w:val="00111800"/>
    <w:rsid w:val="0011268F"/>
    <w:rsid w:val="0011302C"/>
    <w:rsid w:val="00114C50"/>
    <w:rsid w:val="001165A7"/>
    <w:rsid w:val="00120A12"/>
    <w:rsid w:val="001216B3"/>
    <w:rsid w:val="00121A51"/>
    <w:rsid w:val="001222AE"/>
    <w:rsid w:val="0012441E"/>
    <w:rsid w:val="00124BCD"/>
    <w:rsid w:val="001263DC"/>
    <w:rsid w:val="00130ED4"/>
    <w:rsid w:val="00131F64"/>
    <w:rsid w:val="00132902"/>
    <w:rsid w:val="00135190"/>
    <w:rsid w:val="0014139C"/>
    <w:rsid w:val="001430C7"/>
    <w:rsid w:val="00144A8F"/>
    <w:rsid w:val="0014653D"/>
    <w:rsid w:val="00150FAE"/>
    <w:rsid w:val="00151509"/>
    <w:rsid w:val="001521D5"/>
    <w:rsid w:val="00161D7A"/>
    <w:rsid w:val="00162CB6"/>
    <w:rsid w:val="00166E37"/>
    <w:rsid w:val="00167D3A"/>
    <w:rsid w:val="00173946"/>
    <w:rsid w:val="00174D95"/>
    <w:rsid w:val="0017679A"/>
    <w:rsid w:val="00176B08"/>
    <w:rsid w:val="00183704"/>
    <w:rsid w:val="00192B0C"/>
    <w:rsid w:val="001971C8"/>
    <w:rsid w:val="001A152E"/>
    <w:rsid w:val="001A19A9"/>
    <w:rsid w:val="001A2558"/>
    <w:rsid w:val="001A3082"/>
    <w:rsid w:val="001B091F"/>
    <w:rsid w:val="001B186A"/>
    <w:rsid w:val="001B2F75"/>
    <w:rsid w:val="001B5021"/>
    <w:rsid w:val="001B5840"/>
    <w:rsid w:val="001B6A67"/>
    <w:rsid w:val="001B768F"/>
    <w:rsid w:val="001C3235"/>
    <w:rsid w:val="001C3B00"/>
    <w:rsid w:val="001C5143"/>
    <w:rsid w:val="001D597A"/>
    <w:rsid w:val="001F245E"/>
    <w:rsid w:val="001F2716"/>
    <w:rsid w:val="00200BD4"/>
    <w:rsid w:val="00202B80"/>
    <w:rsid w:val="00203467"/>
    <w:rsid w:val="002035ED"/>
    <w:rsid w:val="00206D4A"/>
    <w:rsid w:val="00207617"/>
    <w:rsid w:val="00211DB2"/>
    <w:rsid w:val="0021618E"/>
    <w:rsid w:val="002165E3"/>
    <w:rsid w:val="00217865"/>
    <w:rsid w:val="00220534"/>
    <w:rsid w:val="00224D49"/>
    <w:rsid w:val="0023134B"/>
    <w:rsid w:val="002328F9"/>
    <w:rsid w:val="00232F38"/>
    <w:rsid w:val="002367B0"/>
    <w:rsid w:val="00236A9B"/>
    <w:rsid w:val="002376E5"/>
    <w:rsid w:val="00237E12"/>
    <w:rsid w:val="00243EF7"/>
    <w:rsid w:val="00244284"/>
    <w:rsid w:val="00251979"/>
    <w:rsid w:val="00251A86"/>
    <w:rsid w:val="00253110"/>
    <w:rsid w:val="00253D70"/>
    <w:rsid w:val="002540F1"/>
    <w:rsid w:val="00254DBC"/>
    <w:rsid w:val="002552A0"/>
    <w:rsid w:val="00256EEF"/>
    <w:rsid w:val="00257BA7"/>
    <w:rsid w:val="00262314"/>
    <w:rsid w:val="002630D9"/>
    <w:rsid w:val="00264D85"/>
    <w:rsid w:val="00266099"/>
    <w:rsid w:val="00267EBB"/>
    <w:rsid w:val="00271A88"/>
    <w:rsid w:val="002809C0"/>
    <w:rsid w:val="00283659"/>
    <w:rsid w:val="00287C9C"/>
    <w:rsid w:val="00287F41"/>
    <w:rsid w:val="002946D1"/>
    <w:rsid w:val="002A5013"/>
    <w:rsid w:val="002A78E2"/>
    <w:rsid w:val="002B342D"/>
    <w:rsid w:val="002B4651"/>
    <w:rsid w:val="002C6BD4"/>
    <w:rsid w:val="002D083B"/>
    <w:rsid w:val="002D0E6D"/>
    <w:rsid w:val="002D56FD"/>
    <w:rsid w:val="002D68BF"/>
    <w:rsid w:val="002D6C34"/>
    <w:rsid w:val="002E5563"/>
    <w:rsid w:val="002E7EA9"/>
    <w:rsid w:val="002F0889"/>
    <w:rsid w:val="002F0F14"/>
    <w:rsid w:val="002F6B98"/>
    <w:rsid w:val="002F7BBB"/>
    <w:rsid w:val="00300D36"/>
    <w:rsid w:val="00300EFA"/>
    <w:rsid w:val="00303BAF"/>
    <w:rsid w:val="00311690"/>
    <w:rsid w:val="00321375"/>
    <w:rsid w:val="00322667"/>
    <w:rsid w:val="003257CA"/>
    <w:rsid w:val="0033418E"/>
    <w:rsid w:val="003343B2"/>
    <w:rsid w:val="003353CA"/>
    <w:rsid w:val="00335737"/>
    <w:rsid w:val="00336CBF"/>
    <w:rsid w:val="00343FE3"/>
    <w:rsid w:val="0034796B"/>
    <w:rsid w:val="00353B0E"/>
    <w:rsid w:val="003546C8"/>
    <w:rsid w:val="003626A1"/>
    <w:rsid w:val="00363410"/>
    <w:rsid w:val="00365F16"/>
    <w:rsid w:val="00367006"/>
    <w:rsid w:val="0037519F"/>
    <w:rsid w:val="00376618"/>
    <w:rsid w:val="00376763"/>
    <w:rsid w:val="00384588"/>
    <w:rsid w:val="00384748"/>
    <w:rsid w:val="003858AD"/>
    <w:rsid w:val="003863F7"/>
    <w:rsid w:val="00390A01"/>
    <w:rsid w:val="003934BF"/>
    <w:rsid w:val="00394E67"/>
    <w:rsid w:val="00395C30"/>
    <w:rsid w:val="003A0375"/>
    <w:rsid w:val="003A161B"/>
    <w:rsid w:val="003A3006"/>
    <w:rsid w:val="003A5872"/>
    <w:rsid w:val="003A7CF2"/>
    <w:rsid w:val="003B2383"/>
    <w:rsid w:val="003C4B31"/>
    <w:rsid w:val="003C5CE5"/>
    <w:rsid w:val="003D3F1E"/>
    <w:rsid w:val="003D461D"/>
    <w:rsid w:val="003D549E"/>
    <w:rsid w:val="003D5A1C"/>
    <w:rsid w:val="003E015F"/>
    <w:rsid w:val="003E267B"/>
    <w:rsid w:val="003E3C30"/>
    <w:rsid w:val="003E7CC8"/>
    <w:rsid w:val="003E7CD1"/>
    <w:rsid w:val="003F355E"/>
    <w:rsid w:val="003F4C61"/>
    <w:rsid w:val="00400304"/>
    <w:rsid w:val="00401DA1"/>
    <w:rsid w:val="00402B9E"/>
    <w:rsid w:val="004049B4"/>
    <w:rsid w:val="00404A69"/>
    <w:rsid w:val="00404B61"/>
    <w:rsid w:val="00411554"/>
    <w:rsid w:val="00414344"/>
    <w:rsid w:val="00415CC5"/>
    <w:rsid w:val="00416402"/>
    <w:rsid w:val="00416CB7"/>
    <w:rsid w:val="00420216"/>
    <w:rsid w:val="00422E2C"/>
    <w:rsid w:val="00422F28"/>
    <w:rsid w:val="004249CB"/>
    <w:rsid w:val="00426363"/>
    <w:rsid w:val="00431935"/>
    <w:rsid w:val="00433ABB"/>
    <w:rsid w:val="0044127D"/>
    <w:rsid w:val="00443BB9"/>
    <w:rsid w:val="00444316"/>
    <w:rsid w:val="004448DB"/>
    <w:rsid w:val="004458F2"/>
    <w:rsid w:val="00446305"/>
    <w:rsid w:val="00446C9A"/>
    <w:rsid w:val="00447988"/>
    <w:rsid w:val="00451B2C"/>
    <w:rsid w:val="00451D01"/>
    <w:rsid w:val="00452F2B"/>
    <w:rsid w:val="0045568B"/>
    <w:rsid w:val="0045792A"/>
    <w:rsid w:val="0046060F"/>
    <w:rsid w:val="00464DE1"/>
    <w:rsid w:val="004672C1"/>
    <w:rsid w:val="00471E3C"/>
    <w:rsid w:val="00473BE7"/>
    <w:rsid w:val="00475296"/>
    <w:rsid w:val="004770D9"/>
    <w:rsid w:val="00477193"/>
    <w:rsid w:val="00484940"/>
    <w:rsid w:val="004931D1"/>
    <w:rsid w:val="004A00B4"/>
    <w:rsid w:val="004A1848"/>
    <w:rsid w:val="004A1985"/>
    <w:rsid w:val="004A34EE"/>
    <w:rsid w:val="004A6F4A"/>
    <w:rsid w:val="004B2449"/>
    <w:rsid w:val="004B5275"/>
    <w:rsid w:val="004B66BF"/>
    <w:rsid w:val="004B7E8C"/>
    <w:rsid w:val="004C1D93"/>
    <w:rsid w:val="004C5D11"/>
    <w:rsid w:val="004C6EC3"/>
    <w:rsid w:val="004D2DB1"/>
    <w:rsid w:val="004E1E3A"/>
    <w:rsid w:val="004E2D4A"/>
    <w:rsid w:val="004E4717"/>
    <w:rsid w:val="004E55A1"/>
    <w:rsid w:val="004E68C7"/>
    <w:rsid w:val="004F136B"/>
    <w:rsid w:val="004F3592"/>
    <w:rsid w:val="004F55F8"/>
    <w:rsid w:val="004F672C"/>
    <w:rsid w:val="004F74EC"/>
    <w:rsid w:val="005016E0"/>
    <w:rsid w:val="0050334D"/>
    <w:rsid w:val="0050388A"/>
    <w:rsid w:val="00505004"/>
    <w:rsid w:val="00506EC1"/>
    <w:rsid w:val="00507FEC"/>
    <w:rsid w:val="00510339"/>
    <w:rsid w:val="00510F0E"/>
    <w:rsid w:val="00511050"/>
    <w:rsid w:val="0051653A"/>
    <w:rsid w:val="00516A49"/>
    <w:rsid w:val="005171BD"/>
    <w:rsid w:val="00524999"/>
    <w:rsid w:val="00536F43"/>
    <w:rsid w:val="00537E50"/>
    <w:rsid w:val="005420FD"/>
    <w:rsid w:val="00543D39"/>
    <w:rsid w:val="00544312"/>
    <w:rsid w:val="00547222"/>
    <w:rsid w:val="005473D4"/>
    <w:rsid w:val="005479E1"/>
    <w:rsid w:val="005513C9"/>
    <w:rsid w:val="00553E0A"/>
    <w:rsid w:val="005549D1"/>
    <w:rsid w:val="00556B0D"/>
    <w:rsid w:val="005570FD"/>
    <w:rsid w:val="005575EA"/>
    <w:rsid w:val="005611D9"/>
    <w:rsid w:val="005630AD"/>
    <w:rsid w:val="0056365B"/>
    <w:rsid w:val="00565359"/>
    <w:rsid w:val="005661A7"/>
    <w:rsid w:val="0056624B"/>
    <w:rsid w:val="00571979"/>
    <w:rsid w:val="00572EBE"/>
    <w:rsid w:val="0057790C"/>
    <w:rsid w:val="0058001A"/>
    <w:rsid w:val="00590558"/>
    <w:rsid w:val="00590C81"/>
    <w:rsid w:val="00593795"/>
    <w:rsid w:val="00595102"/>
    <w:rsid w:val="00596130"/>
    <w:rsid w:val="0059783B"/>
    <w:rsid w:val="005A11EA"/>
    <w:rsid w:val="005A6895"/>
    <w:rsid w:val="005A75FF"/>
    <w:rsid w:val="005B1502"/>
    <w:rsid w:val="005B32A2"/>
    <w:rsid w:val="005B7413"/>
    <w:rsid w:val="005C2B9C"/>
    <w:rsid w:val="005C720F"/>
    <w:rsid w:val="005D0062"/>
    <w:rsid w:val="005D10AB"/>
    <w:rsid w:val="005D603D"/>
    <w:rsid w:val="005E34E2"/>
    <w:rsid w:val="005E3B61"/>
    <w:rsid w:val="005F3EB4"/>
    <w:rsid w:val="005F7557"/>
    <w:rsid w:val="006016B9"/>
    <w:rsid w:val="00601D8F"/>
    <w:rsid w:val="00602C67"/>
    <w:rsid w:val="00602FB3"/>
    <w:rsid w:val="0060435A"/>
    <w:rsid w:val="00604A30"/>
    <w:rsid w:val="00606611"/>
    <w:rsid w:val="00610B20"/>
    <w:rsid w:val="00610F29"/>
    <w:rsid w:val="0062078F"/>
    <w:rsid w:val="00623A8F"/>
    <w:rsid w:val="00627B05"/>
    <w:rsid w:val="0063325D"/>
    <w:rsid w:val="00635584"/>
    <w:rsid w:val="00636BB7"/>
    <w:rsid w:val="006408F7"/>
    <w:rsid w:val="00640B44"/>
    <w:rsid w:val="00643D0C"/>
    <w:rsid w:val="00643F31"/>
    <w:rsid w:val="00646D54"/>
    <w:rsid w:val="006479DD"/>
    <w:rsid w:val="00652381"/>
    <w:rsid w:val="00653E97"/>
    <w:rsid w:val="00654550"/>
    <w:rsid w:val="006619BC"/>
    <w:rsid w:val="00662374"/>
    <w:rsid w:val="006705BC"/>
    <w:rsid w:val="00672884"/>
    <w:rsid w:val="0067578D"/>
    <w:rsid w:val="00681052"/>
    <w:rsid w:val="00683355"/>
    <w:rsid w:val="00684A74"/>
    <w:rsid w:val="0068707D"/>
    <w:rsid w:val="00690B8A"/>
    <w:rsid w:val="00693BA8"/>
    <w:rsid w:val="0069644F"/>
    <w:rsid w:val="006A66D6"/>
    <w:rsid w:val="006A7988"/>
    <w:rsid w:val="006B2C82"/>
    <w:rsid w:val="006B3E15"/>
    <w:rsid w:val="006B4BC6"/>
    <w:rsid w:val="006C0A52"/>
    <w:rsid w:val="006C2275"/>
    <w:rsid w:val="006C32C5"/>
    <w:rsid w:val="006C39F3"/>
    <w:rsid w:val="006C5055"/>
    <w:rsid w:val="006C7066"/>
    <w:rsid w:val="006D091B"/>
    <w:rsid w:val="006D5842"/>
    <w:rsid w:val="006E47C4"/>
    <w:rsid w:val="006F0FE2"/>
    <w:rsid w:val="006F2CF1"/>
    <w:rsid w:val="006F4196"/>
    <w:rsid w:val="006F73F1"/>
    <w:rsid w:val="00701A03"/>
    <w:rsid w:val="00702792"/>
    <w:rsid w:val="00702B91"/>
    <w:rsid w:val="00703184"/>
    <w:rsid w:val="007038ED"/>
    <w:rsid w:val="00703BC3"/>
    <w:rsid w:val="00704B61"/>
    <w:rsid w:val="007055DC"/>
    <w:rsid w:val="00705AFB"/>
    <w:rsid w:val="007105EC"/>
    <w:rsid w:val="0071667D"/>
    <w:rsid w:val="00724968"/>
    <w:rsid w:val="00725575"/>
    <w:rsid w:val="007276FF"/>
    <w:rsid w:val="007326A3"/>
    <w:rsid w:val="007406AD"/>
    <w:rsid w:val="00744073"/>
    <w:rsid w:val="007441C9"/>
    <w:rsid w:val="00745C27"/>
    <w:rsid w:val="00747519"/>
    <w:rsid w:val="007552A9"/>
    <w:rsid w:val="00761858"/>
    <w:rsid w:val="00766BD0"/>
    <w:rsid w:val="00767019"/>
    <w:rsid w:val="00767D59"/>
    <w:rsid w:val="00772B71"/>
    <w:rsid w:val="007736D2"/>
    <w:rsid w:val="00774905"/>
    <w:rsid w:val="00775948"/>
    <w:rsid w:val="00776E97"/>
    <w:rsid w:val="0077734B"/>
    <w:rsid w:val="00780F86"/>
    <w:rsid w:val="00782593"/>
    <w:rsid w:val="007827A0"/>
    <w:rsid w:val="00787AC3"/>
    <w:rsid w:val="007912AD"/>
    <w:rsid w:val="0079216A"/>
    <w:rsid w:val="00792CD8"/>
    <w:rsid w:val="007A0794"/>
    <w:rsid w:val="007A5C26"/>
    <w:rsid w:val="007A6F19"/>
    <w:rsid w:val="007A775D"/>
    <w:rsid w:val="007B072B"/>
    <w:rsid w:val="007B0824"/>
    <w:rsid w:val="007B0DDF"/>
    <w:rsid w:val="007B2BD6"/>
    <w:rsid w:val="007B4374"/>
    <w:rsid w:val="007B5330"/>
    <w:rsid w:val="007B5D3C"/>
    <w:rsid w:val="007B6FBE"/>
    <w:rsid w:val="007C0095"/>
    <w:rsid w:val="007C57EC"/>
    <w:rsid w:val="007C6FA5"/>
    <w:rsid w:val="007C703A"/>
    <w:rsid w:val="007D4375"/>
    <w:rsid w:val="007D63FF"/>
    <w:rsid w:val="007E2895"/>
    <w:rsid w:val="007E66C2"/>
    <w:rsid w:val="007E6B37"/>
    <w:rsid w:val="007F2534"/>
    <w:rsid w:val="007F339D"/>
    <w:rsid w:val="00804815"/>
    <w:rsid w:val="00806A73"/>
    <w:rsid w:val="0080713D"/>
    <w:rsid w:val="008116D3"/>
    <w:rsid w:val="00812258"/>
    <w:rsid w:val="008130CE"/>
    <w:rsid w:val="00813153"/>
    <w:rsid w:val="00813B27"/>
    <w:rsid w:val="00814178"/>
    <w:rsid w:val="00821B72"/>
    <w:rsid w:val="00823EF2"/>
    <w:rsid w:val="00826B2A"/>
    <w:rsid w:val="00827025"/>
    <w:rsid w:val="008303B8"/>
    <w:rsid w:val="00830810"/>
    <w:rsid w:val="00831918"/>
    <w:rsid w:val="00831E27"/>
    <w:rsid w:val="00833D8D"/>
    <w:rsid w:val="00833DCE"/>
    <w:rsid w:val="00841072"/>
    <w:rsid w:val="008469D0"/>
    <w:rsid w:val="00847259"/>
    <w:rsid w:val="008478F6"/>
    <w:rsid w:val="008516F1"/>
    <w:rsid w:val="008537F9"/>
    <w:rsid w:val="00854534"/>
    <w:rsid w:val="00854894"/>
    <w:rsid w:val="008566D0"/>
    <w:rsid w:val="0086738E"/>
    <w:rsid w:val="00870C6D"/>
    <w:rsid w:val="00871063"/>
    <w:rsid w:val="00871D34"/>
    <w:rsid w:val="00874D45"/>
    <w:rsid w:val="0087528C"/>
    <w:rsid w:val="00876CE4"/>
    <w:rsid w:val="00877198"/>
    <w:rsid w:val="00877840"/>
    <w:rsid w:val="00881860"/>
    <w:rsid w:val="00886247"/>
    <w:rsid w:val="00891016"/>
    <w:rsid w:val="00891392"/>
    <w:rsid w:val="0089348F"/>
    <w:rsid w:val="00893C98"/>
    <w:rsid w:val="00897C8C"/>
    <w:rsid w:val="008A2695"/>
    <w:rsid w:val="008A7E3E"/>
    <w:rsid w:val="008B19F6"/>
    <w:rsid w:val="008B270C"/>
    <w:rsid w:val="008B2F0F"/>
    <w:rsid w:val="008B5078"/>
    <w:rsid w:val="008C12BC"/>
    <w:rsid w:val="008C3D3D"/>
    <w:rsid w:val="008C7EDB"/>
    <w:rsid w:val="008D0CA8"/>
    <w:rsid w:val="008D1135"/>
    <w:rsid w:val="008D4131"/>
    <w:rsid w:val="008D5E37"/>
    <w:rsid w:val="008E0286"/>
    <w:rsid w:val="008E3AB1"/>
    <w:rsid w:val="008E7B93"/>
    <w:rsid w:val="008F1932"/>
    <w:rsid w:val="008F1BDC"/>
    <w:rsid w:val="008F48D0"/>
    <w:rsid w:val="008F4C67"/>
    <w:rsid w:val="008F6382"/>
    <w:rsid w:val="008F6C0F"/>
    <w:rsid w:val="00901A46"/>
    <w:rsid w:val="0091006C"/>
    <w:rsid w:val="009104AA"/>
    <w:rsid w:val="0091094A"/>
    <w:rsid w:val="00920EC0"/>
    <w:rsid w:val="00921062"/>
    <w:rsid w:val="00921E1F"/>
    <w:rsid w:val="00922444"/>
    <w:rsid w:val="009237F4"/>
    <w:rsid w:val="009239B0"/>
    <w:rsid w:val="00924D93"/>
    <w:rsid w:val="009276B8"/>
    <w:rsid w:val="0093143D"/>
    <w:rsid w:val="00932029"/>
    <w:rsid w:val="00935162"/>
    <w:rsid w:val="00943D1C"/>
    <w:rsid w:val="00947565"/>
    <w:rsid w:val="00950F7D"/>
    <w:rsid w:val="009530C8"/>
    <w:rsid w:val="00953E15"/>
    <w:rsid w:val="00956C43"/>
    <w:rsid w:val="009604E6"/>
    <w:rsid w:val="00961434"/>
    <w:rsid w:val="009617A1"/>
    <w:rsid w:val="00963E6D"/>
    <w:rsid w:val="00963ED3"/>
    <w:rsid w:val="00963F7F"/>
    <w:rsid w:val="00965C3E"/>
    <w:rsid w:val="00966903"/>
    <w:rsid w:val="00967F60"/>
    <w:rsid w:val="00970C58"/>
    <w:rsid w:val="009722BC"/>
    <w:rsid w:val="009727A3"/>
    <w:rsid w:val="00974225"/>
    <w:rsid w:val="009771B1"/>
    <w:rsid w:val="00980665"/>
    <w:rsid w:val="00984B68"/>
    <w:rsid w:val="00984E64"/>
    <w:rsid w:val="00987774"/>
    <w:rsid w:val="0099516E"/>
    <w:rsid w:val="00996E53"/>
    <w:rsid w:val="009A11E8"/>
    <w:rsid w:val="009A244B"/>
    <w:rsid w:val="009A6060"/>
    <w:rsid w:val="009B0A37"/>
    <w:rsid w:val="009B443B"/>
    <w:rsid w:val="009B7433"/>
    <w:rsid w:val="009C0687"/>
    <w:rsid w:val="009C4BB8"/>
    <w:rsid w:val="009C5AED"/>
    <w:rsid w:val="009D1EA3"/>
    <w:rsid w:val="009D341B"/>
    <w:rsid w:val="009D423D"/>
    <w:rsid w:val="009D6AC9"/>
    <w:rsid w:val="009E2C07"/>
    <w:rsid w:val="009E5625"/>
    <w:rsid w:val="009E7D56"/>
    <w:rsid w:val="009F30E3"/>
    <w:rsid w:val="009F45F1"/>
    <w:rsid w:val="009F48DE"/>
    <w:rsid w:val="009F4E19"/>
    <w:rsid w:val="009F5220"/>
    <w:rsid w:val="009F6F01"/>
    <w:rsid w:val="009F7540"/>
    <w:rsid w:val="00A0236C"/>
    <w:rsid w:val="00A03148"/>
    <w:rsid w:val="00A03835"/>
    <w:rsid w:val="00A072D8"/>
    <w:rsid w:val="00A11735"/>
    <w:rsid w:val="00A11B3C"/>
    <w:rsid w:val="00A13119"/>
    <w:rsid w:val="00A14F1F"/>
    <w:rsid w:val="00A15234"/>
    <w:rsid w:val="00A15324"/>
    <w:rsid w:val="00A201AB"/>
    <w:rsid w:val="00A22C23"/>
    <w:rsid w:val="00A2642D"/>
    <w:rsid w:val="00A270E7"/>
    <w:rsid w:val="00A31C8B"/>
    <w:rsid w:val="00A32CD1"/>
    <w:rsid w:val="00A405F3"/>
    <w:rsid w:val="00A40BC5"/>
    <w:rsid w:val="00A45386"/>
    <w:rsid w:val="00A46E02"/>
    <w:rsid w:val="00A509FA"/>
    <w:rsid w:val="00A53185"/>
    <w:rsid w:val="00A54BD6"/>
    <w:rsid w:val="00A564E3"/>
    <w:rsid w:val="00A575DA"/>
    <w:rsid w:val="00A57B5D"/>
    <w:rsid w:val="00A6017F"/>
    <w:rsid w:val="00A61FE2"/>
    <w:rsid w:val="00A63F37"/>
    <w:rsid w:val="00A6486B"/>
    <w:rsid w:val="00A659B5"/>
    <w:rsid w:val="00A743D3"/>
    <w:rsid w:val="00A74DDB"/>
    <w:rsid w:val="00A759FF"/>
    <w:rsid w:val="00A75BCD"/>
    <w:rsid w:val="00A80595"/>
    <w:rsid w:val="00A82254"/>
    <w:rsid w:val="00A845DC"/>
    <w:rsid w:val="00A872EE"/>
    <w:rsid w:val="00A87FDC"/>
    <w:rsid w:val="00A92942"/>
    <w:rsid w:val="00A96337"/>
    <w:rsid w:val="00A9637E"/>
    <w:rsid w:val="00AA14AD"/>
    <w:rsid w:val="00AA3E75"/>
    <w:rsid w:val="00AA557A"/>
    <w:rsid w:val="00AA708B"/>
    <w:rsid w:val="00AA77BE"/>
    <w:rsid w:val="00AB0C35"/>
    <w:rsid w:val="00AB2059"/>
    <w:rsid w:val="00AB20E4"/>
    <w:rsid w:val="00AB6E47"/>
    <w:rsid w:val="00AC217A"/>
    <w:rsid w:val="00AC6CDD"/>
    <w:rsid w:val="00AD0791"/>
    <w:rsid w:val="00AD5231"/>
    <w:rsid w:val="00AD7BB2"/>
    <w:rsid w:val="00AE1861"/>
    <w:rsid w:val="00AE47FD"/>
    <w:rsid w:val="00AE68F6"/>
    <w:rsid w:val="00AE6DDE"/>
    <w:rsid w:val="00AE7D0A"/>
    <w:rsid w:val="00AE7D4D"/>
    <w:rsid w:val="00AF2A1E"/>
    <w:rsid w:val="00AF6109"/>
    <w:rsid w:val="00B03D62"/>
    <w:rsid w:val="00B04B47"/>
    <w:rsid w:val="00B04BD3"/>
    <w:rsid w:val="00B06AA4"/>
    <w:rsid w:val="00B14A0F"/>
    <w:rsid w:val="00B14DB5"/>
    <w:rsid w:val="00B25CB9"/>
    <w:rsid w:val="00B264DB"/>
    <w:rsid w:val="00B26AA2"/>
    <w:rsid w:val="00B30647"/>
    <w:rsid w:val="00B320C1"/>
    <w:rsid w:val="00B34549"/>
    <w:rsid w:val="00B3524D"/>
    <w:rsid w:val="00B354CC"/>
    <w:rsid w:val="00B40426"/>
    <w:rsid w:val="00B40F69"/>
    <w:rsid w:val="00B40FFF"/>
    <w:rsid w:val="00B45FF6"/>
    <w:rsid w:val="00B46616"/>
    <w:rsid w:val="00B478BC"/>
    <w:rsid w:val="00B50946"/>
    <w:rsid w:val="00B515A8"/>
    <w:rsid w:val="00B5248D"/>
    <w:rsid w:val="00B53153"/>
    <w:rsid w:val="00B601E0"/>
    <w:rsid w:val="00B62149"/>
    <w:rsid w:val="00B7040A"/>
    <w:rsid w:val="00B73518"/>
    <w:rsid w:val="00B83391"/>
    <w:rsid w:val="00B84192"/>
    <w:rsid w:val="00B84A71"/>
    <w:rsid w:val="00B87C01"/>
    <w:rsid w:val="00B9285D"/>
    <w:rsid w:val="00B93154"/>
    <w:rsid w:val="00B95324"/>
    <w:rsid w:val="00B95326"/>
    <w:rsid w:val="00B97CED"/>
    <w:rsid w:val="00BA295F"/>
    <w:rsid w:val="00BA5CED"/>
    <w:rsid w:val="00BB5234"/>
    <w:rsid w:val="00BB7A60"/>
    <w:rsid w:val="00BB7C68"/>
    <w:rsid w:val="00BC042A"/>
    <w:rsid w:val="00BC4BC7"/>
    <w:rsid w:val="00BD4196"/>
    <w:rsid w:val="00BE0FBA"/>
    <w:rsid w:val="00BE10F9"/>
    <w:rsid w:val="00BE25B4"/>
    <w:rsid w:val="00BE2D7D"/>
    <w:rsid w:val="00BE6E17"/>
    <w:rsid w:val="00BE7A5D"/>
    <w:rsid w:val="00BF023D"/>
    <w:rsid w:val="00BF0444"/>
    <w:rsid w:val="00BF0B68"/>
    <w:rsid w:val="00BF21F8"/>
    <w:rsid w:val="00BF22CA"/>
    <w:rsid w:val="00BF23BB"/>
    <w:rsid w:val="00BF4F4A"/>
    <w:rsid w:val="00BF55CC"/>
    <w:rsid w:val="00BF66E5"/>
    <w:rsid w:val="00BF6E43"/>
    <w:rsid w:val="00C00C8D"/>
    <w:rsid w:val="00C01EEF"/>
    <w:rsid w:val="00C027FD"/>
    <w:rsid w:val="00C06CD7"/>
    <w:rsid w:val="00C0730D"/>
    <w:rsid w:val="00C10F81"/>
    <w:rsid w:val="00C13AB5"/>
    <w:rsid w:val="00C15C10"/>
    <w:rsid w:val="00C17D15"/>
    <w:rsid w:val="00C222E1"/>
    <w:rsid w:val="00C26032"/>
    <w:rsid w:val="00C32F37"/>
    <w:rsid w:val="00C33454"/>
    <w:rsid w:val="00C345E1"/>
    <w:rsid w:val="00C355A8"/>
    <w:rsid w:val="00C43662"/>
    <w:rsid w:val="00C43BFD"/>
    <w:rsid w:val="00C53074"/>
    <w:rsid w:val="00C63FCE"/>
    <w:rsid w:val="00C73380"/>
    <w:rsid w:val="00C74B35"/>
    <w:rsid w:val="00C74BC0"/>
    <w:rsid w:val="00C74C7E"/>
    <w:rsid w:val="00C85E16"/>
    <w:rsid w:val="00C87A30"/>
    <w:rsid w:val="00C942F8"/>
    <w:rsid w:val="00C94635"/>
    <w:rsid w:val="00CA10DE"/>
    <w:rsid w:val="00CA1FE9"/>
    <w:rsid w:val="00CB4AB2"/>
    <w:rsid w:val="00CB5088"/>
    <w:rsid w:val="00CB575C"/>
    <w:rsid w:val="00CB5C75"/>
    <w:rsid w:val="00CB5DF0"/>
    <w:rsid w:val="00CB6CFF"/>
    <w:rsid w:val="00CB6E35"/>
    <w:rsid w:val="00CB703D"/>
    <w:rsid w:val="00CC0103"/>
    <w:rsid w:val="00CC295A"/>
    <w:rsid w:val="00CD3634"/>
    <w:rsid w:val="00CD3B1E"/>
    <w:rsid w:val="00CD3E3A"/>
    <w:rsid w:val="00CD58CE"/>
    <w:rsid w:val="00CD59AC"/>
    <w:rsid w:val="00CD643A"/>
    <w:rsid w:val="00CD64EB"/>
    <w:rsid w:val="00CD6A88"/>
    <w:rsid w:val="00CD7CCB"/>
    <w:rsid w:val="00CE0F47"/>
    <w:rsid w:val="00CE1A46"/>
    <w:rsid w:val="00CE1B9B"/>
    <w:rsid w:val="00CE3602"/>
    <w:rsid w:val="00CE5824"/>
    <w:rsid w:val="00CF20B6"/>
    <w:rsid w:val="00CF674B"/>
    <w:rsid w:val="00CF6875"/>
    <w:rsid w:val="00D01A25"/>
    <w:rsid w:val="00D06C8C"/>
    <w:rsid w:val="00D11C22"/>
    <w:rsid w:val="00D12C56"/>
    <w:rsid w:val="00D20757"/>
    <w:rsid w:val="00D22636"/>
    <w:rsid w:val="00D243FB"/>
    <w:rsid w:val="00D24473"/>
    <w:rsid w:val="00D27055"/>
    <w:rsid w:val="00D33AF2"/>
    <w:rsid w:val="00D351FB"/>
    <w:rsid w:val="00D3569D"/>
    <w:rsid w:val="00D40687"/>
    <w:rsid w:val="00D40FD9"/>
    <w:rsid w:val="00D42BE3"/>
    <w:rsid w:val="00D45631"/>
    <w:rsid w:val="00D46569"/>
    <w:rsid w:val="00D47A43"/>
    <w:rsid w:val="00D53769"/>
    <w:rsid w:val="00D558B3"/>
    <w:rsid w:val="00D56507"/>
    <w:rsid w:val="00D576FD"/>
    <w:rsid w:val="00D57890"/>
    <w:rsid w:val="00D67C17"/>
    <w:rsid w:val="00D72C98"/>
    <w:rsid w:val="00D76EB4"/>
    <w:rsid w:val="00D80907"/>
    <w:rsid w:val="00D8538B"/>
    <w:rsid w:val="00D858C5"/>
    <w:rsid w:val="00D85C13"/>
    <w:rsid w:val="00D87AF7"/>
    <w:rsid w:val="00D9111A"/>
    <w:rsid w:val="00D91BE3"/>
    <w:rsid w:val="00D9291A"/>
    <w:rsid w:val="00D9445B"/>
    <w:rsid w:val="00D94AFC"/>
    <w:rsid w:val="00DA31CD"/>
    <w:rsid w:val="00DA6CDA"/>
    <w:rsid w:val="00DA7299"/>
    <w:rsid w:val="00DB032D"/>
    <w:rsid w:val="00DB0FA2"/>
    <w:rsid w:val="00DB2824"/>
    <w:rsid w:val="00DB4CF2"/>
    <w:rsid w:val="00DB5D21"/>
    <w:rsid w:val="00DB6169"/>
    <w:rsid w:val="00DB70AE"/>
    <w:rsid w:val="00DC0E6B"/>
    <w:rsid w:val="00DC18BD"/>
    <w:rsid w:val="00DC1BD4"/>
    <w:rsid w:val="00DC39E7"/>
    <w:rsid w:val="00DC6179"/>
    <w:rsid w:val="00DC719A"/>
    <w:rsid w:val="00DD12DA"/>
    <w:rsid w:val="00DD1BBC"/>
    <w:rsid w:val="00DD228A"/>
    <w:rsid w:val="00DD4868"/>
    <w:rsid w:val="00DD5071"/>
    <w:rsid w:val="00DD538D"/>
    <w:rsid w:val="00DD5C39"/>
    <w:rsid w:val="00DE6345"/>
    <w:rsid w:val="00DE7DB7"/>
    <w:rsid w:val="00DF01B2"/>
    <w:rsid w:val="00DF09E9"/>
    <w:rsid w:val="00DF0EC0"/>
    <w:rsid w:val="00DF7CE2"/>
    <w:rsid w:val="00E00973"/>
    <w:rsid w:val="00E00A0A"/>
    <w:rsid w:val="00E00BCD"/>
    <w:rsid w:val="00E03875"/>
    <w:rsid w:val="00E04E76"/>
    <w:rsid w:val="00E066DE"/>
    <w:rsid w:val="00E07F57"/>
    <w:rsid w:val="00E12916"/>
    <w:rsid w:val="00E12A21"/>
    <w:rsid w:val="00E142AF"/>
    <w:rsid w:val="00E14498"/>
    <w:rsid w:val="00E14C03"/>
    <w:rsid w:val="00E15B6E"/>
    <w:rsid w:val="00E17463"/>
    <w:rsid w:val="00E17E24"/>
    <w:rsid w:val="00E2235B"/>
    <w:rsid w:val="00E25182"/>
    <w:rsid w:val="00E25D2E"/>
    <w:rsid w:val="00E30683"/>
    <w:rsid w:val="00E4474B"/>
    <w:rsid w:val="00E453D8"/>
    <w:rsid w:val="00E47401"/>
    <w:rsid w:val="00E50BCE"/>
    <w:rsid w:val="00E51F18"/>
    <w:rsid w:val="00E52B70"/>
    <w:rsid w:val="00E574BF"/>
    <w:rsid w:val="00E57959"/>
    <w:rsid w:val="00E61070"/>
    <w:rsid w:val="00E61292"/>
    <w:rsid w:val="00E61AB9"/>
    <w:rsid w:val="00E6313F"/>
    <w:rsid w:val="00E6703A"/>
    <w:rsid w:val="00E67616"/>
    <w:rsid w:val="00E75E86"/>
    <w:rsid w:val="00E7792A"/>
    <w:rsid w:val="00E77C4D"/>
    <w:rsid w:val="00E81D01"/>
    <w:rsid w:val="00E83B41"/>
    <w:rsid w:val="00E841E4"/>
    <w:rsid w:val="00E845A5"/>
    <w:rsid w:val="00E848CE"/>
    <w:rsid w:val="00E85E57"/>
    <w:rsid w:val="00E95E09"/>
    <w:rsid w:val="00E960BA"/>
    <w:rsid w:val="00EA0C3E"/>
    <w:rsid w:val="00EA4A5B"/>
    <w:rsid w:val="00EA4CD3"/>
    <w:rsid w:val="00EA53CE"/>
    <w:rsid w:val="00EB5DB7"/>
    <w:rsid w:val="00EB5FC7"/>
    <w:rsid w:val="00EB71D2"/>
    <w:rsid w:val="00EB772A"/>
    <w:rsid w:val="00EC0100"/>
    <w:rsid w:val="00EC3926"/>
    <w:rsid w:val="00ED345E"/>
    <w:rsid w:val="00ED4DFD"/>
    <w:rsid w:val="00ED5594"/>
    <w:rsid w:val="00ED56AC"/>
    <w:rsid w:val="00ED5C52"/>
    <w:rsid w:val="00ED7C65"/>
    <w:rsid w:val="00EE1E3E"/>
    <w:rsid w:val="00EE2CE1"/>
    <w:rsid w:val="00EE45D8"/>
    <w:rsid w:val="00EF488C"/>
    <w:rsid w:val="00EF49CF"/>
    <w:rsid w:val="00F040D9"/>
    <w:rsid w:val="00F115EC"/>
    <w:rsid w:val="00F15CE3"/>
    <w:rsid w:val="00F179F0"/>
    <w:rsid w:val="00F22EDA"/>
    <w:rsid w:val="00F246FD"/>
    <w:rsid w:val="00F301F6"/>
    <w:rsid w:val="00F344FF"/>
    <w:rsid w:val="00F34B59"/>
    <w:rsid w:val="00F35AD7"/>
    <w:rsid w:val="00F41E63"/>
    <w:rsid w:val="00F4422E"/>
    <w:rsid w:val="00F520ED"/>
    <w:rsid w:val="00F563E7"/>
    <w:rsid w:val="00F5667F"/>
    <w:rsid w:val="00F63267"/>
    <w:rsid w:val="00F6407A"/>
    <w:rsid w:val="00F729E6"/>
    <w:rsid w:val="00F74FA7"/>
    <w:rsid w:val="00F75D7A"/>
    <w:rsid w:val="00F760DA"/>
    <w:rsid w:val="00F76D53"/>
    <w:rsid w:val="00F80407"/>
    <w:rsid w:val="00F84B01"/>
    <w:rsid w:val="00F85BA0"/>
    <w:rsid w:val="00F9081B"/>
    <w:rsid w:val="00F925FA"/>
    <w:rsid w:val="00F9277D"/>
    <w:rsid w:val="00F97364"/>
    <w:rsid w:val="00FA040C"/>
    <w:rsid w:val="00FA1DB5"/>
    <w:rsid w:val="00FA608B"/>
    <w:rsid w:val="00FB05E3"/>
    <w:rsid w:val="00FB2AF9"/>
    <w:rsid w:val="00FB66A9"/>
    <w:rsid w:val="00FB6DB1"/>
    <w:rsid w:val="00FB7CDD"/>
    <w:rsid w:val="00FC244D"/>
    <w:rsid w:val="00FC4DDB"/>
    <w:rsid w:val="00FD3222"/>
    <w:rsid w:val="00FD45E1"/>
    <w:rsid w:val="00FE20E0"/>
    <w:rsid w:val="00FE53D1"/>
    <w:rsid w:val="00FE7A43"/>
    <w:rsid w:val="00FF152B"/>
    <w:rsid w:val="00FF5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FE9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 w:type="paragraph" w:styleId="NormalWeb">
    <w:name w:val="Normal (Web)"/>
    <w:basedOn w:val="Normal"/>
    <w:uiPriority w:val="99"/>
    <w:semiHidden/>
    <w:unhideWhenUsed/>
    <w:rsid w:val="00F9081B"/>
    <w:pPr>
      <w:spacing w:before="100" w:beforeAutospacing="1" w:after="100" w:afterAutospacing="1"/>
    </w:pPr>
  </w:style>
  <w:style w:type="character" w:styleId="UnresolvedMention">
    <w:name w:val="Unresolved Mention"/>
    <w:basedOn w:val="DefaultParagraphFont"/>
    <w:uiPriority w:val="99"/>
    <w:semiHidden/>
    <w:unhideWhenUsed/>
    <w:rsid w:val="0059783B"/>
    <w:rPr>
      <w:color w:val="605E5C"/>
      <w:shd w:val="clear" w:color="auto" w:fill="E1DFDD"/>
    </w:rPr>
  </w:style>
  <w:style w:type="character" w:customStyle="1" w:styleId="ListParagraphChar">
    <w:name w:val="List Paragraph Char"/>
    <w:aliases w:val="Dot pt Char,List Paragraph1 Char,List Paragraph11 Char,Colorful List - Accent 11 Char,Bullet 1 Char,Bullet Points Char,MAIN CONTENT Char"/>
    <w:link w:val="ListParagraph"/>
    <w:uiPriority w:val="34"/>
    <w:locked/>
    <w:rsid w:val="00CF674B"/>
    <w:rPr>
      <w:sz w:val="24"/>
      <w:szCs w:val="24"/>
    </w:rPr>
  </w:style>
  <w:style w:type="paragraph" w:styleId="ListParagraph">
    <w:name w:val="List Paragraph"/>
    <w:aliases w:val="Dot pt,List Paragraph1,List Paragraph11,Colorful List - Accent 11,Bullet 1,Bullet Points,MAIN CONTENT"/>
    <w:basedOn w:val="Normal"/>
    <w:link w:val="ListParagraphChar"/>
    <w:uiPriority w:val="34"/>
    <w:qFormat/>
    <w:rsid w:val="00CF674B"/>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8272">
      <w:bodyDiv w:val="1"/>
      <w:marLeft w:val="0"/>
      <w:marRight w:val="0"/>
      <w:marTop w:val="0"/>
      <w:marBottom w:val="0"/>
      <w:divBdr>
        <w:top w:val="none" w:sz="0" w:space="0" w:color="auto"/>
        <w:left w:val="none" w:sz="0" w:space="0" w:color="auto"/>
        <w:bottom w:val="none" w:sz="0" w:space="0" w:color="auto"/>
        <w:right w:val="none" w:sz="0" w:space="0" w:color="auto"/>
      </w:divBdr>
    </w:div>
    <w:div w:id="115611265">
      <w:bodyDiv w:val="1"/>
      <w:marLeft w:val="0"/>
      <w:marRight w:val="0"/>
      <w:marTop w:val="0"/>
      <w:marBottom w:val="0"/>
      <w:divBdr>
        <w:top w:val="none" w:sz="0" w:space="0" w:color="auto"/>
        <w:left w:val="none" w:sz="0" w:space="0" w:color="auto"/>
        <w:bottom w:val="none" w:sz="0" w:space="0" w:color="auto"/>
        <w:right w:val="none" w:sz="0" w:space="0" w:color="auto"/>
      </w:divBdr>
    </w:div>
    <w:div w:id="155415498">
      <w:bodyDiv w:val="1"/>
      <w:marLeft w:val="0"/>
      <w:marRight w:val="0"/>
      <w:marTop w:val="0"/>
      <w:marBottom w:val="0"/>
      <w:divBdr>
        <w:top w:val="none" w:sz="0" w:space="0" w:color="auto"/>
        <w:left w:val="none" w:sz="0" w:space="0" w:color="auto"/>
        <w:bottom w:val="none" w:sz="0" w:space="0" w:color="auto"/>
        <w:right w:val="none" w:sz="0" w:space="0" w:color="auto"/>
      </w:divBdr>
    </w:div>
    <w:div w:id="166093505">
      <w:bodyDiv w:val="1"/>
      <w:marLeft w:val="0"/>
      <w:marRight w:val="0"/>
      <w:marTop w:val="0"/>
      <w:marBottom w:val="0"/>
      <w:divBdr>
        <w:top w:val="none" w:sz="0" w:space="0" w:color="auto"/>
        <w:left w:val="none" w:sz="0" w:space="0" w:color="auto"/>
        <w:bottom w:val="none" w:sz="0" w:space="0" w:color="auto"/>
        <w:right w:val="none" w:sz="0" w:space="0" w:color="auto"/>
      </w:divBdr>
    </w:div>
    <w:div w:id="211426515">
      <w:bodyDiv w:val="1"/>
      <w:marLeft w:val="0"/>
      <w:marRight w:val="0"/>
      <w:marTop w:val="0"/>
      <w:marBottom w:val="0"/>
      <w:divBdr>
        <w:top w:val="none" w:sz="0" w:space="0" w:color="auto"/>
        <w:left w:val="none" w:sz="0" w:space="0" w:color="auto"/>
        <w:bottom w:val="none" w:sz="0" w:space="0" w:color="auto"/>
        <w:right w:val="none" w:sz="0" w:space="0" w:color="auto"/>
      </w:divBdr>
    </w:div>
    <w:div w:id="250814891">
      <w:marLeft w:val="0"/>
      <w:marRight w:val="0"/>
      <w:marTop w:val="0"/>
      <w:marBottom w:val="0"/>
      <w:divBdr>
        <w:top w:val="none" w:sz="0" w:space="0" w:color="auto"/>
        <w:left w:val="none" w:sz="0" w:space="0" w:color="auto"/>
        <w:bottom w:val="none" w:sz="0" w:space="0" w:color="auto"/>
        <w:right w:val="none" w:sz="0" w:space="0" w:color="auto"/>
      </w:divBdr>
      <w:divsChild>
        <w:div w:id="250814897">
          <w:marLeft w:val="0"/>
          <w:marRight w:val="0"/>
          <w:marTop w:val="0"/>
          <w:marBottom w:val="0"/>
          <w:divBdr>
            <w:top w:val="none" w:sz="0" w:space="0" w:color="auto"/>
            <w:left w:val="none" w:sz="0" w:space="0" w:color="auto"/>
            <w:bottom w:val="none" w:sz="0" w:space="0" w:color="auto"/>
            <w:right w:val="none" w:sz="0" w:space="0" w:color="auto"/>
          </w:divBdr>
          <w:divsChild>
            <w:div w:id="250814898">
              <w:marLeft w:val="0"/>
              <w:marRight w:val="0"/>
              <w:marTop w:val="0"/>
              <w:marBottom w:val="0"/>
              <w:divBdr>
                <w:top w:val="single" w:sz="2" w:space="0" w:color="FFFFFF"/>
                <w:left w:val="single" w:sz="6" w:space="0" w:color="FFFFFF"/>
                <w:bottom w:val="single" w:sz="6" w:space="0" w:color="FFFFFF"/>
                <w:right w:val="single" w:sz="6" w:space="0" w:color="FFFFFF"/>
              </w:divBdr>
              <w:divsChild>
                <w:div w:id="250814899">
                  <w:marLeft w:val="0"/>
                  <w:marRight w:val="0"/>
                  <w:marTop w:val="0"/>
                  <w:marBottom w:val="0"/>
                  <w:divBdr>
                    <w:top w:val="single" w:sz="6" w:space="1" w:color="D3D3D3"/>
                    <w:left w:val="none" w:sz="0" w:space="0" w:color="auto"/>
                    <w:bottom w:val="none" w:sz="0" w:space="0" w:color="auto"/>
                    <w:right w:val="none" w:sz="0" w:space="0" w:color="auto"/>
                  </w:divBdr>
                  <w:divsChild>
                    <w:div w:id="2508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14893">
      <w:marLeft w:val="0"/>
      <w:marRight w:val="0"/>
      <w:marTop w:val="0"/>
      <w:marBottom w:val="0"/>
      <w:divBdr>
        <w:top w:val="none" w:sz="0" w:space="0" w:color="auto"/>
        <w:left w:val="none" w:sz="0" w:space="0" w:color="auto"/>
        <w:bottom w:val="none" w:sz="0" w:space="0" w:color="auto"/>
        <w:right w:val="none" w:sz="0" w:space="0" w:color="auto"/>
      </w:divBdr>
    </w:div>
    <w:div w:id="250814894">
      <w:marLeft w:val="0"/>
      <w:marRight w:val="0"/>
      <w:marTop w:val="0"/>
      <w:marBottom w:val="0"/>
      <w:divBdr>
        <w:top w:val="none" w:sz="0" w:space="0" w:color="auto"/>
        <w:left w:val="none" w:sz="0" w:space="0" w:color="auto"/>
        <w:bottom w:val="none" w:sz="0" w:space="0" w:color="auto"/>
        <w:right w:val="none" w:sz="0" w:space="0" w:color="auto"/>
      </w:divBdr>
    </w:div>
    <w:div w:id="250814895">
      <w:marLeft w:val="0"/>
      <w:marRight w:val="0"/>
      <w:marTop w:val="0"/>
      <w:marBottom w:val="0"/>
      <w:divBdr>
        <w:top w:val="none" w:sz="0" w:space="0" w:color="auto"/>
        <w:left w:val="none" w:sz="0" w:space="0" w:color="auto"/>
        <w:bottom w:val="none" w:sz="0" w:space="0" w:color="auto"/>
        <w:right w:val="none" w:sz="0" w:space="0" w:color="auto"/>
      </w:divBdr>
    </w:div>
    <w:div w:id="250814896">
      <w:marLeft w:val="0"/>
      <w:marRight w:val="0"/>
      <w:marTop w:val="0"/>
      <w:marBottom w:val="0"/>
      <w:divBdr>
        <w:top w:val="none" w:sz="0" w:space="0" w:color="auto"/>
        <w:left w:val="none" w:sz="0" w:space="0" w:color="auto"/>
        <w:bottom w:val="none" w:sz="0" w:space="0" w:color="auto"/>
        <w:right w:val="none" w:sz="0" w:space="0" w:color="auto"/>
      </w:divBdr>
    </w:div>
    <w:div w:id="424418998">
      <w:bodyDiv w:val="1"/>
      <w:marLeft w:val="0"/>
      <w:marRight w:val="0"/>
      <w:marTop w:val="0"/>
      <w:marBottom w:val="0"/>
      <w:divBdr>
        <w:top w:val="none" w:sz="0" w:space="0" w:color="auto"/>
        <w:left w:val="none" w:sz="0" w:space="0" w:color="auto"/>
        <w:bottom w:val="none" w:sz="0" w:space="0" w:color="auto"/>
        <w:right w:val="none" w:sz="0" w:space="0" w:color="auto"/>
      </w:divBdr>
    </w:div>
    <w:div w:id="543908683">
      <w:bodyDiv w:val="1"/>
      <w:marLeft w:val="0"/>
      <w:marRight w:val="0"/>
      <w:marTop w:val="0"/>
      <w:marBottom w:val="0"/>
      <w:divBdr>
        <w:top w:val="none" w:sz="0" w:space="0" w:color="auto"/>
        <w:left w:val="none" w:sz="0" w:space="0" w:color="auto"/>
        <w:bottom w:val="none" w:sz="0" w:space="0" w:color="auto"/>
        <w:right w:val="none" w:sz="0" w:space="0" w:color="auto"/>
      </w:divBdr>
    </w:div>
    <w:div w:id="625702787">
      <w:bodyDiv w:val="1"/>
      <w:marLeft w:val="0"/>
      <w:marRight w:val="0"/>
      <w:marTop w:val="0"/>
      <w:marBottom w:val="0"/>
      <w:divBdr>
        <w:top w:val="none" w:sz="0" w:space="0" w:color="auto"/>
        <w:left w:val="none" w:sz="0" w:space="0" w:color="auto"/>
        <w:bottom w:val="none" w:sz="0" w:space="0" w:color="auto"/>
        <w:right w:val="none" w:sz="0" w:space="0" w:color="auto"/>
      </w:divBdr>
    </w:div>
    <w:div w:id="1285423581">
      <w:bodyDiv w:val="1"/>
      <w:marLeft w:val="0"/>
      <w:marRight w:val="0"/>
      <w:marTop w:val="0"/>
      <w:marBottom w:val="0"/>
      <w:divBdr>
        <w:top w:val="none" w:sz="0" w:space="0" w:color="auto"/>
        <w:left w:val="none" w:sz="0" w:space="0" w:color="auto"/>
        <w:bottom w:val="none" w:sz="0" w:space="0" w:color="auto"/>
        <w:right w:val="none" w:sz="0" w:space="0" w:color="auto"/>
      </w:divBdr>
      <w:divsChild>
        <w:div w:id="1124545171">
          <w:marLeft w:val="0"/>
          <w:marRight w:val="0"/>
          <w:marTop w:val="0"/>
          <w:marBottom w:val="0"/>
          <w:divBdr>
            <w:top w:val="none" w:sz="0" w:space="0" w:color="auto"/>
            <w:left w:val="none" w:sz="0" w:space="0" w:color="auto"/>
            <w:bottom w:val="none" w:sz="0" w:space="0" w:color="auto"/>
            <w:right w:val="none" w:sz="0" w:space="0" w:color="auto"/>
          </w:divBdr>
        </w:div>
        <w:div w:id="1455294950">
          <w:marLeft w:val="0"/>
          <w:marRight w:val="0"/>
          <w:marTop w:val="0"/>
          <w:marBottom w:val="0"/>
          <w:divBdr>
            <w:top w:val="none" w:sz="0" w:space="0" w:color="auto"/>
            <w:left w:val="none" w:sz="0" w:space="0" w:color="auto"/>
            <w:bottom w:val="none" w:sz="0" w:space="0" w:color="auto"/>
            <w:right w:val="none" w:sz="0" w:space="0" w:color="auto"/>
          </w:divBdr>
        </w:div>
        <w:div w:id="877472428">
          <w:marLeft w:val="0"/>
          <w:marRight w:val="0"/>
          <w:marTop w:val="0"/>
          <w:marBottom w:val="0"/>
          <w:divBdr>
            <w:top w:val="none" w:sz="0" w:space="0" w:color="auto"/>
            <w:left w:val="none" w:sz="0" w:space="0" w:color="auto"/>
            <w:bottom w:val="none" w:sz="0" w:space="0" w:color="auto"/>
            <w:right w:val="none" w:sz="0" w:space="0" w:color="auto"/>
          </w:divBdr>
        </w:div>
        <w:div w:id="367461689">
          <w:marLeft w:val="0"/>
          <w:marRight w:val="0"/>
          <w:marTop w:val="0"/>
          <w:marBottom w:val="0"/>
          <w:divBdr>
            <w:top w:val="none" w:sz="0" w:space="0" w:color="auto"/>
            <w:left w:val="none" w:sz="0" w:space="0" w:color="auto"/>
            <w:bottom w:val="none" w:sz="0" w:space="0" w:color="auto"/>
            <w:right w:val="none" w:sz="0" w:space="0" w:color="auto"/>
          </w:divBdr>
        </w:div>
        <w:div w:id="1439258002">
          <w:marLeft w:val="0"/>
          <w:marRight w:val="0"/>
          <w:marTop w:val="0"/>
          <w:marBottom w:val="0"/>
          <w:divBdr>
            <w:top w:val="none" w:sz="0" w:space="0" w:color="auto"/>
            <w:left w:val="none" w:sz="0" w:space="0" w:color="auto"/>
            <w:bottom w:val="none" w:sz="0" w:space="0" w:color="auto"/>
            <w:right w:val="none" w:sz="0" w:space="0" w:color="auto"/>
          </w:divBdr>
        </w:div>
        <w:div w:id="1952586770">
          <w:marLeft w:val="0"/>
          <w:marRight w:val="0"/>
          <w:marTop w:val="0"/>
          <w:marBottom w:val="0"/>
          <w:divBdr>
            <w:top w:val="none" w:sz="0" w:space="0" w:color="auto"/>
            <w:left w:val="none" w:sz="0" w:space="0" w:color="auto"/>
            <w:bottom w:val="none" w:sz="0" w:space="0" w:color="auto"/>
            <w:right w:val="none" w:sz="0" w:space="0" w:color="auto"/>
          </w:divBdr>
        </w:div>
        <w:div w:id="1852842085">
          <w:marLeft w:val="0"/>
          <w:marRight w:val="0"/>
          <w:marTop w:val="0"/>
          <w:marBottom w:val="0"/>
          <w:divBdr>
            <w:top w:val="none" w:sz="0" w:space="0" w:color="auto"/>
            <w:left w:val="none" w:sz="0" w:space="0" w:color="auto"/>
            <w:bottom w:val="none" w:sz="0" w:space="0" w:color="auto"/>
            <w:right w:val="none" w:sz="0" w:space="0" w:color="auto"/>
          </w:divBdr>
        </w:div>
        <w:div w:id="1669596952">
          <w:marLeft w:val="0"/>
          <w:marRight w:val="0"/>
          <w:marTop w:val="0"/>
          <w:marBottom w:val="0"/>
          <w:divBdr>
            <w:top w:val="none" w:sz="0" w:space="0" w:color="auto"/>
            <w:left w:val="none" w:sz="0" w:space="0" w:color="auto"/>
            <w:bottom w:val="none" w:sz="0" w:space="0" w:color="auto"/>
            <w:right w:val="none" w:sz="0" w:space="0" w:color="auto"/>
          </w:divBdr>
        </w:div>
        <w:div w:id="450176539">
          <w:marLeft w:val="0"/>
          <w:marRight w:val="0"/>
          <w:marTop w:val="0"/>
          <w:marBottom w:val="0"/>
          <w:divBdr>
            <w:top w:val="none" w:sz="0" w:space="0" w:color="auto"/>
            <w:left w:val="none" w:sz="0" w:space="0" w:color="auto"/>
            <w:bottom w:val="none" w:sz="0" w:space="0" w:color="auto"/>
            <w:right w:val="none" w:sz="0" w:space="0" w:color="auto"/>
          </w:divBdr>
        </w:div>
        <w:div w:id="1937862630">
          <w:marLeft w:val="0"/>
          <w:marRight w:val="0"/>
          <w:marTop w:val="0"/>
          <w:marBottom w:val="0"/>
          <w:divBdr>
            <w:top w:val="none" w:sz="0" w:space="0" w:color="auto"/>
            <w:left w:val="none" w:sz="0" w:space="0" w:color="auto"/>
            <w:bottom w:val="none" w:sz="0" w:space="0" w:color="auto"/>
            <w:right w:val="none" w:sz="0" w:space="0" w:color="auto"/>
          </w:divBdr>
        </w:div>
        <w:div w:id="1684939638">
          <w:marLeft w:val="0"/>
          <w:marRight w:val="0"/>
          <w:marTop w:val="0"/>
          <w:marBottom w:val="0"/>
          <w:divBdr>
            <w:top w:val="none" w:sz="0" w:space="0" w:color="auto"/>
            <w:left w:val="none" w:sz="0" w:space="0" w:color="auto"/>
            <w:bottom w:val="none" w:sz="0" w:space="0" w:color="auto"/>
            <w:right w:val="none" w:sz="0" w:space="0" w:color="auto"/>
          </w:divBdr>
        </w:div>
        <w:div w:id="78521737">
          <w:marLeft w:val="0"/>
          <w:marRight w:val="0"/>
          <w:marTop w:val="0"/>
          <w:marBottom w:val="0"/>
          <w:divBdr>
            <w:top w:val="none" w:sz="0" w:space="0" w:color="auto"/>
            <w:left w:val="none" w:sz="0" w:space="0" w:color="auto"/>
            <w:bottom w:val="none" w:sz="0" w:space="0" w:color="auto"/>
            <w:right w:val="none" w:sz="0" w:space="0" w:color="auto"/>
          </w:divBdr>
        </w:div>
        <w:div w:id="304899436">
          <w:marLeft w:val="0"/>
          <w:marRight w:val="0"/>
          <w:marTop w:val="0"/>
          <w:marBottom w:val="0"/>
          <w:divBdr>
            <w:top w:val="none" w:sz="0" w:space="0" w:color="auto"/>
            <w:left w:val="none" w:sz="0" w:space="0" w:color="auto"/>
            <w:bottom w:val="none" w:sz="0" w:space="0" w:color="auto"/>
            <w:right w:val="none" w:sz="0" w:space="0" w:color="auto"/>
          </w:divBdr>
        </w:div>
        <w:div w:id="268902996">
          <w:marLeft w:val="0"/>
          <w:marRight w:val="0"/>
          <w:marTop w:val="0"/>
          <w:marBottom w:val="0"/>
          <w:divBdr>
            <w:top w:val="none" w:sz="0" w:space="0" w:color="auto"/>
            <w:left w:val="none" w:sz="0" w:space="0" w:color="auto"/>
            <w:bottom w:val="none" w:sz="0" w:space="0" w:color="auto"/>
            <w:right w:val="none" w:sz="0" w:space="0" w:color="auto"/>
          </w:divBdr>
        </w:div>
        <w:div w:id="52511945">
          <w:marLeft w:val="0"/>
          <w:marRight w:val="0"/>
          <w:marTop w:val="0"/>
          <w:marBottom w:val="0"/>
          <w:divBdr>
            <w:top w:val="none" w:sz="0" w:space="0" w:color="auto"/>
            <w:left w:val="none" w:sz="0" w:space="0" w:color="auto"/>
            <w:bottom w:val="none" w:sz="0" w:space="0" w:color="auto"/>
            <w:right w:val="none" w:sz="0" w:space="0" w:color="auto"/>
          </w:divBdr>
        </w:div>
        <w:div w:id="1952470065">
          <w:marLeft w:val="0"/>
          <w:marRight w:val="0"/>
          <w:marTop w:val="0"/>
          <w:marBottom w:val="0"/>
          <w:divBdr>
            <w:top w:val="none" w:sz="0" w:space="0" w:color="auto"/>
            <w:left w:val="none" w:sz="0" w:space="0" w:color="auto"/>
            <w:bottom w:val="none" w:sz="0" w:space="0" w:color="auto"/>
            <w:right w:val="none" w:sz="0" w:space="0" w:color="auto"/>
          </w:divBdr>
        </w:div>
        <w:div w:id="45878938">
          <w:marLeft w:val="0"/>
          <w:marRight w:val="0"/>
          <w:marTop w:val="0"/>
          <w:marBottom w:val="0"/>
          <w:divBdr>
            <w:top w:val="none" w:sz="0" w:space="0" w:color="auto"/>
            <w:left w:val="none" w:sz="0" w:space="0" w:color="auto"/>
            <w:bottom w:val="none" w:sz="0" w:space="0" w:color="auto"/>
            <w:right w:val="none" w:sz="0" w:space="0" w:color="auto"/>
          </w:divBdr>
        </w:div>
        <w:div w:id="1182477375">
          <w:marLeft w:val="0"/>
          <w:marRight w:val="0"/>
          <w:marTop w:val="0"/>
          <w:marBottom w:val="0"/>
          <w:divBdr>
            <w:top w:val="none" w:sz="0" w:space="0" w:color="auto"/>
            <w:left w:val="none" w:sz="0" w:space="0" w:color="auto"/>
            <w:bottom w:val="none" w:sz="0" w:space="0" w:color="auto"/>
            <w:right w:val="none" w:sz="0" w:space="0" w:color="auto"/>
          </w:divBdr>
        </w:div>
        <w:div w:id="2095272956">
          <w:marLeft w:val="0"/>
          <w:marRight w:val="0"/>
          <w:marTop w:val="0"/>
          <w:marBottom w:val="0"/>
          <w:divBdr>
            <w:top w:val="none" w:sz="0" w:space="0" w:color="auto"/>
            <w:left w:val="none" w:sz="0" w:space="0" w:color="auto"/>
            <w:bottom w:val="none" w:sz="0" w:space="0" w:color="auto"/>
            <w:right w:val="none" w:sz="0" w:space="0" w:color="auto"/>
          </w:divBdr>
        </w:div>
        <w:div w:id="2085495537">
          <w:marLeft w:val="0"/>
          <w:marRight w:val="0"/>
          <w:marTop w:val="0"/>
          <w:marBottom w:val="0"/>
          <w:divBdr>
            <w:top w:val="none" w:sz="0" w:space="0" w:color="auto"/>
            <w:left w:val="none" w:sz="0" w:space="0" w:color="auto"/>
            <w:bottom w:val="none" w:sz="0" w:space="0" w:color="auto"/>
            <w:right w:val="none" w:sz="0" w:space="0" w:color="auto"/>
          </w:divBdr>
        </w:div>
        <w:div w:id="380594623">
          <w:marLeft w:val="0"/>
          <w:marRight w:val="0"/>
          <w:marTop w:val="0"/>
          <w:marBottom w:val="0"/>
          <w:divBdr>
            <w:top w:val="none" w:sz="0" w:space="0" w:color="auto"/>
            <w:left w:val="none" w:sz="0" w:space="0" w:color="auto"/>
            <w:bottom w:val="none" w:sz="0" w:space="0" w:color="auto"/>
            <w:right w:val="none" w:sz="0" w:space="0" w:color="auto"/>
          </w:divBdr>
        </w:div>
        <w:div w:id="1863392138">
          <w:marLeft w:val="0"/>
          <w:marRight w:val="0"/>
          <w:marTop w:val="0"/>
          <w:marBottom w:val="0"/>
          <w:divBdr>
            <w:top w:val="none" w:sz="0" w:space="0" w:color="auto"/>
            <w:left w:val="none" w:sz="0" w:space="0" w:color="auto"/>
            <w:bottom w:val="none" w:sz="0" w:space="0" w:color="auto"/>
            <w:right w:val="none" w:sz="0" w:space="0" w:color="auto"/>
          </w:divBdr>
        </w:div>
        <w:div w:id="184907839">
          <w:marLeft w:val="0"/>
          <w:marRight w:val="0"/>
          <w:marTop w:val="0"/>
          <w:marBottom w:val="0"/>
          <w:divBdr>
            <w:top w:val="none" w:sz="0" w:space="0" w:color="auto"/>
            <w:left w:val="none" w:sz="0" w:space="0" w:color="auto"/>
            <w:bottom w:val="none" w:sz="0" w:space="0" w:color="auto"/>
            <w:right w:val="none" w:sz="0" w:space="0" w:color="auto"/>
          </w:divBdr>
        </w:div>
        <w:div w:id="1150094161">
          <w:marLeft w:val="0"/>
          <w:marRight w:val="0"/>
          <w:marTop w:val="0"/>
          <w:marBottom w:val="0"/>
          <w:divBdr>
            <w:top w:val="none" w:sz="0" w:space="0" w:color="auto"/>
            <w:left w:val="none" w:sz="0" w:space="0" w:color="auto"/>
            <w:bottom w:val="none" w:sz="0" w:space="0" w:color="auto"/>
            <w:right w:val="none" w:sz="0" w:space="0" w:color="auto"/>
          </w:divBdr>
        </w:div>
        <w:div w:id="910120191">
          <w:marLeft w:val="0"/>
          <w:marRight w:val="0"/>
          <w:marTop w:val="0"/>
          <w:marBottom w:val="0"/>
          <w:divBdr>
            <w:top w:val="none" w:sz="0" w:space="0" w:color="auto"/>
            <w:left w:val="none" w:sz="0" w:space="0" w:color="auto"/>
            <w:bottom w:val="none" w:sz="0" w:space="0" w:color="auto"/>
            <w:right w:val="none" w:sz="0" w:space="0" w:color="auto"/>
          </w:divBdr>
        </w:div>
        <w:div w:id="1674336061">
          <w:marLeft w:val="0"/>
          <w:marRight w:val="0"/>
          <w:marTop w:val="0"/>
          <w:marBottom w:val="0"/>
          <w:divBdr>
            <w:top w:val="none" w:sz="0" w:space="0" w:color="auto"/>
            <w:left w:val="none" w:sz="0" w:space="0" w:color="auto"/>
            <w:bottom w:val="none" w:sz="0" w:space="0" w:color="auto"/>
            <w:right w:val="none" w:sz="0" w:space="0" w:color="auto"/>
          </w:divBdr>
        </w:div>
        <w:div w:id="1928341453">
          <w:marLeft w:val="0"/>
          <w:marRight w:val="0"/>
          <w:marTop w:val="0"/>
          <w:marBottom w:val="0"/>
          <w:divBdr>
            <w:top w:val="none" w:sz="0" w:space="0" w:color="auto"/>
            <w:left w:val="none" w:sz="0" w:space="0" w:color="auto"/>
            <w:bottom w:val="none" w:sz="0" w:space="0" w:color="auto"/>
            <w:right w:val="none" w:sz="0" w:space="0" w:color="auto"/>
          </w:divBdr>
        </w:div>
        <w:div w:id="1786465670">
          <w:marLeft w:val="0"/>
          <w:marRight w:val="0"/>
          <w:marTop w:val="0"/>
          <w:marBottom w:val="0"/>
          <w:divBdr>
            <w:top w:val="none" w:sz="0" w:space="0" w:color="auto"/>
            <w:left w:val="none" w:sz="0" w:space="0" w:color="auto"/>
            <w:bottom w:val="none" w:sz="0" w:space="0" w:color="auto"/>
            <w:right w:val="none" w:sz="0" w:space="0" w:color="auto"/>
          </w:divBdr>
        </w:div>
        <w:div w:id="512763868">
          <w:marLeft w:val="0"/>
          <w:marRight w:val="0"/>
          <w:marTop w:val="0"/>
          <w:marBottom w:val="0"/>
          <w:divBdr>
            <w:top w:val="none" w:sz="0" w:space="0" w:color="auto"/>
            <w:left w:val="none" w:sz="0" w:space="0" w:color="auto"/>
            <w:bottom w:val="none" w:sz="0" w:space="0" w:color="auto"/>
            <w:right w:val="none" w:sz="0" w:space="0" w:color="auto"/>
          </w:divBdr>
        </w:div>
        <w:div w:id="1230533145">
          <w:marLeft w:val="0"/>
          <w:marRight w:val="0"/>
          <w:marTop w:val="0"/>
          <w:marBottom w:val="0"/>
          <w:divBdr>
            <w:top w:val="none" w:sz="0" w:space="0" w:color="auto"/>
            <w:left w:val="none" w:sz="0" w:space="0" w:color="auto"/>
            <w:bottom w:val="none" w:sz="0" w:space="0" w:color="auto"/>
            <w:right w:val="none" w:sz="0" w:space="0" w:color="auto"/>
          </w:divBdr>
        </w:div>
        <w:div w:id="1276476225">
          <w:marLeft w:val="0"/>
          <w:marRight w:val="0"/>
          <w:marTop w:val="0"/>
          <w:marBottom w:val="0"/>
          <w:divBdr>
            <w:top w:val="none" w:sz="0" w:space="0" w:color="auto"/>
            <w:left w:val="none" w:sz="0" w:space="0" w:color="auto"/>
            <w:bottom w:val="none" w:sz="0" w:space="0" w:color="auto"/>
            <w:right w:val="none" w:sz="0" w:space="0" w:color="auto"/>
          </w:divBdr>
        </w:div>
        <w:div w:id="184639722">
          <w:marLeft w:val="0"/>
          <w:marRight w:val="0"/>
          <w:marTop w:val="0"/>
          <w:marBottom w:val="0"/>
          <w:divBdr>
            <w:top w:val="none" w:sz="0" w:space="0" w:color="auto"/>
            <w:left w:val="none" w:sz="0" w:space="0" w:color="auto"/>
            <w:bottom w:val="none" w:sz="0" w:space="0" w:color="auto"/>
            <w:right w:val="none" w:sz="0" w:space="0" w:color="auto"/>
          </w:divBdr>
        </w:div>
        <w:div w:id="73431228">
          <w:marLeft w:val="0"/>
          <w:marRight w:val="0"/>
          <w:marTop w:val="0"/>
          <w:marBottom w:val="0"/>
          <w:divBdr>
            <w:top w:val="none" w:sz="0" w:space="0" w:color="auto"/>
            <w:left w:val="none" w:sz="0" w:space="0" w:color="auto"/>
            <w:bottom w:val="none" w:sz="0" w:space="0" w:color="auto"/>
            <w:right w:val="none" w:sz="0" w:space="0" w:color="auto"/>
          </w:divBdr>
        </w:div>
        <w:div w:id="1898397590">
          <w:marLeft w:val="0"/>
          <w:marRight w:val="0"/>
          <w:marTop w:val="0"/>
          <w:marBottom w:val="0"/>
          <w:divBdr>
            <w:top w:val="none" w:sz="0" w:space="0" w:color="auto"/>
            <w:left w:val="none" w:sz="0" w:space="0" w:color="auto"/>
            <w:bottom w:val="none" w:sz="0" w:space="0" w:color="auto"/>
            <w:right w:val="none" w:sz="0" w:space="0" w:color="auto"/>
          </w:divBdr>
        </w:div>
        <w:div w:id="1732923019">
          <w:marLeft w:val="0"/>
          <w:marRight w:val="0"/>
          <w:marTop w:val="0"/>
          <w:marBottom w:val="0"/>
          <w:divBdr>
            <w:top w:val="none" w:sz="0" w:space="0" w:color="auto"/>
            <w:left w:val="none" w:sz="0" w:space="0" w:color="auto"/>
            <w:bottom w:val="none" w:sz="0" w:space="0" w:color="auto"/>
            <w:right w:val="none" w:sz="0" w:space="0" w:color="auto"/>
          </w:divBdr>
        </w:div>
        <w:div w:id="1554273895">
          <w:marLeft w:val="0"/>
          <w:marRight w:val="0"/>
          <w:marTop w:val="0"/>
          <w:marBottom w:val="0"/>
          <w:divBdr>
            <w:top w:val="none" w:sz="0" w:space="0" w:color="auto"/>
            <w:left w:val="none" w:sz="0" w:space="0" w:color="auto"/>
            <w:bottom w:val="none" w:sz="0" w:space="0" w:color="auto"/>
            <w:right w:val="none" w:sz="0" w:space="0" w:color="auto"/>
          </w:divBdr>
        </w:div>
        <w:div w:id="1273245985">
          <w:marLeft w:val="0"/>
          <w:marRight w:val="0"/>
          <w:marTop w:val="0"/>
          <w:marBottom w:val="0"/>
          <w:divBdr>
            <w:top w:val="none" w:sz="0" w:space="0" w:color="auto"/>
            <w:left w:val="none" w:sz="0" w:space="0" w:color="auto"/>
            <w:bottom w:val="none" w:sz="0" w:space="0" w:color="auto"/>
            <w:right w:val="none" w:sz="0" w:space="0" w:color="auto"/>
          </w:divBdr>
        </w:div>
      </w:divsChild>
    </w:div>
    <w:div w:id="1492715330">
      <w:bodyDiv w:val="1"/>
      <w:marLeft w:val="0"/>
      <w:marRight w:val="0"/>
      <w:marTop w:val="0"/>
      <w:marBottom w:val="0"/>
      <w:divBdr>
        <w:top w:val="none" w:sz="0" w:space="0" w:color="auto"/>
        <w:left w:val="none" w:sz="0" w:space="0" w:color="auto"/>
        <w:bottom w:val="none" w:sz="0" w:space="0" w:color="auto"/>
        <w:right w:val="none" w:sz="0" w:space="0" w:color="auto"/>
      </w:divBdr>
    </w:div>
    <w:div w:id="20138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951</Words>
  <Characters>7539</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2020-09-07T16:34:00Z</dcterms:created>
  <dcterms:modified xsi:type="dcterms:W3CDTF">2020-09-07T16:34:00Z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