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ABDA8" w14:textId="0F260EA1" w:rsidR="00D94AFC" w:rsidRPr="00886D74" w:rsidRDefault="00CD2DCC" w:rsidP="00131792">
      <w:pPr>
        <w:jc w:val="center"/>
        <w:rPr>
          <w:rFonts w:ascii="Book Antiqua" w:hAnsi="Book Antiqua" w:cs="Arial"/>
          <w:sz w:val="16"/>
          <w:szCs w:val="16"/>
        </w:rPr>
      </w:pPr>
      <w:r w:rsidRPr="00886D74">
        <w:rPr>
          <w:noProof/>
          <w:sz w:val="16"/>
          <w:szCs w:val="16"/>
          <w:lang w:val="en-US" w:eastAsia="en-US"/>
        </w:rPr>
        <w:drawing>
          <wp:inline distT="0" distB="0" distL="0" distR="0" wp14:anchorId="1ABBBB38" wp14:editId="2F0A1B47">
            <wp:extent cx="1042670" cy="90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2670" cy="908685"/>
                    </a:xfrm>
                    <a:prstGeom prst="rect">
                      <a:avLst/>
                    </a:prstGeom>
                    <a:noFill/>
                    <a:ln>
                      <a:noFill/>
                    </a:ln>
                  </pic:spPr>
                </pic:pic>
              </a:graphicData>
            </a:graphic>
          </wp:inline>
        </w:drawing>
      </w:r>
    </w:p>
    <w:p w14:paraId="420BFF2B" w14:textId="77777777" w:rsidR="00131792" w:rsidRPr="00886D74" w:rsidRDefault="00131792" w:rsidP="00131792">
      <w:pPr>
        <w:jc w:val="center"/>
        <w:rPr>
          <w:rFonts w:ascii="Book Antiqua" w:hAnsi="Book Antiqua" w:cs="Arial"/>
          <w:sz w:val="16"/>
          <w:szCs w:val="16"/>
        </w:rPr>
      </w:pPr>
    </w:p>
    <w:p w14:paraId="517A8DB4" w14:textId="77777777" w:rsidR="00CB7FD7" w:rsidRPr="00CE6902" w:rsidRDefault="00CB7FD7" w:rsidP="00B626FA">
      <w:pPr>
        <w:tabs>
          <w:tab w:val="right" w:pos="9639"/>
        </w:tabs>
        <w:rPr>
          <w:rFonts w:ascii="Book Antiqua" w:hAnsi="Book Antiqua" w:cs="Arial"/>
          <w:b/>
        </w:rPr>
      </w:pPr>
      <w:r w:rsidRPr="00CE6902">
        <w:rPr>
          <w:rFonts w:ascii="Book Antiqua" w:hAnsi="Book Antiqua" w:cs="Arial"/>
          <w:b/>
        </w:rPr>
        <w:t>Upper Tribunal</w:t>
      </w:r>
    </w:p>
    <w:p w14:paraId="659B0AA7" w14:textId="77777777" w:rsidR="007B0824" w:rsidRPr="00CE6902" w:rsidRDefault="00CB7FD7" w:rsidP="00B626FA">
      <w:pPr>
        <w:tabs>
          <w:tab w:val="right" w:pos="9639"/>
        </w:tabs>
        <w:rPr>
          <w:rFonts w:ascii="Book Antiqua" w:hAnsi="Book Antiqua" w:cs="Arial"/>
        </w:rPr>
      </w:pPr>
      <w:r w:rsidRPr="00CE6902">
        <w:rPr>
          <w:rFonts w:ascii="Book Antiqua" w:hAnsi="Book Antiqua" w:cs="Arial"/>
          <w:b/>
        </w:rPr>
        <w:t>(Immigration and Asylum Chamber)</w:t>
      </w:r>
      <w:r w:rsidR="00B626FA" w:rsidRPr="00CE6902">
        <w:rPr>
          <w:rFonts w:ascii="Book Antiqua" w:hAnsi="Book Antiqua" w:cs="Arial"/>
          <w:b/>
        </w:rPr>
        <w:tab/>
      </w:r>
      <w:r w:rsidR="00B3524D" w:rsidRPr="00CE6902">
        <w:rPr>
          <w:rFonts w:ascii="Book Antiqua" w:hAnsi="Book Antiqua" w:cs="Arial"/>
        </w:rPr>
        <w:t>Appeal Number</w:t>
      </w:r>
      <w:r w:rsidR="00D53769" w:rsidRPr="00CE6902">
        <w:rPr>
          <w:rFonts w:ascii="Book Antiqua" w:hAnsi="Book Antiqua" w:cs="Arial"/>
        </w:rPr>
        <w:t>:</w:t>
      </w:r>
      <w:r w:rsidR="00B3524D" w:rsidRPr="00CE6902">
        <w:rPr>
          <w:rFonts w:ascii="Book Antiqua" w:hAnsi="Book Antiqua" w:cs="Arial"/>
        </w:rPr>
        <w:t xml:space="preserve"> </w:t>
      </w:r>
      <w:bookmarkStart w:id="0" w:name="_GoBack"/>
      <w:r w:rsidR="005B736E">
        <w:rPr>
          <w:rFonts w:ascii="Book Antiqua" w:hAnsi="Book Antiqua" w:cs="Arial"/>
          <w:caps/>
        </w:rPr>
        <w:t>PA/10839/2017</w:t>
      </w:r>
      <w:bookmarkEnd w:id="0"/>
    </w:p>
    <w:p w14:paraId="07F4A7D3" w14:textId="77777777" w:rsidR="00C345E1" w:rsidRPr="00CE6902" w:rsidRDefault="00C345E1" w:rsidP="00C345E1">
      <w:pPr>
        <w:jc w:val="center"/>
        <w:rPr>
          <w:rFonts w:ascii="Book Antiqua" w:hAnsi="Book Antiqua" w:cs="Arial"/>
        </w:rPr>
      </w:pPr>
    </w:p>
    <w:p w14:paraId="4FD7067E" w14:textId="77777777" w:rsidR="00C345E1" w:rsidRPr="00CE6902" w:rsidRDefault="00C345E1" w:rsidP="00C345E1">
      <w:pPr>
        <w:jc w:val="center"/>
        <w:rPr>
          <w:rFonts w:ascii="Book Antiqua" w:hAnsi="Book Antiqua" w:cs="Arial"/>
        </w:rPr>
      </w:pPr>
    </w:p>
    <w:p w14:paraId="0720FC80" w14:textId="77777777" w:rsidR="00C345E1" w:rsidRPr="00CE6902" w:rsidRDefault="00C345E1" w:rsidP="00C345E1">
      <w:pPr>
        <w:jc w:val="center"/>
        <w:rPr>
          <w:rFonts w:ascii="Book Antiqua" w:hAnsi="Book Antiqua" w:cs="Arial"/>
          <w:b/>
          <w:u w:val="single"/>
        </w:rPr>
      </w:pPr>
      <w:r w:rsidRPr="00CE6902">
        <w:rPr>
          <w:rFonts w:ascii="Book Antiqua" w:hAnsi="Book Antiqua" w:cs="Arial"/>
          <w:b/>
          <w:u w:val="single"/>
        </w:rPr>
        <w:t>THE IMMIGRATION ACTS</w:t>
      </w:r>
    </w:p>
    <w:p w14:paraId="17835D1F" w14:textId="77777777" w:rsidR="00C345E1" w:rsidRPr="00CE6902" w:rsidRDefault="00C345E1" w:rsidP="00C345E1">
      <w:pPr>
        <w:jc w:val="center"/>
        <w:rPr>
          <w:rFonts w:ascii="Book Antiqua" w:hAnsi="Book Antiqua" w:cs="Arial"/>
          <w:b/>
          <w:u w:val="single"/>
        </w:rPr>
      </w:pPr>
    </w:p>
    <w:p w14:paraId="25981E98" w14:textId="77777777" w:rsidR="00C345E1" w:rsidRPr="00CE6902"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382"/>
        <w:gridCol w:w="666"/>
        <w:gridCol w:w="3960"/>
      </w:tblGrid>
      <w:tr w:rsidR="00D22636" w:rsidRPr="00CE6902" w14:paraId="0CC363C7" w14:textId="77777777" w:rsidTr="00131792">
        <w:tc>
          <w:tcPr>
            <w:tcW w:w="5382" w:type="dxa"/>
          </w:tcPr>
          <w:p w14:paraId="57DA66C3" w14:textId="77777777" w:rsidR="00D22636" w:rsidRPr="00CE6902" w:rsidRDefault="00D22636" w:rsidP="004A1848">
            <w:pPr>
              <w:jc w:val="both"/>
              <w:rPr>
                <w:rFonts w:ascii="Book Antiqua" w:hAnsi="Book Antiqua" w:cs="Arial"/>
                <w:b/>
              </w:rPr>
            </w:pPr>
            <w:r w:rsidRPr="00CE6902">
              <w:rPr>
                <w:rFonts w:ascii="Book Antiqua" w:hAnsi="Book Antiqua" w:cs="Arial"/>
                <w:b/>
              </w:rPr>
              <w:t xml:space="preserve">Heard at </w:t>
            </w:r>
            <w:r w:rsidR="005B736E">
              <w:rPr>
                <w:rFonts w:ascii="Book Antiqua" w:hAnsi="Book Antiqua" w:cs="Arial"/>
                <w:b/>
              </w:rPr>
              <w:t xml:space="preserve">Field House </w:t>
            </w:r>
          </w:p>
        </w:tc>
        <w:tc>
          <w:tcPr>
            <w:tcW w:w="4626" w:type="dxa"/>
            <w:gridSpan w:val="2"/>
          </w:tcPr>
          <w:p w14:paraId="70A533DC" w14:textId="77777777" w:rsidR="00D22636" w:rsidRPr="00CE6902" w:rsidRDefault="00BF3B8C" w:rsidP="004A1848">
            <w:pPr>
              <w:jc w:val="both"/>
              <w:rPr>
                <w:rFonts w:ascii="Book Antiqua" w:hAnsi="Book Antiqua" w:cs="Arial"/>
                <w:b/>
              </w:rPr>
            </w:pPr>
            <w:r>
              <w:rPr>
                <w:rFonts w:ascii="Book Antiqua" w:hAnsi="Book Antiqua" w:cs="Arial"/>
                <w:b/>
              </w:rPr>
              <w:t>Decision &amp; Reasons</w:t>
            </w:r>
            <w:r w:rsidR="00283659" w:rsidRPr="00CE6902">
              <w:rPr>
                <w:rFonts w:ascii="Book Antiqua" w:hAnsi="Book Antiqua" w:cs="Arial"/>
                <w:b/>
              </w:rPr>
              <w:t xml:space="preserve"> Promulgated</w:t>
            </w:r>
          </w:p>
        </w:tc>
      </w:tr>
      <w:tr w:rsidR="00D22636" w:rsidRPr="00CE6902" w14:paraId="416E30FF" w14:textId="77777777" w:rsidTr="00131792">
        <w:tc>
          <w:tcPr>
            <w:tcW w:w="5382" w:type="dxa"/>
          </w:tcPr>
          <w:p w14:paraId="3ED78FA7" w14:textId="77777777" w:rsidR="00D22636" w:rsidRPr="00CE6902" w:rsidRDefault="00D22636" w:rsidP="004A1848">
            <w:pPr>
              <w:jc w:val="both"/>
              <w:rPr>
                <w:rFonts w:ascii="Book Antiqua" w:hAnsi="Book Antiqua" w:cs="Arial"/>
                <w:b/>
              </w:rPr>
            </w:pPr>
            <w:r w:rsidRPr="00CE6902">
              <w:rPr>
                <w:rFonts w:ascii="Book Antiqua" w:hAnsi="Book Antiqua" w:cs="Arial"/>
                <w:b/>
              </w:rPr>
              <w:t xml:space="preserve">On </w:t>
            </w:r>
            <w:r w:rsidR="002937D3">
              <w:rPr>
                <w:rFonts w:ascii="Book Antiqua" w:hAnsi="Book Antiqua" w:cs="Arial"/>
                <w:b/>
              </w:rPr>
              <w:t>17</w:t>
            </w:r>
            <w:r w:rsidR="002937D3" w:rsidRPr="002937D3">
              <w:rPr>
                <w:rFonts w:ascii="Book Antiqua" w:hAnsi="Book Antiqua" w:cs="Arial"/>
                <w:b/>
                <w:vertAlign w:val="superscript"/>
              </w:rPr>
              <w:t>th</w:t>
            </w:r>
            <w:r w:rsidR="005B736E">
              <w:rPr>
                <w:rFonts w:ascii="Book Antiqua" w:hAnsi="Book Antiqua" w:cs="Arial"/>
                <w:b/>
              </w:rPr>
              <w:t xml:space="preserve"> May 2018</w:t>
            </w:r>
          </w:p>
        </w:tc>
        <w:tc>
          <w:tcPr>
            <w:tcW w:w="4626" w:type="dxa"/>
            <w:gridSpan w:val="2"/>
          </w:tcPr>
          <w:p w14:paraId="6EAEC2A5" w14:textId="37528642" w:rsidR="00D22636" w:rsidRPr="00CE6902" w:rsidRDefault="00131792" w:rsidP="004A1848">
            <w:pPr>
              <w:jc w:val="both"/>
              <w:rPr>
                <w:rFonts w:ascii="Book Antiqua" w:hAnsi="Book Antiqua" w:cs="Arial"/>
                <w:b/>
              </w:rPr>
            </w:pPr>
            <w:r>
              <w:rPr>
                <w:rFonts w:ascii="Book Antiqua" w:hAnsi="Book Antiqua" w:cs="Arial"/>
                <w:b/>
              </w:rPr>
              <w:t>On 31</w:t>
            </w:r>
            <w:r w:rsidRPr="00131792">
              <w:rPr>
                <w:rFonts w:ascii="Book Antiqua" w:hAnsi="Book Antiqua" w:cs="Arial"/>
                <w:b/>
                <w:vertAlign w:val="superscript"/>
              </w:rPr>
              <w:t>st</w:t>
            </w:r>
            <w:r>
              <w:rPr>
                <w:rFonts w:ascii="Book Antiqua" w:hAnsi="Book Antiqua" w:cs="Arial"/>
                <w:b/>
              </w:rPr>
              <w:t xml:space="preserve"> May 2018</w:t>
            </w:r>
          </w:p>
        </w:tc>
      </w:tr>
      <w:tr w:rsidR="00131792" w:rsidRPr="00CE6902" w14:paraId="505169B2" w14:textId="77777777" w:rsidTr="00BF3B8C">
        <w:trPr>
          <w:gridAfter w:val="1"/>
          <w:wAfter w:w="3960" w:type="dxa"/>
        </w:trPr>
        <w:tc>
          <w:tcPr>
            <w:tcW w:w="6048" w:type="dxa"/>
            <w:gridSpan w:val="2"/>
          </w:tcPr>
          <w:p w14:paraId="3B5A869F" w14:textId="77777777" w:rsidR="00131792" w:rsidRPr="00CE6902" w:rsidRDefault="00131792" w:rsidP="004A1848">
            <w:pPr>
              <w:jc w:val="both"/>
              <w:rPr>
                <w:rFonts w:ascii="Book Antiqua" w:hAnsi="Book Antiqua" w:cs="Arial"/>
                <w:b/>
              </w:rPr>
            </w:pPr>
          </w:p>
        </w:tc>
      </w:tr>
    </w:tbl>
    <w:p w14:paraId="5E50BE9C" w14:textId="77777777" w:rsidR="00A15234" w:rsidRPr="00CE6902" w:rsidRDefault="00A15234" w:rsidP="00A15234">
      <w:pPr>
        <w:jc w:val="center"/>
        <w:rPr>
          <w:rFonts w:ascii="Book Antiqua" w:hAnsi="Book Antiqua" w:cs="Arial"/>
        </w:rPr>
      </w:pPr>
    </w:p>
    <w:p w14:paraId="442BEC47" w14:textId="77777777" w:rsidR="00A15234" w:rsidRPr="00CE6902" w:rsidRDefault="00207617" w:rsidP="00A15234">
      <w:pPr>
        <w:jc w:val="center"/>
        <w:rPr>
          <w:rFonts w:ascii="Book Antiqua" w:hAnsi="Book Antiqua" w:cs="Arial"/>
          <w:b/>
        </w:rPr>
      </w:pPr>
      <w:r w:rsidRPr="00CE6902">
        <w:rPr>
          <w:rFonts w:ascii="Book Antiqua" w:hAnsi="Book Antiqua" w:cs="Arial"/>
          <w:b/>
        </w:rPr>
        <w:t>Befo</w:t>
      </w:r>
      <w:r w:rsidR="00A15234" w:rsidRPr="00CE6902">
        <w:rPr>
          <w:rFonts w:ascii="Book Antiqua" w:hAnsi="Book Antiqua" w:cs="Arial"/>
          <w:b/>
        </w:rPr>
        <w:t>re</w:t>
      </w:r>
    </w:p>
    <w:p w14:paraId="641440D3" w14:textId="77777777" w:rsidR="00A15234" w:rsidRPr="00CE6902" w:rsidRDefault="00A15234" w:rsidP="00A15234">
      <w:pPr>
        <w:jc w:val="center"/>
        <w:rPr>
          <w:rFonts w:ascii="Book Antiqua" w:hAnsi="Book Antiqua" w:cs="Arial"/>
          <w:b/>
        </w:rPr>
      </w:pPr>
    </w:p>
    <w:p w14:paraId="7807C11B" w14:textId="77777777" w:rsidR="00244A9E" w:rsidRPr="00CE6902" w:rsidRDefault="00561B4E" w:rsidP="005B736E">
      <w:pPr>
        <w:jc w:val="center"/>
        <w:rPr>
          <w:rFonts w:ascii="Book Antiqua" w:hAnsi="Book Antiqua" w:cs="Arial"/>
          <w:b/>
          <w:caps/>
        </w:rPr>
      </w:pPr>
      <w:r>
        <w:rPr>
          <w:rFonts w:ascii="Book Antiqua" w:hAnsi="Book Antiqua" w:cs="Arial"/>
          <w:b/>
          <w:caps/>
        </w:rPr>
        <w:t xml:space="preserve">DEPUTY </w:t>
      </w:r>
      <w:r w:rsidR="00ED1BAF">
        <w:rPr>
          <w:rFonts w:ascii="Book Antiqua" w:hAnsi="Book Antiqua" w:cs="Arial"/>
          <w:b/>
          <w:caps/>
        </w:rPr>
        <w:t xml:space="preserve">UPPER TRIBUNAL </w:t>
      </w:r>
      <w:r w:rsidR="00B03FBE" w:rsidRPr="00CE6902">
        <w:rPr>
          <w:rFonts w:ascii="Book Antiqua" w:hAnsi="Book Antiqua" w:cs="Arial"/>
          <w:b/>
          <w:caps/>
        </w:rPr>
        <w:t>JUDGE D E TAYLOR</w:t>
      </w:r>
    </w:p>
    <w:p w14:paraId="5C881C92" w14:textId="71D0668D" w:rsidR="00A845DC" w:rsidRDefault="00A845DC" w:rsidP="00A15234">
      <w:pPr>
        <w:jc w:val="center"/>
        <w:rPr>
          <w:rFonts w:ascii="Book Antiqua" w:hAnsi="Book Antiqua" w:cs="Arial"/>
          <w:b/>
        </w:rPr>
      </w:pPr>
    </w:p>
    <w:p w14:paraId="62FB2156" w14:textId="77777777" w:rsidR="00886D74" w:rsidRPr="00CE6902" w:rsidRDefault="00886D74" w:rsidP="00A15234">
      <w:pPr>
        <w:jc w:val="center"/>
        <w:rPr>
          <w:rFonts w:ascii="Book Antiqua" w:hAnsi="Book Antiqua" w:cs="Arial"/>
          <w:b/>
        </w:rPr>
      </w:pPr>
    </w:p>
    <w:p w14:paraId="6CBCFF4D" w14:textId="77777777" w:rsidR="00A845DC" w:rsidRPr="00CE6902" w:rsidRDefault="00A845DC" w:rsidP="00A15234">
      <w:pPr>
        <w:jc w:val="center"/>
        <w:rPr>
          <w:rFonts w:ascii="Book Antiqua" w:hAnsi="Book Antiqua" w:cs="Arial"/>
          <w:b/>
        </w:rPr>
      </w:pPr>
      <w:r w:rsidRPr="00CE6902">
        <w:rPr>
          <w:rFonts w:ascii="Book Antiqua" w:hAnsi="Book Antiqua" w:cs="Arial"/>
          <w:b/>
        </w:rPr>
        <w:t>Between</w:t>
      </w:r>
    </w:p>
    <w:p w14:paraId="299B2D40" w14:textId="77777777" w:rsidR="00A845DC" w:rsidRPr="00CE6902" w:rsidRDefault="00A845DC" w:rsidP="00A15234">
      <w:pPr>
        <w:jc w:val="center"/>
        <w:rPr>
          <w:rFonts w:ascii="Book Antiqua" w:hAnsi="Book Antiqua" w:cs="Arial"/>
          <w:b/>
        </w:rPr>
      </w:pPr>
    </w:p>
    <w:p w14:paraId="4123C8E4" w14:textId="4EF24554" w:rsidR="00742A8D" w:rsidRDefault="005B736E" w:rsidP="00742A8D">
      <w:pPr>
        <w:jc w:val="center"/>
        <w:rPr>
          <w:rFonts w:ascii="Book Antiqua" w:hAnsi="Book Antiqua" w:cs="Arial"/>
          <w:b/>
          <w:caps/>
        </w:rPr>
      </w:pPr>
      <w:r>
        <w:rPr>
          <w:rFonts w:ascii="Book Antiqua" w:hAnsi="Book Antiqua" w:cs="Arial"/>
          <w:b/>
          <w:caps/>
        </w:rPr>
        <w:t xml:space="preserve">yvonne </w:t>
      </w:r>
      <w:r w:rsidR="00886D74">
        <w:rPr>
          <w:rFonts w:ascii="Book Antiqua" w:hAnsi="Book Antiqua" w:cs="Arial"/>
          <w:b/>
          <w:caps/>
        </w:rPr>
        <w:t>[</w:t>
      </w:r>
      <w:r>
        <w:rPr>
          <w:rFonts w:ascii="Book Antiqua" w:hAnsi="Book Antiqua" w:cs="Arial"/>
          <w:b/>
          <w:caps/>
        </w:rPr>
        <w:t>n</w:t>
      </w:r>
      <w:r w:rsidR="00886D74">
        <w:rPr>
          <w:rFonts w:ascii="Book Antiqua" w:hAnsi="Book Antiqua" w:cs="Arial"/>
          <w:b/>
          <w:caps/>
        </w:rPr>
        <w:t>]</w:t>
      </w:r>
    </w:p>
    <w:p w14:paraId="14DEA819" w14:textId="2611465F" w:rsidR="00BF3B8C" w:rsidRPr="00886D74" w:rsidRDefault="00BF3B8C" w:rsidP="00BF3B8C">
      <w:pPr>
        <w:jc w:val="center"/>
        <w:rPr>
          <w:rFonts w:ascii="Book Antiqua" w:hAnsi="Book Antiqua" w:cs="Arial"/>
          <w:b/>
          <w:caps/>
          <w:sz w:val="22"/>
        </w:rPr>
      </w:pPr>
      <w:r w:rsidRPr="00886D74">
        <w:rPr>
          <w:rFonts w:ascii="Book Antiqua" w:hAnsi="Book Antiqua" w:cs="Arial"/>
          <w:b/>
          <w:caps/>
          <w:sz w:val="22"/>
        </w:rPr>
        <w:t>(ANONYMITY DIRECTION</w:t>
      </w:r>
      <w:r w:rsidR="000504A5" w:rsidRPr="00886D74">
        <w:rPr>
          <w:rFonts w:ascii="Book Antiqua" w:hAnsi="Book Antiqua" w:cs="Arial"/>
          <w:b/>
          <w:caps/>
          <w:sz w:val="22"/>
        </w:rPr>
        <w:t xml:space="preserve"> NOT MADE</w:t>
      </w:r>
      <w:r w:rsidRPr="00886D74">
        <w:rPr>
          <w:rFonts w:ascii="Book Antiqua" w:hAnsi="Book Antiqua" w:cs="Arial"/>
          <w:b/>
          <w:caps/>
          <w:sz w:val="22"/>
        </w:rPr>
        <w:t>)</w:t>
      </w:r>
    </w:p>
    <w:p w14:paraId="3CE395AF" w14:textId="77777777" w:rsidR="00704B61" w:rsidRPr="00CE6902" w:rsidRDefault="00704B61" w:rsidP="00704B61">
      <w:pPr>
        <w:jc w:val="right"/>
        <w:rPr>
          <w:rFonts w:ascii="Book Antiqua" w:hAnsi="Book Antiqua" w:cs="Arial"/>
          <w:u w:val="single"/>
        </w:rPr>
      </w:pPr>
      <w:r w:rsidRPr="00CE6902">
        <w:rPr>
          <w:rFonts w:ascii="Book Antiqua" w:hAnsi="Book Antiqua" w:cs="Arial"/>
          <w:u w:val="single"/>
        </w:rPr>
        <w:t>Appellant</w:t>
      </w:r>
    </w:p>
    <w:p w14:paraId="412E1692" w14:textId="77777777" w:rsidR="00704B61" w:rsidRPr="00CE6902" w:rsidRDefault="00DD5071" w:rsidP="00704B61">
      <w:pPr>
        <w:jc w:val="center"/>
        <w:rPr>
          <w:rFonts w:ascii="Book Antiqua" w:hAnsi="Book Antiqua" w:cs="Arial"/>
          <w:b/>
        </w:rPr>
      </w:pPr>
      <w:r w:rsidRPr="00CE6902">
        <w:rPr>
          <w:rFonts w:ascii="Book Antiqua" w:hAnsi="Book Antiqua" w:cs="Arial"/>
          <w:b/>
        </w:rPr>
        <w:t>and</w:t>
      </w:r>
    </w:p>
    <w:p w14:paraId="2024C1CD" w14:textId="77777777" w:rsidR="00DD5071" w:rsidRPr="00CE6902" w:rsidRDefault="00DD5071" w:rsidP="00704B61">
      <w:pPr>
        <w:jc w:val="center"/>
        <w:rPr>
          <w:rFonts w:ascii="Book Antiqua" w:hAnsi="Book Antiqua" w:cs="Arial"/>
          <w:b/>
        </w:rPr>
      </w:pPr>
    </w:p>
    <w:p w14:paraId="3D2B8906" w14:textId="77777777" w:rsidR="00DD5071" w:rsidRPr="00CE6902" w:rsidRDefault="00DD5071" w:rsidP="00704B61">
      <w:pPr>
        <w:jc w:val="center"/>
        <w:rPr>
          <w:rFonts w:ascii="Book Antiqua" w:hAnsi="Book Antiqua" w:cs="Arial"/>
          <w:b/>
          <w:caps/>
        </w:rPr>
      </w:pPr>
      <w:r w:rsidRPr="00CE6902">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CE6902">
        <w:rPr>
          <w:rFonts w:ascii="Book Antiqua" w:hAnsi="Book Antiqua" w:cs="Arial"/>
          <w:b/>
          <w:caps/>
        </w:rPr>
        <w:instrText xml:space="preserve"> FORMTEXT </w:instrText>
      </w:r>
      <w:r w:rsidRPr="00CE6902">
        <w:rPr>
          <w:rFonts w:ascii="Book Antiqua" w:hAnsi="Book Antiqua" w:cs="Arial"/>
          <w:b/>
          <w:caps/>
        </w:rPr>
      </w:r>
      <w:r w:rsidRPr="00CE6902">
        <w:rPr>
          <w:rFonts w:ascii="Book Antiqua" w:hAnsi="Book Antiqua" w:cs="Arial"/>
          <w:b/>
          <w:caps/>
        </w:rPr>
        <w:fldChar w:fldCharType="separate"/>
      </w:r>
      <w:r w:rsidRPr="00CE6902">
        <w:rPr>
          <w:rFonts w:ascii="Book Antiqua" w:hAnsi="Book Antiqua" w:cs="Arial"/>
          <w:b/>
          <w:caps/>
          <w:noProof/>
        </w:rPr>
        <w:t>THE SECRETARY OF STATE FOR THE HOME DEPARTMENT</w:t>
      </w:r>
      <w:r w:rsidRPr="00CE6902">
        <w:rPr>
          <w:rFonts w:ascii="Book Antiqua" w:hAnsi="Book Antiqua" w:cs="Arial"/>
          <w:b/>
          <w:caps/>
        </w:rPr>
        <w:fldChar w:fldCharType="end"/>
      </w:r>
      <w:bookmarkEnd w:id="1"/>
    </w:p>
    <w:p w14:paraId="5BB1E48E" w14:textId="77777777" w:rsidR="00DD5071" w:rsidRPr="00CE6902" w:rsidRDefault="00DD5071" w:rsidP="00DD5071">
      <w:pPr>
        <w:jc w:val="right"/>
        <w:rPr>
          <w:rFonts w:ascii="Book Antiqua" w:hAnsi="Book Antiqua" w:cs="Arial"/>
          <w:u w:val="single"/>
        </w:rPr>
      </w:pPr>
      <w:r w:rsidRPr="00CE6902">
        <w:rPr>
          <w:rFonts w:ascii="Book Antiqua" w:hAnsi="Book Antiqua" w:cs="Arial"/>
          <w:u w:val="single"/>
        </w:rPr>
        <w:t>Respondent</w:t>
      </w:r>
    </w:p>
    <w:p w14:paraId="529A108C" w14:textId="77777777" w:rsidR="00DD5071" w:rsidRPr="00CE6902" w:rsidRDefault="00DD5071" w:rsidP="00DD5071">
      <w:pPr>
        <w:rPr>
          <w:rFonts w:ascii="Book Antiqua" w:hAnsi="Book Antiqua" w:cs="Arial"/>
          <w:u w:val="single"/>
        </w:rPr>
      </w:pPr>
    </w:p>
    <w:p w14:paraId="7B79B973" w14:textId="77777777" w:rsidR="00DD5071" w:rsidRPr="00CE6902" w:rsidRDefault="00DD5071" w:rsidP="00DD5071">
      <w:pPr>
        <w:rPr>
          <w:rFonts w:ascii="Book Antiqua" w:hAnsi="Book Antiqua" w:cs="Arial"/>
          <w:u w:val="single"/>
        </w:rPr>
      </w:pPr>
    </w:p>
    <w:p w14:paraId="07CC74E1" w14:textId="77777777" w:rsidR="00DD5071" w:rsidRPr="00CE6902" w:rsidRDefault="00DE7DB7" w:rsidP="00DD5071">
      <w:pPr>
        <w:rPr>
          <w:rFonts w:ascii="Book Antiqua" w:hAnsi="Book Antiqua" w:cs="Arial"/>
        </w:rPr>
      </w:pPr>
      <w:r w:rsidRPr="00CE6902">
        <w:rPr>
          <w:rFonts w:ascii="Book Antiqua" w:hAnsi="Book Antiqua" w:cs="Arial"/>
          <w:b/>
          <w:u w:val="single"/>
        </w:rPr>
        <w:t>Representation</w:t>
      </w:r>
      <w:r w:rsidRPr="00CE6902">
        <w:rPr>
          <w:rFonts w:ascii="Book Antiqua" w:hAnsi="Book Antiqua" w:cs="Arial"/>
          <w:b/>
        </w:rPr>
        <w:t>:</w:t>
      </w:r>
    </w:p>
    <w:p w14:paraId="7D57F321" w14:textId="77777777" w:rsidR="00DE7DB7" w:rsidRPr="00CE6902" w:rsidRDefault="00DE7DB7" w:rsidP="00DE7DB7">
      <w:pPr>
        <w:tabs>
          <w:tab w:val="left" w:pos="2520"/>
        </w:tabs>
        <w:rPr>
          <w:rFonts w:ascii="Book Antiqua" w:hAnsi="Book Antiqua" w:cs="Arial"/>
        </w:rPr>
      </w:pPr>
      <w:r w:rsidRPr="00CE6902">
        <w:rPr>
          <w:rFonts w:ascii="Book Antiqua" w:hAnsi="Book Antiqua" w:cs="Arial"/>
        </w:rPr>
        <w:t>For the Appellant:</w:t>
      </w:r>
      <w:r w:rsidRPr="00CE6902">
        <w:rPr>
          <w:rFonts w:ascii="Book Antiqua" w:hAnsi="Book Antiqua" w:cs="Arial"/>
        </w:rPr>
        <w:tab/>
      </w:r>
      <w:r w:rsidR="005B736E">
        <w:rPr>
          <w:rFonts w:ascii="Book Antiqua" w:hAnsi="Book Antiqua" w:cs="Arial"/>
        </w:rPr>
        <w:t xml:space="preserve">Mr H </w:t>
      </w:r>
      <w:proofErr w:type="spellStart"/>
      <w:r w:rsidR="005B736E">
        <w:rPr>
          <w:rFonts w:ascii="Book Antiqua" w:hAnsi="Book Antiqua" w:cs="Arial"/>
        </w:rPr>
        <w:t>Ti</w:t>
      </w:r>
      <w:proofErr w:type="spellEnd"/>
      <w:r w:rsidR="005B736E">
        <w:rPr>
          <w:rFonts w:ascii="Book Antiqua" w:hAnsi="Book Antiqua" w:cs="Arial"/>
        </w:rPr>
        <w:t xml:space="preserve">, a Solicitor of </w:t>
      </w:r>
      <w:proofErr w:type="spellStart"/>
      <w:r w:rsidR="005B736E">
        <w:rPr>
          <w:rFonts w:ascii="Book Antiqua" w:hAnsi="Book Antiqua" w:cs="Arial"/>
        </w:rPr>
        <w:t>Kesar</w:t>
      </w:r>
      <w:proofErr w:type="spellEnd"/>
      <w:r w:rsidR="005B736E">
        <w:rPr>
          <w:rFonts w:ascii="Book Antiqua" w:hAnsi="Book Antiqua" w:cs="Arial"/>
        </w:rPr>
        <w:t xml:space="preserve"> &amp; Co Solicitors</w:t>
      </w:r>
    </w:p>
    <w:p w14:paraId="32173CF0" w14:textId="7FC573B7" w:rsidR="00DE7DB7" w:rsidRPr="00CE6902" w:rsidRDefault="00DE7DB7" w:rsidP="00DE7DB7">
      <w:pPr>
        <w:tabs>
          <w:tab w:val="left" w:pos="2520"/>
        </w:tabs>
        <w:rPr>
          <w:rFonts w:ascii="Book Antiqua" w:hAnsi="Book Antiqua" w:cs="Arial"/>
        </w:rPr>
      </w:pPr>
      <w:r w:rsidRPr="00CE6902">
        <w:rPr>
          <w:rFonts w:ascii="Book Antiqua" w:hAnsi="Book Antiqua" w:cs="Arial"/>
        </w:rPr>
        <w:t>For the Respondent:</w:t>
      </w:r>
      <w:r w:rsidRPr="00CE6902">
        <w:rPr>
          <w:rFonts w:ascii="Book Antiqua" w:hAnsi="Book Antiqua" w:cs="Arial"/>
        </w:rPr>
        <w:tab/>
      </w:r>
      <w:r w:rsidR="005B736E">
        <w:rPr>
          <w:rFonts w:ascii="Book Antiqua" w:hAnsi="Book Antiqua" w:cs="Arial"/>
        </w:rPr>
        <w:t>Mr I Jarvis</w:t>
      </w:r>
      <w:r w:rsidR="000504A5">
        <w:rPr>
          <w:rFonts w:ascii="Book Antiqua" w:hAnsi="Book Antiqua" w:cs="Arial"/>
        </w:rPr>
        <w:t>, HOPO</w:t>
      </w:r>
    </w:p>
    <w:p w14:paraId="40899815" w14:textId="77777777" w:rsidR="00DE7DB7" w:rsidRPr="00CE6902" w:rsidRDefault="00DE7DB7" w:rsidP="00402B9E">
      <w:pPr>
        <w:tabs>
          <w:tab w:val="left" w:pos="2520"/>
        </w:tabs>
        <w:jc w:val="center"/>
        <w:rPr>
          <w:rFonts w:ascii="Book Antiqua" w:hAnsi="Book Antiqua" w:cs="Arial"/>
        </w:rPr>
      </w:pPr>
    </w:p>
    <w:p w14:paraId="799C2FBF" w14:textId="77777777" w:rsidR="00DE7DB7" w:rsidRPr="00CE6902" w:rsidRDefault="00DE7DB7" w:rsidP="00402B9E">
      <w:pPr>
        <w:tabs>
          <w:tab w:val="left" w:pos="2520"/>
        </w:tabs>
        <w:jc w:val="center"/>
        <w:rPr>
          <w:rFonts w:ascii="Book Antiqua" w:hAnsi="Book Antiqua" w:cs="Arial"/>
        </w:rPr>
      </w:pPr>
    </w:p>
    <w:p w14:paraId="77E0B595" w14:textId="77777777" w:rsidR="00DE7DB7" w:rsidRPr="00CE6902" w:rsidRDefault="00BF3B8C"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CE6902">
        <w:rPr>
          <w:rFonts w:ascii="Book Antiqua" w:hAnsi="Book Antiqua" w:cs="Arial"/>
          <w:b/>
          <w:u w:val="single"/>
        </w:rPr>
        <w:t>AND REASONS</w:t>
      </w:r>
    </w:p>
    <w:p w14:paraId="45C6AC01" w14:textId="77777777" w:rsidR="00C665DF" w:rsidRDefault="005B736E" w:rsidP="00C665DF">
      <w:pPr>
        <w:numPr>
          <w:ilvl w:val="0"/>
          <w:numId w:val="3"/>
        </w:numPr>
        <w:spacing w:before="240"/>
        <w:jc w:val="both"/>
        <w:rPr>
          <w:rFonts w:ascii="Book Antiqua" w:hAnsi="Book Antiqua" w:cs="Arial"/>
        </w:rPr>
      </w:pPr>
      <w:r>
        <w:rPr>
          <w:rFonts w:ascii="Book Antiqua" w:hAnsi="Book Antiqua" w:cs="Arial"/>
        </w:rPr>
        <w:t>This is the appellant’s appeal against the decision of Judge Colvin made following a hearing at Taylor House on 23</w:t>
      </w:r>
      <w:r w:rsidRPr="005B736E">
        <w:rPr>
          <w:rFonts w:ascii="Book Antiqua" w:hAnsi="Book Antiqua" w:cs="Arial"/>
          <w:vertAlign w:val="superscript"/>
        </w:rPr>
        <w:t>rd</w:t>
      </w:r>
      <w:r>
        <w:rPr>
          <w:rFonts w:ascii="Book Antiqua" w:hAnsi="Book Antiqua" w:cs="Arial"/>
        </w:rPr>
        <w:t xml:space="preserve"> November 2017.</w:t>
      </w:r>
    </w:p>
    <w:p w14:paraId="71C1826C" w14:textId="77777777" w:rsidR="005B736E" w:rsidRPr="005B736E" w:rsidRDefault="005B736E" w:rsidP="005B736E">
      <w:pPr>
        <w:spacing w:before="240"/>
        <w:jc w:val="both"/>
        <w:rPr>
          <w:rFonts w:ascii="Book Antiqua" w:hAnsi="Book Antiqua" w:cs="Arial"/>
          <w:b/>
          <w:u w:val="single"/>
        </w:rPr>
      </w:pPr>
      <w:r>
        <w:rPr>
          <w:rFonts w:ascii="Book Antiqua" w:hAnsi="Book Antiqua" w:cs="Arial"/>
          <w:b/>
          <w:u w:val="single"/>
        </w:rPr>
        <w:t>Background</w:t>
      </w:r>
    </w:p>
    <w:p w14:paraId="27B554D5" w14:textId="37D15328" w:rsidR="005B736E" w:rsidRDefault="005B736E" w:rsidP="00C665DF">
      <w:pPr>
        <w:numPr>
          <w:ilvl w:val="0"/>
          <w:numId w:val="3"/>
        </w:numPr>
        <w:spacing w:before="240"/>
        <w:jc w:val="both"/>
        <w:rPr>
          <w:rFonts w:ascii="Book Antiqua" w:hAnsi="Book Antiqua" w:cs="Arial"/>
        </w:rPr>
      </w:pPr>
      <w:r>
        <w:rPr>
          <w:rFonts w:ascii="Book Antiqua" w:hAnsi="Book Antiqua" w:cs="Arial"/>
        </w:rPr>
        <w:t xml:space="preserve">The appellant is a citizen of Uganda born on </w:t>
      </w:r>
      <w:proofErr w:type="gramStart"/>
      <w:r w:rsidR="00886D74">
        <w:rPr>
          <w:rFonts w:ascii="Book Antiqua" w:hAnsi="Book Antiqua" w:cs="Arial"/>
        </w:rPr>
        <w:t>[ ]</w:t>
      </w:r>
      <w:proofErr w:type="gramEnd"/>
      <w:r w:rsidR="00886D74">
        <w:rPr>
          <w:rFonts w:ascii="Book Antiqua" w:hAnsi="Book Antiqua" w:cs="Arial"/>
        </w:rPr>
        <w:t xml:space="preserve"> </w:t>
      </w:r>
      <w:r>
        <w:rPr>
          <w:rFonts w:ascii="Book Antiqua" w:hAnsi="Book Antiqua" w:cs="Arial"/>
        </w:rPr>
        <w:t>1999.  She came to the UK in September 2012 with her cousin and claimed asylum.  She was granted discretionary leave as an unaccompanied asylum seeker child until 19</w:t>
      </w:r>
      <w:r w:rsidRPr="005B736E">
        <w:rPr>
          <w:rFonts w:ascii="Book Antiqua" w:hAnsi="Book Antiqua" w:cs="Arial"/>
          <w:vertAlign w:val="superscript"/>
        </w:rPr>
        <w:t>th</w:t>
      </w:r>
      <w:r>
        <w:rPr>
          <w:rFonts w:ascii="Book Antiqua" w:hAnsi="Book Antiqua" w:cs="Arial"/>
        </w:rPr>
        <w:t xml:space="preserve"> February 2017 when she applied for </w:t>
      </w:r>
      <w:r>
        <w:rPr>
          <w:rFonts w:ascii="Book Antiqua" w:hAnsi="Book Antiqua" w:cs="Arial"/>
        </w:rPr>
        <w:lastRenderedPageBreak/>
        <w:t xml:space="preserve">further leave.  It was the refusal of this leave which was the subject of the appeal before Judge Colvin.  </w:t>
      </w:r>
    </w:p>
    <w:p w14:paraId="728442EC" w14:textId="77777777" w:rsidR="005B736E" w:rsidRDefault="005B736E" w:rsidP="00C665DF">
      <w:pPr>
        <w:numPr>
          <w:ilvl w:val="0"/>
          <w:numId w:val="3"/>
        </w:numPr>
        <w:spacing w:before="240"/>
        <w:jc w:val="both"/>
        <w:rPr>
          <w:rFonts w:ascii="Book Antiqua" w:hAnsi="Book Antiqua" w:cs="Arial"/>
        </w:rPr>
      </w:pPr>
      <w:r>
        <w:rPr>
          <w:rFonts w:ascii="Book Antiqua" w:hAnsi="Book Antiqua" w:cs="Arial"/>
        </w:rPr>
        <w:t>Judge Colvin dismissed the appellant’s appeal against the decision to refuse her asylum but allowed the appeal on Article 8 grounds.  There is no challenge by the respondent to the Article 8 decision.</w:t>
      </w:r>
    </w:p>
    <w:p w14:paraId="570845E1" w14:textId="77777777" w:rsidR="005B736E" w:rsidRDefault="005B736E" w:rsidP="00C665DF">
      <w:pPr>
        <w:numPr>
          <w:ilvl w:val="0"/>
          <w:numId w:val="3"/>
        </w:numPr>
        <w:spacing w:before="240"/>
        <w:jc w:val="both"/>
        <w:rPr>
          <w:rFonts w:ascii="Book Antiqua" w:hAnsi="Book Antiqua" w:cs="Arial"/>
        </w:rPr>
      </w:pPr>
      <w:r>
        <w:rPr>
          <w:rFonts w:ascii="Book Antiqua" w:hAnsi="Book Antiqua" w:cs="Arial"/>
        </w:rPr>
        <w:t>The appellant claimed that she would be at risk on return to Uganda as a lone woman at risk of sexual violence and trafficking.</w:t>
      </w:r>
    </w:p>
    <w:p w14:paraId="736DA32D" w14:textId="16BB69AB" w:rsidR="005B736E" w:rsidRDefault="005B736E" w:rsidP="00C665DF">
      <w:pPr>
        <w:numPr>
          <w:ilvl w:val="0"/>
          <w:numId w:val="3"/>
        </w:numPr>
        <w:spacing w:before="240"/>
        <w:jc w:val="both"/>
        <w:rPr>
          <w:rFonts w:ascii="Book Antiqua" w:hAnsi="Book Antiqua" w:cs="Arial"/>
        </w:rPr>
      </w:pPr>
      <w:r>
        <w:rPr>
          <w:rFonts w:ascii="Book Antiqua" w:hAnsi="Book Antiqua" w:cs="Arial"/>
        </w:rPr>
        <w:t xml:space="preserve">The appellant claimed, and it was accepted, that her mother had died in 2003 and her father abandoned her in 2005 when he went to live in Kenya with his new wife.  </w:t>
      </w:r>
      <w:r w:rsidR="00985C62">
        <w:rPr>
          <w:rFonts w:ascii="Book Antiqua" w:hAnsi="Book Antiqua" w:cs="Arial"/>
        </w:rPr>
        <w:t>She then lived with her cousin</w:t>
      </w:r>
      <w:r w:rsidR="00F25AF5">
        <w:rPr>
          <w:rFonts w:ascii="Book Antiqua" w:hAnsi="Book Antiqua" w:cs="Arial"/>
        </w:rPr>
        <w:t xml:space="preserve"> </w:t>
      </w:r>
      <w:proofErr w:type="spellStart"/>
      <w:r w:rsidR="00F25AF5">
        <w:rPr>
          <w:rFonts w:ascii="Book Antiqua" w:hAnsi="Book Antiqua" w:cs="Arial"/>
        </w:rPr>
        <w:t>Ritah</w:t>
      </w:r>
      <w:proofErr w:type="spellEnd"/>
      <w:r w:rsidR="00985C62">
        <w:rPr>
          <w:rFonts w:ascii="Book Antiqua" w:hAnsi="Book Antiqua" w:cs="Arial"/>
        </w:rPr>
        <w:t xml:space="preserve"> </w:t>
      </w:r>
      <w:proofErr w:type="spellStart"/>
      <w:r w:rsidR="00985C62">
        <w:rPr>
          <w:rFonts w:ascii="Book Antiqua" w:hAnsi="Book Antiqua" w:cs="Arial"/>
        </w:rPr>
        <w:t>Mbaziira</w:t>
      </w:r>
      <w:r w:rsidR="00F25AF5">
        <w:rPr>
          <w:rFonts w:ascii="Book Antiqua" w:hAnsi="Book Antiqua" w:cs="Arial"/>
        </w:rPr>
        <w:t>’s</w:t>
      </w:r>
      <w:proofErr w:type="spellEnd"/>
      <w:r w:rsidR="00F25AF5">
        <w:rPr>
          <w:rFonts w:ascii="Book Antiqua" w:hAnsi="Book Antiqua" w:cs="Arial"/>
        </w:rPr>
        <w:t xml:space="preserve"> family until 2010</w:t>
      </w:r>
      <w:r w:rsidR="00985C62">
        <w:rPr>
          <w:rFonts w:ascii="Book Antiqua" w:hAnsi="Book Antiqua" w:cs="Arial"/>
        </w:rPr>
        <w:t>, when her aunt and uncle</w:t>
      </w:r>
      <w:r w:rsidR="00F25AF5">
        <w:rPr>
          <w:rFonts w:ascii="Book Antiqua" w:hAnsi="Book Antiqua" w:cs="Arial"/>
        </w:rPr>
        <w:t xml:space="preserve"> died and she was looked after by her cousin and a younger brother and sister.  In 2012 the brother and sister were left with a family friend and </w:t>
      </w:r>
      <w:proofErr w:type="spellStart"/>
      <w:r w:rsidR="00F25AF5">
        <w:rPr>
          <w:rFonts w:ascii="Book Antiqua" w:hAnsi="Book Antiqua" w:cs="Arial"/>
        </w:rPr>
        <w:t>Ritah</w:t>
      </w:r>
      <w:proofErr w:type="spellEnd"/>
      <w:r w:rsidR="00F25AF5">
        <w:rPr>
          <w:rFonts w:ascii="Book Antiqua" w:hAnsi="Book Antiqua" w:cs="Arial"/>
        </w:rPr>
        <w:t xml:space="preserve"> paid for an agent to take her and the appellant to the UK.  </w:t>
      </w:r>
    </w:p>
    <w:p w14:paraId="5019D867" w14:textId="783E0D1E" w:rsidR="00F25AF5" w:rsidRDefault="00F25AF5" w:rsidP="00C665DF">
      <w:pPr>
        <w:numPr>
          <w:ilvl w:val="0"/>
          <w:numId w:val="3"/>
        </w:numPr>
        <w:spacing w:before="240"/>
        <w:jc w:val="both"/>
        <w:rPr>
          <w:rFonts w:ascii="Book Antiqua" w:hAnsi="Book Antiqua" w:cs="Arial"/>
        </w:rPr>
      </w:pPr>
      <w:r>
        <w:rPr>
          <w:rFonts w:ascii="Book Antiqua" w:hAnsi="Book Antiqua" w:cs="Arial"/>
        </w:rPr>
        <w:t>T</w:t>
      </w:r>
      <w:r w:rsidR="007C52F5">
        <w:rPr>
          <w:rFonts w:ascii="Book Antiqua" w:hAnsi="Book Antiqua" w:cs="Arial"/>
        </w:rPr>
        <w:t xml:space="preserve">hey both claimed asylum.  </w:t>
      </w:r>
      <w:proofErr w:type="spellStart"/>
      <w:r w:rsidR="007C52F5">
        <w:rPr>
          <w:rFonts w:ascii="Book Antiqua" w:hAnsi="Book Antiqua" w:cs="Arial"/>
        </w:rPr>
        <w:t>Ritah</w:t>
      </w:r>
      <w:proofErr w:type="spellEnd"/>
      <w:r>
        <w:rPr>
          <w:rFonts w:ascii="Book Antiqua" w:hAnsi="Book Antiqua" w:cs="Arial"/>
        </w:rPr>
        <w:t xml:space="preserve"> was similarly refused and her appeal against the refusal was dismissed on 26</w:t>
      </w:r>
      <w:r w:rsidRPr="00F25AF5">
        <w:rPr>
          <w:rFonts w:ascii="Book Antiqua" w:hAnsi="Book Antiqua" w:cs="Arial"/>
          <w:vertAlign w:val="superscript"/>
        </w:rPr>
        <w:t>th</w:t>
      </w:r>
      <w:r>
        <w:rPr>
          <w:rFonts w:ascii="Book Antiqua" w:hAnsi="Book Antiqua" w:cs="Arial"/>
        </w:rPr>
        <w:t xml:space="preserve"> January 2017.  A copy of that determination was not available at the hearing.  </w:t>
      </w:r>
      <w:proofErr w:type="gramStart"/>
      <w:r>
        <w:rPr>
          <w:rFonts w:ascii="Book Antiqua" w:hAnsi="Book Antiqua" w:cs="Arial"/>
        </w:rPr>
        <w:t>However</w:t>
      </w:r>
      <w:proofErr w:type="gramEnd"/>
      <w:r>
        <w:rPr>
          <w:rFonts w:ascii="Book Antiqua" w:hAnsi="Book Antiqua" w:cs="Arial"/>
        </w:rPr>
        <w:t xml:space="preserve"> the judge told the parties that she would make every effort to obtain it and in fact she did.  </w:t>
      </w:r>
      <w:r w:rsidR="001072D5">
        <w:rPr>
          <w:rFonts w:ascii="Book Antiqua" w:hAnsi="Book Antiqua" w:cs="Arial"/>
        </w:rPr>
        <w:t xml:space="preserve">According to the note of the hearing provided by the representative Henry </w:t>
      </w:r>
      <w:proofErr w:type="spellStart"/>
      <w:r w:rsidR="001072D5">
        <w:rPr>
          <w:rFonts w:ascii="Book Antiqua" w:hAnsi="Book Antiqua" w:cs="Arial"/>
        </w:rPr>
        <w:t>Ti</w:t>
      </w:r>
      <w:proofErr w:type="spellEnd"/>
      <w:r w:rsidR="001072D5">
        <w:rPr>
          <w:rFonts w:ascii="Book Antiqua" w:hAnsi="Book Antiqua" w:cs="Arial"/>
        </w:rPr>
        <w:t xml:space="preserve"> the Immigration Judge asked him to email the decision to her.  </w:t>
      </w:r>
      <w:proofErr w:type="gramStart"/>
      <w:r w:rsidR="001072D5">
        <w:rPr>
          <w:rFonts w:ascii="Book Antiqua" w:hAnsi="Book Antiqua" w:cs="Arial"/>
        </w:rPr>
        <w:t>However</w:t>
      </w:r>
      <w:proofErr w:type="gramEnd"/>
      <w:r w:rsidR="001072D5">
        <w:rPr>
          <w:rFonts w:ascii="Book Antiqua" w:hAnsi="Book Antiqua" w:cs="Arial"/>
        </w:rPr>
        <w:t xml:space="preserve"> it appears that she obtained it through other means since Mr </w:t>
      </w:r>
      <w:proofErr w:type="spellStart"/>
      <w:r w:rsidR="001072D5">
        <w:rPr>
          <w:rFonts w:ascii="Book Antiqua" w:hAnsi="Book Antiqua" w:cs="Arial"/>
        </w:rPr>
        <w:t>Ti</w:t>
      </w:r>
      <w:proofErr w:type="spellEnd"/>
      <w:r w:rsidR="001072D5">
        <w:rPr>
          <w:rFonts w:ascii="Book Antiqua" w:hAnsi="Book Antiqua" w:cs="Arial"/>
        </w:rPr>
        <w:t xml:space="preserve"> told me that he still had not obtained a copy of the decision.</w:t>
      </w:r>
    </w:p>
    <w:p w14:paraId="0A8FC65B" w14:textId="0D808F05" w:rsidR="001072D5" w:rsidRDefault="001072D5" w:rsidP="00C665DF">
      <w:pPr>
        <w:numPr>
          <w:ilvl w:val="0"/>
          <w:numId w:val="3"/>
        </w:numPr>
        <w:spacing w:before="240"/>
        <w:jc w:val="both"/>
        <w:rPr>
          <w:rFonts w:ascii="Book Antiqua" w:hAnsi="Book Antiqua" w:cs="Arial"/>
        </w:rPr>
      </w:pPr>
      <w:r>
        <w:rPr>
          <w:rFonts w:ascii="Book Antiqua" w:hAnsi="Book Antiqua" w:cs="Arial"/>
        </w:rPr>
        <w:t>The judge referred to that decision in her determination.  She said that at paragraph 38 it was found</w:t>
      </w:r>
      <w:r w:rsidR="00985C62">
        <w:rPr>
          <w:rFonts w:ascii="Book Antiqua" w:hAnsi="Book Antiqua" w:cs="Arial"/>
        </w:rPr>
        <w:t>,</w:t>
      </w:r>
      <w:r>
        <w:rPr>
          <w:rFonts w:ascii="Book Antiqua" w:hAnsi="Book Antiqua" w:cs="Arial"/>
        </w:rPr>
        <w:t xml:space="preserve"> on the evidence</w:t>
      </w:r>
      <w:r w:rsidR="00985C62">
        <w:rPr>
          <w:rFonts w:ascii="Book Antiqua" w:hAnsi="Book Antiqua" w:cs="Arial"/>
        </w:rPr>
        <w:t>,</w:t>
      </w:r>
      <w:r>
        <w:rPr>
          <w:rFonts w:ascii="Book Antiqua" w:hAnsi="Book Antiqua" w:cs="Arial"/>
        </w:rPr>
        <w:t xml:space="preserve"> that </w:t>
      </w:r>
      <w:proofErr w:type="spellStart"/>
      <w:r>
        <w:rPr>
          <w:rFonts w:ascii="Book Antiqua" w:hAnsi="Book Antiqua" w:cs="Arial"/>
        </w:rPr>
        <w:t>Ritah</w:t>
      </w:r>
      <w:proofErr w:type="spellEnd"/>
      <w:r>
        <w:rPr>
          <w:rFonts w:ascii="Book Antiqua" w:hAnsi="Book Antiqua" w:cs="Arial"/>
        </w:rPr>
        <w:t xml:space="preserve"> was in touch with her siblings and her mother’s friend with whom the younger children had been left</w:t>
      </w:r>
      <w:r w:rsidR="00985C62">
        <w:rPr>
          <w:rFonts w:ascii="Book Antiqua" w:hAnsi="Book Antiqua" w:cs="Arial"/>
        </w:rPr>
        <w:t>,</w:t>
      </w:r>
      <w:r>
        <w:rPr>
          <w:rFonts w:ascii="Book Antiqua" w:hAnsi="Book Antiqua" w:cs="Arial"/>
        </w:rPr>
        <w:t xml:space="preserve"> and she was likely to have some practical and emotional support from them although not financial support.  She also had an uncle in Uganda.  </w:t>
      </w:r>
    </w:p>
    <w:p w14:paraId="48B949DB" w14:textId="77777777" w:rsidR="001072D5" w:rsidRDefault="001072D5" w:rsidP="00C665DF">
      <w:pPr>
        <w:numPr>
          <w:ilvl w:val="0"/>
          <w:numId w:val="3"/>
        </w:numPr>
        <w:spacing w:before="240"/>
        <w:jc w:val="both"/>
        <w:rPr>
          <w:rFonts w:ascii="Book Antiqua" w:hAnsi="Book Antiqua" w:cs="Arial"/>
        </w:rPr>
      </w:pPr>
      <w:r>
        <w:rPr>
          <w:rFonts w:ascii="Book Antiqua" w:hAnsi="Book Antiqua" w:cs="Arial"/>
        </w:rPr>
        <w:t>The judge wrote as follows:</w:t>
      </w:r>
    </w:p>
    <w:p w14:paraId="07532443" w14:textId="77777777" w:rsidR="001072D5" w:rsidRDefault="001072D5" w:rsidP="001072D5">
      <w:pPr>
        <w:spacing w:before="240"/>
        <w:ind w:left="1134"/>
        <w:jc w:val="both"/>
        <w:rPr>
          <w:rFonts w:ascii="Book Antiqua" w:hAnsi="Book Antiqua" w:cs="Arial"/>
        </w:rPr>
      </w:pPr>
      <w:r>
        <w:rPr>
          <w:rFonts w:ascii="Book Antiqua" w:hAnsi="Book Antiqua" w:cs="Arial"/>
        </w:rPr>
        <w:t>“I refer to this decision of the cousin on the grounds that the issue of whether the appellant has support in Uganda is necessarily entwined with that of her cousin.  She lived with her cousin’s family for some five years (2005 to 2010) and then was look</w:t>
      </w:r>
      <w:r w:rsidR="00AF15E8">
        <w:rPr>
          <w:rFonts w:ascii="Book Antiqua" w:hAnsi="Book Antiqua" w:cs="Arial"/>
        </w:rPr>
        <w:t>ed after by her cousin who was three</w:t>
      </w:r>
      <w:r>
        <w:rPr>
          <w:rFonts w:ascii="Book Antiqua" w:hAnsi="Book Antiqua" w:cs="Arial"/>
        </w:rPr>
        <w:t xml:space="preserve"> years older than herself until they both travelled together to the UK in 2012 when </w:t>
      </w:r>
      <w:proofErr w:type="spellStart"/>
      <w:r>
        <w:rPr>
          <w:rFonts w:ascii="Book Antiqua" w:hAnsi="Book Antiqua" w:cs="Arial"/>
        </w:rPr>
        <w:t>Ritah</w:t>
      </w:r>
      <w:proofErr w:type="spellEnd"/>
      <w:r>
        <w:rPr>
          <w:rFonts w:ascii="Book Antiqua" w:hAnsi="Book Antiqua" w:cs="Arial"/>
        </w:rPr>
        <w:t xml:space="preserve"> was aged 16 and the appellant aged 13.  They have both had asylum claims dismissed and whilst </w:t>
      </w:r>
      <w:proofErr w:type="spellStart"/>
      <w:r>
        <w:rPr>
          <w:rFonts w:ascii="Book Antiqua" w:hAnsi="Book Antiqua" w:cs="Arial"/>
        </w:rPr>
        <w:t>Ritah</w:t>
      </w:r>
      <w:proofErr w:type="spellEnd"/>
      <w:r>
        <w:rPr>
          <w:rFonts w:ascii="Book Antiqua" w:hAnsi="Book Antiqua" w:cs="Arial"/>
        </w:rPr>
        <w:t xml:space="preserve"> did not attend to give oral evidence in the appellant’s appeal she did submit two written statements in support as referred to above.  The dismissal of the cousin’s appeal appears not to have been the subject of any further appeal and although I am told that </w:t>
      </w:r>
      <w:proofErr w:type="spellStart"/>
      <w:r>
        <w:rPr>
          <w:rFonts w:ascii="Book Antiqua" w:hAnsi="Book Antiqua" w:cs="Arial"/>
        </w:rPr>
        <w:t>Ritah</w:t>
      </w:r>
      <w:proofErr w:type="spellEnd"/>
      <w:r>
        <w:rPr>
          <w:rFonts w:ascii="Book Antiqua" w:hAnsi="Book Antiqua" w:cs="Arial"/>
        </w:rPr>
        <w:t xml:space="preserve"> is considering making </w:t>
      </w:r>
      <w:proofErr w:type="gramStart"/>
      <w:r>
        <w:rPr>
          <w:rFonts w:ascii="Book Antiqua" w:hAnsi="Book Antiqua" w:cs="Arial"/>
        </w:rPr>
        <w:t>a fresh human rights</w:t>
      </w:r>
      <w:proofErr w:type="gramEnd"/>
      <w:r>
        <w:rPr>
          <w:rFonts w:ascii="Book Antiqua" w:hAnsi="Book Antiqua" w:cs="Arial"/>
        </w:rPr>
        <w:t xml:space="preserve"> claim she has yet to do so.  This means that at the date of this hearing I am bound to consider the fact that the </w:t>
      </w:r>
      <w:r w:rsidR="00FC4665">
        <w:rPr>
          <w:rFonts w:ascii="Book Antiqua" w:hAnsi="Book Antiqua" w:cs="Arial"/>
        </w:rPr>
        <w:t>a</w:t>
      </w:r>
      <w:r>
        <w:rPr>
          <w:rFonts w:ascii="Book Antiqua" w:hAnsi="Book Antiqua" w:cs="Arial"/>
        </w:rPr>
        <w:t xml:space="preserve">ppellant’s cousin has no immigration status in the UK and therefore the position put forward by the </w:t>
      </w:r>
      <w:r w:rsidR="00FC4665">
        <w:rPr>
          <w:rFonts w:ascii="Book Antiqua" w:hAnsi="Book Antiqua" w:cs="Arial"/>
        </w:rPr>
        <w:t>r</w:t>
      </w:r>
      <w:r>
        <w:rPr>
          <w:rFonts w:ascii="Book Antiqua" w:hAnsi="Book Antiqua" w:cs="Arial"/>
        </w:rPr>
        <w:t xml:space="preserve">espondent that the </w:t>
      </w:r>
      <w:r w:rsidR="00FC4665">
        <w:rPr>
          <w:rFonts w:ascii="Book Antiqua" w:hAnsi="Book Antiqua" w:cs="Arial"/>
        </w:rPr>
        <w:t>a</w:t>
      </w:r>
      <w:r>
        <w:rPr>
          <w:rFonts w:ascii="Book Antiqua" w:hAnsi="Book Antiqua" w:cs="Arial"/>
        </w:rPr>
        <w:t>ppellant and her cousin could return to Uganda together is a reasonable and viable option.  And</w:t>
      </w:r>
      <w:r w:rsidR="00E2793F">
        <w:rPr>
          <w:rFonts w:ascii="Book Antiqua" w:hAnsi="Book Antiqua" w:cs="Arial"/>
        </w:rPr>
        <w:t xml:space="preserve"> as it was found </w:t>
      </w:r>
      <w:r w:rsidR="00E2793F">
        <w:rPr>
          <w:rFonts w:ascii="Book Antiqua" w:hAnsi="Book Antiqua" w:cs="Arial"/>
        </w:rPr>
        <w:lastRenderedPageBreak/>
        <w:t xml:space="preserve">that </w:t>
      </w:r>
      <w:proofErr w:type="spellStart"/>
      <w:r w:rsidR="00E2793F">
        <w:rPr>
          <w:rFonts w:ascii="Book Antiqua" w:hAnsi="Book Antiqua" w:cs="Arial"/>
        </w:rPr>
        <w:t>Ritah</w:t>
      </w:r>
      <w:proofErr w:type="spellEnd"/>
      <w:r w:rsidR="00E2793F">
        <w:rPr>
          <w:rFonts w:ascii="Book Antiqua" w:hAnsi="Book Antiqua" w:cs="Arial"/>
        </w:rPr>
        <w:t xml:space="preserve"> has some support in Uganda it is reasonable to assume that this is likely to extend to the appellant as well at least in the initial stages of return.”</w:t>
      </w:r>
    </w:p>
    <w:p w14:paraId="1BA2DFAE" w14:textId="77777777" w:rsidR="001072D5" w:rsidRDefault="00E2793F" w:rsidP="00C665DF">
      <w:pPr>
        <w:numPr>
          <w:ilvl w:val="0"/>
          <w:numId w:val="3"/>
        </w:numPr>
        <w:spacing w:before="240"/>
        <w:jc w:val="both"/>
        <w:rPr>
          <w:rFonts w:ascii="Book Antiqua" w:hAnsi="Book Antiqua" w:cs="Arial"/>
        </w:rPr>
      </w:pPr>
      <w:r>
        <w:rPr>
          <w:rFonts w:ascii="Book Antiqua" w:hAnsi="Book Antiqua" w:cs="Arial"/>
        </w:rPr>
        <w:t>The judge then concluded:</w:t>
      </w:r>
    </w:p>
    <w:p w14:paraId="526BD8AC" w14:textId="77777777" w:rsidR="00E2793F" w:rsidRDefault="00E2793F" w:rsidP="00E2793F">
      <w:pPr>
        <w:spacing w:before="240"/>
        <w:ind w:left="1134"/>
        <w:jc w:val="both"/>
        <w:rPr>
          <w:rFonts w:ascii="Book Antiqua" w:hAnsi="Book Antiqua" w:cs="Arial"/>
        </w:rPr>
      </w:pPr>
      <w:r>
        <w:rPr>
          <w:rFonts w:ascii="Book Antiqua" w:hAnsi="Book Antiqua" w:cs="Arial"/>
        </w:rPr>
        <w:t xml:space="preserve">“These risks of course would be more pertinent to the appellant’s situation if she indeed was returning alone to Uganda without any support at all.  </w:t>
      </w:r>
      <w:proofErr w:type="gramStart"/>
      <w:r>
        <w:rPr>
          <w:rFonts w:ascii="Book Antiqua" w:hAnsi="Book Antiqua" w:cs="Arial"/>
        </w:rPr>
        <w:t>However</w:t>
      </w:r>
      <w:proofErr w:type="gramEnd"/>
      <w:r>
        <w:rPr>
          <w:rFonts w:ascii="Book Antiqua" w:hAnsi="Book Antiqua" w:cs="Arial"/>
        </w:rPr>
        <w:t xml:space="preserve"> I have found that as at the date of the hearing she and her cousin can return together and there is some support for them in Uganda.  In these circumstances I do not find that the appellant is a member of a particular social group for the purposes of the Refugee Convention or that she is at risk of i</w:t>
      </w:r>
      <w:r w:rsidR="00AF15E8">
        <w:rPr>
          <w:rFonts w:ascii="Book Antiqua" w:hAnsi="Book Antiqua" w:cs="Arial"/>
        </w:rPr>
        <w:t>ll-treatment at Article 3 level</w:t>
      </w:r>
      <w:r>
        <w:rPr>
          <w:rFonts w:ascii="Book Antiqua" w:hAnsi="Book Antiqua" w:cs="Arial"/>
        </w:rPr>
        <w:t>.</w:t>
      </w:r>
      <w:r w:rsidR="00215C71">
        <w:rPr>
          <w:rFonts w:ascii="Book Antiqua" w:hAnsi="Book Antiqua" w:cs="Arial"/>
        </w:rPr>
        <w:t>”</w:t>
      </w:r>
      <w:r>
        <w:rPr>
          <w:rFonts w:ascii="Book Antiqua" w:hAnsi="Book Antiqua" w:cs="Arial"/>
        </w:rPr>
        <w:t xml:space="preserve"> </w:t>
      </w:r>
    </w:p>
    <w:p w14:paraId="0E641CBF" w14:textId="77777777" w:rsidR="00215C71" w:rsidRPr="00215C71" w:rsidRDefault="00215C71" w:rsidP="00215C71">
      <w:pPr>
        <w:spacing w:before="240"/>
        <w:jc w:val="both"/>
        <w:rPr>
          <w:rFonts w:ascii="Book Antiqua" w:hAnsi="Book Antiqua" w:cs="Arial"/>
          <w:b/>
          <w:u w:val="single"/>
        </w:rPr>
      </w:pPr>
      <w:r>
        <w:rPr>
          <w:rFonts w:ascii="Book Antiqua" w:hAnsi="Book Antiqua" w:cs="Arial"/>
          <w:b/>
          <w:u w:val="single"/>
        </w:rPr>
        <w:t>The Grounds of Application</w:t>
      </w:r>
    </w:p>
    <w:p w14:paraId="31AF9232" w14:textId="02D53076" w:rsidR="00E2793F" w:rsidRDefault="00215C71" w:rsidP="00C665DF">
      <w:pPr>
        <w:numPr>
          <w:ilvl w:val="0"/>
          <w:numId w:val="3"/>
        </w:numPr>
        <w:spacing w:before="240"/>
        <w:jc w:val="both"/>
        <w:rPr>
          <w:rFonts w:ascii="Book Antiqua" w:hAnsi="Book Antiqua" w:cs="Arial"/>
        </w:rPr>
      </w:pPr>
      <w:r>
        <w:rPr>
          <w:rFonts w:ascii="Book Antiqua" w:hAnsi="Book Antiqua" w:cs="Arial"/>
        </w:rPr>
        <w:t>The appellant sought permission to appeal.  It was argued that the judge had erred by failing to make clear that she was setting aside a position agreed by the parties and by failing to invite submissions thereon.  At the h</w:t>
      </w:r>
      <w:r w:rsidR="00896632">
        <w:rPr>
          <w:rFonts w:ascii="Book Antiqua" w:hAnsi="Book Antiqua" w:cs="Arial"/>
        </w:rPr>
        <w:t>earing it was accepted</w:t>
      </w:r>
      <w:r w:rsidR="006B48B7">
        <w:rPr>
          <w:rFonts w:ascii="Book Antiqua" w:hAnsi="Book Antiqua" w:cs="Arial"/>
        </w:rPr>
        <w:t xml:space="preserve"> that the existence of</w:t>
      </w:r>
      <w:r>
        <w:rPr>
          <w:rFonts w:ascii="Book Antiqua" w:hAnsi="Book Antiqua" w:cs="Arial"/>
        </w:rPr>
        <w:t xml:space="preserve"> subjective r</w:t>
      </w:r>
      <w:r w:rsidR="00896632">
        <w:rPr>
          <w:rFonts w:ascii="Book Antiqua" w:hAnsi="Book Antiqua" w:cs="Arial"/>
        </w:rPr>
        <w:t>isks was not in dispute and</w:t>
      </w:r>
      <w:r>
        <w:rPr>
          <w:rFonts w:ascii="Book Antiqua" w:hAnsi="Book Antiqua" w:cs="Arial"/>
        </w:rPr>
        <w:t xml:space="preserve"> the sole issue in relation to the protection claim was the question of sufficiency of protection.</w:t>
      </w:r>
    </w:p>
    <w:p w14:paraId="37885497" w14:textId="77777777" w:rsidR="00823D71" w:rsidRDefault="00823D71" w:rsidP="00C665DF">
      <w:pPr>
        <w:numPr>
          <w:ilvl w:val="0"/>
          <w:numId w:val="3"/>
        </w:numPr>
        <w:spacing w:before="240"/>
        <w:jc w:val="both"/>
        <w:rPr>
          <w:rFonts w:ascii="Book Antiqua" w:hAnsi="Book Antiqua" w:cs="Arial"/>
        </w:rPr>
      </w:pPr>
      <w:r>
        <w:rPr>
          <w:rFonts w:ascii="Book Antiqua" w:hAnsi="Book Antiqua" w:cs="Arial"/>
        </w:rPr>
        <w:t xml:space="preserve">The judge had not acted fairly when she gave no indication during the hearing that she intended to set aside the position agreed between the parties.  </w:t>
      </w:r>
    </w:p>
    <w:p w14:paraId="04220930" w14:textId="0C8A5604" w:rsidR="00823D71" w:rsidRDefault="00823D71" w:rsidP="00C665DF">
      <w:pPr>
        <w:numPr>
          <w:ilvl w:val="0"/>
          <w:numId w:val="3"/>
        </w:numPr>
        <w:spacing w:before="240"/>
        <w:jc w:val="both"/>
        <w:rPr>
          <w:rFonts w:ascii="Book Antiqua" w:hAnsi="Book Antiqua" w:cs="Arial"/>
        </w:rPr>
      </w:pPr>
      <w:r>
        <w:rPr>
          <w:rFonts w:ascii="Book Antiqua" w:hAnsi="Book Antiqua" w:cs="Arial"/>
        </w:rPr>
        <w:t>Second it was argued that the judge was wrong to rely o</w:t>
      </w:r>
      <w:r w:rsidR="00CE2FF2">
        <w:rPr>
          <w:rFonts w:ascii="Book Antiqua" w:hAnsi="Book Antiqua" w:cs="Arial"/>
        </w:rPr>
        <w:t xml:space="preserve">n the decision in </w:t>
      </w:r>
      <w:proofErr w:type="spellStart"/>
      <w:r w:rsidR="00CE2FF2">
        <w:rPr>
          <w:rFonts w:ascii="Book Antiqua" w:hAnsi="Book Antiqua" w:cs="Arial"/>
        </w:rPr>
        <w:t>Ritah</w:t>
      </w:r>
      <w:r>
        <w:rPr>
          <w:rFonts w:ascii="Book Antiqua" w:hAnsi="Book Antiqua" w:cs="Arial"/>
        </w:rPr>
        <w:t>’s</w:t>
      </w:r>
      <w:proofErr w:type="spellEnd"/>
      <w:r>
        <w:rPr>
          <w:rFonts w:ascii="Book Antiqua" w:hAnsi="Book Antiqua" w:cs="Arial"/>
        </w:rPr>
        <w:t xml:space="preserve"> case which was an unreported decision of an appeal to which the appellant was not a party.  The appellant had been deprived of an opportunity to respond to the findings made in that determination.</w:t>
      </w:r>
    </w:p>
    <w:p w14:paraId="28C7323B" w14:textId="77777777" w:rsidR="00362199" w:rsidRDefault="00362199" w:rsidP="00C665DF">
      <w:pPr>
        <w:numPr>
          <w:ilvl w:val="0"/>
          <w:numId w:val="3"/>
        </w:numPr>
        <w:spacing w:before="240"/>
        <w:jc w:val="both"/>
        <w:rPr>
          <w:rFonts w:ascii="Book Antiqua" w:hAnsi="Book Antiqua" w:cs="Arial"/>
        </w:rPr>
      </w:pPr>
      <w:proofErr w:type="gramStart"/>
      <w:r>
        <w:rPr>
          <w:rFonts w:ascii="Book Antiqua" w:hAnsi="Book Antiqua" w:cs="Arial"/>
        </w:rPr>
        <w:t>Finally</w:t>
      </w:r>
      <w:proofErr w:type="gramEnd"/>
      <w:r>
        <w:rPr>
          <w:rFonts w:ascii="Book Antiqua" w:hAnsi="Book Antiqua" w:cs="Arial"/>
        </w:rPr>
        <w:t xml:space="preserve"> the judge had erred by confining her risk assessment only for the initial stages of return and failed to explain why she believed that there would be no risk beyond that initial stage. </w:t>
      </w:r>
    </w:p>
    <w:p w14:paraId="7CDED952" w14:textId="77777777" w:rsidR="001339B1" w:rsidRDefault="00362199" w:rsidP="00C665DF">
      <w:pPr>
        <w:numPr>
          <w:ilvl w:val="0"/>
          <w:numId w:val="3"/>
        </w:numPr>
        <w:spacing w:before="240"/>
        <w:jc w:val="both"/>
        <w:rPr>
          <w:rFonts w:ascii="Book Antiqua" w:hAnsi="Book Antiqua" w:cs="Arial"/>
        </w:rPr>
      </w:pPr>
      <w:r>
        <w:rPr>
          <w:rFonts w:ascii="Book Antiqua" w:hAnsi="Book Antiqua" w:cs="Arial"/>
        </w:rPr>
        <w:t>Permission to appeal was initially refused by Judge Lever but granted upon reapplication by Deputy Upper Tribunal Judge Saini on 26</w:t>
      </w:r>
      <w:r w:rsidRPr="00362199">
        <w:rPr>
          <w:rFonts w:ascii="Book Antiqua" w:hAnsi="Book Antiqua" w:cs="Arial"/>
          <w:vertAlign w:val="superscript"/>
        </w:rPr>
        <w:t>th</w:t>
      </w:r>
      <w:r>
        <w:rPr>
          <w:rFonts w:ascii="Book Antiqua" w:hAnsi="Book Antiqua" w:cs="Arial"/>
        </w:rPr>
        <w:t xml:space="preserve"> February 2018.</w:t>
      </w:r>
    </w:p>
    <w:p w14:paraId="0C442178" w14:textId="77777777" w:rsidR="000D17FE" w:rsidRDefault="001339B1" w:rsidP="00C665DF">
      <w:pPr>
        <w:numPr>
          <w:ilvl w:val="0"/>
          <w:numId w:val="3"/>
        </w:numPr>
        <w:spacing w:before="240"/>
        <w:jc w:val="both"/>
        <w:rPr>
          <w:rFonts w:ascii="Book Antiqua" w:hAnsi="Book Antiqua" w:cs="Arial"/>
        </w:rPr>
      </w:pPr>
      <w:r>
        <w:rPr>
          <w:rFonts w:ascii="Book Antiqua" w:hAnsi="Book Antiqua" w:cs="Arial"/>
        </w:rPr>
        <w:t>On 19</w:t>
      </w:r>
      <w:r w:rsidRPr="001339B1">
        <w:rPr>
          <w:rFonts w:ascii="Book Antiqua" w:hAnsi="Book Antiqua" w:cs="Arial"/>
          <w:vertAlign w:val="superscript"/>
        </w:rPr>
        <w:t>th</w:t>
      </w:r>
      <w:r>
        <w:rPr>
          <w:rFonts w:ascii="Book Antiqua" w:hAnsi="Book Antiqua" w:cs="Arial"/>
        </w:rPr>
        <w:t xml:space="preserve"> April 2018 the Secretary of State filed a reply defending the determination.</w:t>
      </w:r>
    </w:p>
    <w:p w14:paraId="2CC4A3AE" w14:textId="77777777" w:rsidR="000D17FE" w:rsidRPr="000D17FE" w:rsidRDefault="000D17FE" w:rsidP="000D17FE">
      <w:pPr>
        <w:spacing w:before="240"/>
        <w:jc w:val="both"/>
        <w:rPr>
          <w:rFonts w:ascii="Book Antiqua" w:hAnsi="Book Antiqua" w:cs="Arial"/>
          <w:b/>
          <w:u w:val="single"/>
        </w:rPr>
      </w:pPr>
      <w:r>
        <w:rPr>
          <w:rFonts w:ascii="Book Antiqua" w:hAnsi="Book Antiqua" w:cs="Arial"/>
          <w:b/>
          <w:u w:val="single"/>
        </w:rPr>
        <w:t>Submissions</w:t>
      </w:r>
    </w:p>
    <w:p w14:paraId="0EC80EB3" w14:textId="18B2D0FC" w:rsidR="00362199" w:rsidRDefault="000D17FE" w:rsidP="00C665DF">
      <w:pPr>
        <w:numPr>
          <w:ilvl w:val="0"/>
          <w:numId w:val="3"/>
        </w:numPr>
        <w:spacing w:before="240"/>
        <w:jc w:val="both"/>
        <w:rPr>
          <w:rFonts w:ascii="Book Antiqua" w:hAnsi="Book Antiqua" w:cs="Arial"/>
        </w:rPr>
      </w:pPr>
      <w:r>
        <w:rPr>
          <w:rFonts w:ascii="Book Antiqua" w:hAnsi="Book Antiqua" w:cs="Arial"/>
        </w:rPr>
        <w:t xml:space="preserve">At the hearing Mr </w:t>
      </w:r>
      <w:proofErr w:type="spellStart"/>
      <w:r>
        <w:rPr>
          <w:rFonts w:ascii="Book Antiqua" w:hAnsi="Book Antiqua" w:cs="Arial"/>
        </w:rPr>
        <w:t>Ti</w:t>
      </w:r>
      <w:proofErr w:type="spellEnd"/>
      <w:r>
        <w:rPr>
          <w:rFonts w:ascii="Book Antiqua" w:hAnsi="Book Antiqua" w:cs="Arial"/>
        </w:rPr>
        <w:t xml:space="preserve"> relied on his grounds and submitted that the judge had erred in law for the reasons set out in his grounds.  He took me to the reasons for refusal lett</w:t>
      </w:r>
      <w:r w:rsidR="0085724D">
        <w:rPr>
          <w:rFonts w:ascii="Book Antiqua" w:hAnsi="Book Antiqua" w:cs="Arial"/>
        </w:rPr>
        <w:t>er.  In that letter he said</w:t>
      </w:r>
      <w:r>
        <w:rPr>
          <w:rFonts w:ascii="Book Antiqua" w:hAnsi="Book Antiqua" w:cs="Arial"/>
        </w:rPr>
        <w:t xml:space="preserve"> there was a concession that trafficking might exist in Uganda although it was illegal and the Ugandan government provides protection services and prosecutes people traffickers.  It was considered that they would be willing and able to provide protection should </w:t>
      </w:r>
      <w:r w:rsidR="006F2423">
        <w:rPr>
          <w:rFonts w:ascii="Book Antiqua" w:hAnsi="Book Antiqua" w:cs="Arial"/>
        </w:rPr>
        <w:t>the appellant require it.</w:t>
      </w:r>
    </w:p>
    <w:p w14:paraId="2BE89D41" w14:textId="77777777" w:rsidR="00980BDE" w:rsidRDefault="00980BDE" w:rsidP="00C665DF">
      <w:pPr>
        <w:numPr>
          <w:ilvl w:val="0"/>
          <w:numId w:val="3"/>
        </w:numPr>
        <w:spacing w:before="240"/>
        <w:jc w:val="both"/>
        <w:rPr>
          <w:rFonts w:ascii="Book Antiqua" w:hAnsi="Book Antiqua" w:cs="Arial"/>
        </w:rPr>
      </w:pPr>
      <w:r>
        <w:rPr>
          <w:rFonts w:ascii="Book Antiqua" w:hAnsi="Book Antiqua" w:cs="Arial"/>
        </w:rPr>
        <w:t xml:space="preserve">He acknowledged that the position of the respondent as set out in the refusal letter was that the </w:t>
      </w:r>
      <w:r w:rsidR="00FC4665">
        <w:rPr>
          <w:rFonts w:ascii="Book Antiqua" w:hAnsi="Book Antiqua" w:cs="Arial"/>
        </w:rPr>
        <w:t>a</w:t>
      </w:r>
      <w:r>
        <w:rPr>
          <w:rFonts w:ascii="Book Antiqua" w:hAnsi="Book Antiqua" w:cs="Arial"/>
        </w:rPr>
        <w:t xml:space="preserve">ppellant could return to Uganda with her cousin.  </w:t>
      </w:r>
      <w:proofErr w:type="gramStart"/>
      <w:r>
        <w:rPr>
          <w:rFonts w:ascii="Book Antiqua" w:hAnsi="Book Antiqua" w:cs="Arial"/>
        </w:rPr>
        <w:t>However</w:t>
      </w:r>
      <w:proofErr w:type="gramEnd"/>
      <w:r>
        <w:rPr>
          <w:rFonts w:ascii="Book Antiqua" w:hAnsi="Book Antiqua" w:cs="Arial"/>
        </w:rPr>
        <w:t xml:space="preserve"> the </w:t>
      </w:r>
      <w:r>
        <w:rPr>
          <w:rFonts w:ascii="Book Antiqua" w:hAnsi="Book Antiqua" w:cs="Arial"/>
        </w:rPr>
        <w:lastRenderedPageBreak/>
        <w:t>comments about the cousin were made in the context of a decision on the reasonableness of return and not the sufficiency of protection available to the appellant.</w:t>
      </w:r>
    </w:p>
    <w:p w14:paraId="15E5913F" w14:textId="77777777" w:rsidR="008D7B7E" w:rsidRDefault="008D7B7E" w:rsidP="00C665DF">
      <w:pPr>
        <w:numPr>
          <w:ilvl w:val="0"/>
          <w:numId w:val="3"/>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Ti</w:t>
      </w:r>
      <w:proofErr w:type="spellEnd"/>
      <w:r>
        <w:rPr>
          <w:rFonts w:ascii="Book Antiqua" w:hAnsi="Book Antiqua" w:cs="Arial"/>
        </w:rPr>
        <w:t xml:space="preserve"> relied on the case of </w:t>
      </w:r>
      <w:proofErr w:type="spellStart"/>
      <w:r w:rsidRPr="008D7B7E">
        <w:rPr>
          <w:rFonts w:ascii="Book Antiqua" w:hAnsi="Book Antiqua" w:cs="Arial"/>
          <w:u w:val="single"/>
        </w:rPr>
        <w:t>Kalidas</w:t>
      </w:r>
      <w:proofErr w:type="spellEnd"/>
      <w:r>
        <w:rPr>
          <w:rFonts w:ascii="Book Antiqua" w:hAnsi="Book Antiqua" w:cs="Arial"/>
        </w:rPr>
        <w:t xml:space="preserve"> (agreed facts – best practice) [2012] UKUT 00327 which held that judges could only look behind factual concessions in exceptional circumstances and if the scope of a concession was unclear the judge must draw that to the attention of the representatives.</w:t>
      </w:r>
    </w:p>
    <w:p w14:paraId="2301CE11" w14:textId="50C3E608" w:rsidR="008D7B7E" w:rsidRDefault="008D7B7E" w:rsidP="00C665DF">
      <w:pPr>
        <w:numPr>
          <w:ilvl w:val="0"/>
          <w:numId w:val="3"/>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Ti</w:t>
      </w:r>
      <w:proofErr w:type="spellEnd"/>
      <w:r>
        <w:rPr>
          <w:rFonts w:ascii="Book Antiqua" w:hAnsi="Book Antiqua" w:cs="Arial"/>
        </w:rPr>
        <w:t xml:space="preserve"> argued that the judge had acted unfairly by giving the appellant no chance to respond to the findings in the determination of </w:t>
      </w:r>
      <w:proofErr w:type="spellStart"/>
      <w:r>
        <w:rPr>
          <w:rFonts w:ascii="Book Antiqua" w:hAnsi="Book Antiqua" w:cs="Arial"/>
        </w:rPr>
        <w:t>Ritah</w:t>
      </w:r>
      <w:proofErr w:type="spellEnd"/>
      <w:r>
        <w:rPr>
          <w:rFonts w:ascii="Book Antiqua" w:hAnsi="Book Antiqua" w:cs="Arial"/>
        </w:rPr>
        <w:t xml:space="preserve"> </w:t>
      </w:r>
      <w:proofErr w:type="spellStart"/>
      <w:r>
        <w:rPr>
          <w:rFonts w:ascii="Book Antiqua" w:hAnsi="Book Antiqua" w:cs="Arial"/>
        </w:rPr>
        <w:t>Mbaziira</w:t>
      </w:r>
      <w:proofErr w:type="spellEnd"/>
      <w:r>
        <w:rPr>
          <w:rFonts w:ascii="Book Antiqua" w:hAnsi="Book Antiqua" w:cs="Arial"/>
        </w:rPr>
        <w:t>.  The only time the judge raised the issue of her returning with her cousin was in the context of whether the</w:t>
      </w:r>
      <w:r w:rsidR="006B48B7">
        <w:rPr>
          <w:rFonts w:ascii="Book Antiqua" w:hAnsi="Book Antiqua" w:cs="Arial"/>
        </w:rPr>
        <w:t xml:space="preserve"> appellant wou</w:t>
      </w:r>
      <w:r>
        <w:rPr>
          <w:rFonts w:ascii="Book Antiqua" w:hAnsi="Book Antiqua" w:cs="Arial"/>
        </w:rPr>
        <w:t>l</w:t>
      </w:r>
      <w:r w:rsidR="006B48B7">
        <w:rPr>
          <w:rFonts w:ascii="Book Antiqua" w:hAnsi="Book Antiqua" w:cs="Arial"/>
        </w:rPr>
        <w:t>d</w:t>
      </w:r>
      <w:r>
        <w:rPr>
          <w:rFonts w:ascii="Book Antiqua" w:hAnsi="Book Antiqua" w:cs="Arial"/>
        </w:rPr>
        <w:t xml:space="preserve"> still be considered a member of a particular social group namely lone females returning to Uganda</w:t>
      </w:r>
      <w:r w:rsidR="00896632">
        <w:rPr>
          <w:rFonts w:ascii="Book Antiqua" w:hAnsi="Book Antiqua" w:cs="Arial"/>
        </w:rPr>
        <w:t>, and</w:t>
      </w:r>
      <w:r>
        <w:rPr>
          <w:rFonts w:ascii="Book Antiqua" w:hAnsi="Book Antiqua" w:cs="Arial"/>
        </w:rPr>
        <w:t xml:space="preserve"> not in the context of whether her return would reduce the risk for the </w:t>
      </w:r>
      <w:r w:rsidR="007C61B1">
        <w:rPr>
          <w:rFonts w:ascii="Book Antiqua" w:hAnsi="Book Antiqua" w:cs="Arial"/>
        </w:rPr>
        <w:t>a</w:t>
      </w:r>
      <w:r>
        <w:rPr>
          <w:rFonts w:ascii="Book Antiqua" w:hAnsi="Book Antiqua" w:cs="Arial"/>
        </w:rPr>
        <w:t>ppellant.</w:t>
      </w:r>
      <w:r w:rsidR="007C61B1">
        <w:rPr>
          <w:rFonts w:ascii="Book Antiqua" w:hAnsi="Book Antiqua" w:cs="Arial"/>
        </w:rPr>
        <w:t xml:space="preserve">  The judge was therefore deviating from the reasons for refusal letter without giving the appellant a chance to respond. </w:t>
      </w:r>
      <w:r w:rsidR="00896632">
        <w:rPr>
          <w:rFonts w:ascii="Book Antiqua" w:hAnsi="Book Antiqua" w:cs="Arial"/>
        </w:rPr>
        <w:t xml:space="preserve">She had </w:t>
      </w:r>
      <w:proofErr w:type="gramStart"/>
      <w:r w:rsidR="00896632">
        <w:rPr>
          <w:rFonts w:ascii="Book Antiqua" w:hAnsi="Book Antiqua" w:cs="Arial"/>
        </w:rPr>
        <w:t xml:space="preserve">adopted </w:t>
      </w:r>
      <w:r w:rsidR="007C61B1">
        <w:rPr>
          <w:rFonts w:ascii="Book Antiqua" w:hAnsi="Book Antiqua" w:cs="Arial"/>
        </w:rPr>
        <w:t xml:space="preserve"> wholesale</w:t>
      </w:r>
      <w:proofErr w:type="gramEnd"/>
      <w:r w:rsidR="007C61B1">
        <w:rPr>
          <w:rFonts w:ascii="Book Antiqua" w:hAnsi="Book Antiqua" w:cs="Arial"/>
        </w:rPr>
        <w:t xml:space="preserve"> </w:t>
      </w:r>
      <w:r w:rsidR="00896632">
        <w:rPr>
          <w:rFonts w:ascii="Book Antiqua" w:hAnsi="Book Antiqua" w:cs="Arial"/>
        </w:rPr>
        <w:t xml:space="preserve">and </w:t>
      </w:r>
      <w:r w:rsidR="007C61B1">
        <w:rPr>
          <w:rFonts w:ascii="Book Antiqua" w:hAnsi="Book Antiqua" w:cs="Arial"/>
        </w:rPr>
        <w:t xml:space="preserve">without question the finding that </w:t>
      </w:r>
      <w:proofErr w:type="spellStart"/>
      <w:r w:rsidR="007C61B1">
        <w:rPr>
          <w:rFonts w:ascii="Book Antiqua" w:hAnsi="Book Antiqua" w:cs="Arial"/>
        </w:rPr>
        <w:t>Ritah</w:t>
      </w:r>
      <w:proofErr w:type="spellEnd"/>
      <w:r w:rsidR="007C61B1">
        <w:rPr>
          <w:rFonts w:ascii="Book Antiqua" w:hAnsi="Book Antiqua" w:cs="Arial"/>
        </w:rPr>
        <w:t xml:space="preserve"> was in touch with friends and relatives in Uganda</w:t>
      </w:r>
      <w:r w:rsidR="00896632">
        <w:rPr>
          <w:rFonts w:ascii="Book Antiqua" w:hAnsi="Book Antiqua" w:cs="Arial"/>
        </w:rPr>
        <w:t xml:space="preserve">. She </w:t>
      </w:r>
      <w:r w:rsidR="007C61B1">
        <w:rPr>
          <w:rFonts w:ascii="Book Antiqua" w:hAnsi="Book Antiqua" w:cs="Arial"/>
        </w:rPr>
        <w:t xml:space="preserve">had not given any indication that she had treated the findings in </w:t>
      </w:r>
      <w:proofErr w:type="spellStart"/>
      <w:r w:rsidR="007C61B1">
        <w:rPr>
          <w:rFonts w:ascii="Book Antiqua" w:hAnsi="Book Antiqua" w:cs="Arial"/>
        </w:rPr>
        <w:t>Ritah’s</w:t>
      </w:r>
      <w:proofErr w:type="spellEnd"/>
      <w:r w:rsidR="007C61B1">
        <w:rPr>
          <w:rFonts w:ascii="Book Antiqua" w:hAnsi="Book Antiqua" w:cs="Arial"/>
        </w:rPr>
        <w:t xml:space="preserve"> appeal merely as a starting point or that she was aware that there might be good reason to de</w:t>
      </w:r>
      <w:r w:rsidR="00734AE4">
        <w:rPr>
          <w:rFonts w:ascii="Book Antiqua" w:hAnsi="Book Antiqua" w:cs="Arial"/>
        </w:rPr>
        <w:t>part from the earlier findings, which were more than ten months prior to the hearing of the appellant’s appeal; the possibility that they did not necessarily apply any more was not considered by the judge.</w:t>
      </w:r>
      <w:r w:rsidR="00734AE4" w:rsidRPr="00734AE4">
        <w:rPr>
          <w:rFonts w:ascii="Book Antiqua" w:hAnsi="Book Antiqua" w:cs="Arial"/>
        </w:rPr>
        <w:t xml:space="preserve"> </w:t>
      </w:r>
      <w:r w:rsidR="00734AE4">
        <w:rPr>
          <w:rFonts w:ascii="Book Antiqua" w:hAnsi="Book Antiqua" w:cs="Arial"/>
        </w:rPr>
        <w:t>Although she</w:t>
      </w:r>
      <w:r w:rsidR="007C61B1">
        <w:rPr>
          <w:rFonts w:ascii="Book Antiqua" w:hAnsi="Book Antiqua" w:cs="Arial"/>
        </w:rPr>
        <w:t xml:space="preserve"> had made it known that she intended to have sight of the appeal decision there was no indication whatsoever of what she intended to adopt from that earlier decision</w:t>
      </w:r>
      <w:r w:rsidR="00734AE4">
        <w:rPr>
          <w:rFonts w:ascii="Book Antiqua" w:hAnsi="Book Antiqua" w:cs="Arial"/>
        </w:rPr>
        <w:t>. I</w:t>
      </w:r>
      <w:r w:rsidR="007C61B1">
        <w:rPr>
          <w:rFonts w:ascii="Book Antiqua" w:hAnsi="Book Antiqua" w:cs="Arial"/>
        </w:rPr>
        <w:t xml:space="preserve">t therefore would not have been reasonable to expect the appellant to address all possible issues which might arise.  </w:t>
      </w:r>
    </w:p>
    <w:p w14:paraId="174B3426" w14:textId="77777777" w:rsidR="00704771" w:rsidRDefault="00704771" w:rsidP="00C665DF">
      <w:pPr>
        <w:numPr>
          <w:ilvl w:val="0"/>
          <w:numId w:val="3"/>
        </w:numPr>
        <w:spacing w:before="240"/>
        <w:jc w:val="both"/>
        <w:rPr>
          <w:rFonts w:ascii="Book Antiqua" w:hAnsi="Book Antiqua" w:cs="Arial"/>
        </w:rPr>
      </w:pPr>
      <w:proofErr w:type="gramStart"/>
      <w:r>
        <w:rPr>
          <w:rFonts w:ascii="Book Antiqua" w:hAnsi="Book Antiqua" w:cs="Arial"/>
        </w:rPr>
        <w:t>Finally</w:t>
      </w:r>
      <w:proofErr w:type="gramEnd"/>
      <w:r>
        <w:rPr>
          <w:rFonts w:ascii="Book Antiqua" w:hAnsi="Book Antiqua" w:cs="Arial"/>
        </w:rPr>
        <w:t xml:space="preserve"> he argued that the judge had wrongfully confined her assessment to the risk at the initial stages of return and failed to explain why she believed that there would be no risk beyond those initial </w:t>
      </w:r>
      <w:r w:rsidR="00FF5A63">
        <w:rPr>
          <w:rFonts w:ascii="Book Antiqua" w:hAnsi="Book Antiqua" w:cs="Arial"/>
        </w:rPr>
        <w:t>stages.</w:t>
      </w:r>
    </w:p>
    <w:p w14:paraId="4B50317F" w14:textId="47F191E5" w:rsidR="00FF5A63" w:rsidRPr="00756AA2" w:rsidRDefault="00FF5A63" w:rsidP="00756AA2">
      <w:pPr>
        <w:numPr>
          <w:ilvl w:val="0"/>
          <w:numId w:val="3"/>
        </w:numPr>
        <w:spacing w:before="240"/>
        <w:jc w:val="both"/>
        <w:rPr>
          <w:rFonts w:ascii="Book Antiqua" w:hAnsi="Book Antiqua" w:cs="Arial"/>
        </w:rPr>
      </w:pPr>
      <w:r>
        <w:rPr>
          <w:rFonts w:ascii="Book Antiqua" w:hAnsi="Book Antiqua" w:cs="Arial"/>
        </w:rPr>
        <w:t xml:space="preserve">Mr Jarvis defended the determination.  He submitted that the appellant had always been aware that it was the respondent’s case that she could return to Uganda with her cousin.  It was not a new issue.  </w:t>
      </w:r>
      <w:r w:rsidR="00734AE4">
        <w:rPr>
          <w:rFonts w:ascii="Book Antiqua" w:hAnsi="Book Antiqua" w:cs="Arial"/>
        </w:rPr>
        <w:t xml:space="preserve"> </w:t>
      </w:r>
      <w:r w:rsidR="00756AA2" w:rsidRPr="00756AA2">
        <w:rPr>
          <w:rFonts w:ascii="Book Antiqua" w:hAnsi="Book Antiqua" w:cs="Arial"/>
        </w:rPr>
        <w:t>He</w:t>
      </w:r>
      <w:r w:rsidRPr="00756AA2">
        <w:rPr>
          <w:rFonts w:ascii="Book Antiqua" w:hAnsi="Book Antiqua" w:cs="Arial"/>
        </w:rPr>
        <w:t xml:space="preserve"> disputed that there had been any concession in the reasons for refusal letter.  The Secretary of State had set out his understanding of the claim and why he believed that the appellant would not be at risk. In any event the cousin had received the determination and the appellant therefore had access to it.  There was nothing in that determination which could reasonably have caused her surprise. </w:t>
      </w:r>
    </w:p>
    <w:p w14:paraId="5E87A263" w14:textId="77777777" w:rsidR="00FF5A63" w:rsidRPr="00FF5A63" w:rsidRDefault="00FF5A63" w:rsidP="00FF5A63">
      <w:pPr>
        <w:spacing w:before="240"/>
        <w:jc w:val="both"/>
        <w:rPr>
          <w:rFonts w:ascii="Book Antiqua" w:hAnsi="Book Antiqua" w:cs="Arial"/>
          <w:b/>
          <w:u w:val="single"/>
        </w:rPr>
      </w:pPr>
      <w:r>
        <w:rPr>
          <w:rFonts w:ascii="Book Antiqua" w:hAnsi="Book Antiqua" w:cs="Arial"/>
          <w:b/>
          <w:u w:val="single"/>
        </w:rPr>
        <w:t>Findings and Conclusions</w:t>
      </w:r>
    </w:p>
    <w:p w14:paraId="43ABD97E" w14:textId="7A198476" w:rsidR="00CE2FF2" w:rsidRDefault="00FF5A63" w:rsidP="00C665DF">
      <w:pPr>
        <w:numPr>
          <w:ilvl w:val="0"/>
          <w:numId w:val="3"/>
        </w:numPr>
        <w:spacing w:before="240"/>
        <w:jc w:val="both"/>
        <w:rPr>
          <w:rFonts w:ascii="Book Antiqua" w:hAnsi="Book Antiqua" w:cs="Arial"/>
        </w:rPr>
      </w:pPr>
      <w:r>
        <w:rPr>
          <w:rFonts w:ascii="Book Antiqua" w:hAnsi="Book Antiqua" w:cs="Arial"/>
        </w:rPr>
        <w:t xml:space="preserve">First, the appellant argues that the judge went behind a concession and agreed position between the parties that the appellant had a subjective fear of a return. Mr </w:t>
      </w:r>
      <w:proofErr w:type="spellStart"/>
      <w:r>
        <w:rPr>
          <w:rFonts w:ascii="Book Antiqua" w:hAnsi="Book Antiqua" w:cs="Arial"/>
        </w:rPr>
        <w:t>Ti</w:t>
      </w:r>
      <w:proofErr w:type="spellEnd"/>
      <w:r>
        <w:rPr>
          <w:rFonts w:ascii="Book Antiqua" w:hAnsi="Book Antiqua" w:cs="Arial"/>
        </w:rPr>
        <w:t xml:space="preserve"> drew my attention to paragraph 36 cited above where the judge concluded that she could return together with her cousin and that there was support for them in Uganda. </w:t>
      </w:r>
      <w:r w:rsidR="00756AA2">
        <w:rPr>
          <w:rFonts w:ascii="Book Antiqua" w:hAnsi="Book Antiqua" w:cs="Arial"/>
        </w:rPr>
        <w:t>However, t</w:t>
      </w:r>
      <w:r>
        <w:rPr>
          <w:rFonts w:ascii="Book Antiqua" w:hAnsi="Book Antiqua" w:cs="Arial"/>
        </w:rPr>
        <w:t>hat is not a finding that the appellant did not have a</w:t>
      </w:r>
      <w:r w:rsidR="00115D4C">
        <w:rPr>
          <w:rFonts w:ascii="Book Antiqua" w:hAnsi="Book Antiqua" w:cs="Arial"/>
        </w:rPr>
        <w:t xml:space="preserve">ny subjective fear of a return. </w:t>
      </w:r>
      <w:proofErr w:type="gramStart"/>
      <w:r w:rsidR="00115D4C">
        <w:rPr>
          <w:rFonts w:ascii="Book Antiqua" w:hAnsi="Book Antiqua" w:cs="Arial"/>
        </w:rPr>
        <w:t>Indeed</w:t>
      </w:r>
      <w:proofErr w:type="gramEnd"/>
      <w:r w:rsidR="00115D4C">
        <w:rPr>
          <w:rFonts w:ascii="Book Antiqua" w:hAnsi="Book Antiqua" w:cs="Arial"/>
        </w:rPr>
        <w:t xml:space="preserve"> the judge records that the respondent accepted that the appellant had a genuine </w:t>
      </w:r>
      <w:r w:rsidR="00115D4C">
        <w:rPr>
          <w:rFonts w:ascii="Book Antiqua" w:hAnsi="Book Antiqua" w:cs="Arial"/>
        </w:rPr>
        <w:lastRenderedPageBreak/>
        <w:t xml:space="preserve">subjective fear. </w:t>
      </w:r>
      <w:proofErr w:type="gramStart"/>
      <w:r w:rsidR="004021E3">
        <w:rPr>
          <w:rFonts w:ascii="Book Antiqua" w:hAnsi="Book Antiqua" w:cs="Arial"/>
        </w:rPr>
        <w:t>Accordingly</w:t>
      </w:r>
      <w:proofErr w:type="gramEnd"/>
      <w:r w:rsidR="004021E3">
        <w:rPr>
          <w:rFonts w:ascii="Book Antiqua" w:hAnsi="Book Antiqua" w:cs="Arial"/>
        </w:rPr>
        <w:t xml:space="preserve"> the reference to </w:t>
      </w:r>
      <w:proofErr w:type="spellStart"/>
      <w:r w:rsidR="00A61D02">
        <w:rPr>
          <w:rFonts w:ascii="Book Antiqua" w:hAnsi="Book Antiqua" w:cs="Arial"/>
          <w:u w:val="single"/>
        </w:rPr>
        <w:t>Kalida</w:t>
      </w:r>
      <w:r w:rsidR="004021E3" w:rsidRPr="00C73B35">
        <w:rPr>
          <w:rFonts w:ascii="Book Antiqua" w:hAnsi="Book Antiqua" w:cs="Arial"/>
          <w:u w:val="single"/>
        </w:rPr>
        <w:t>s</w:t>
      </w:r>
      <w:proofErr w:type="spellEnd"/>
      <w:r w:rsidR="004021E3">
        <w:rPr>
          <w:rFonts w:ascii="Book Antiqua" w:hAnsi="Book Antiqua" w:cs="Arial"/>
        </w:rPr>
        <w:t xml:space="preserve"> is not applicable in this case.  Since no concession has been made the judge has not gone behind it.</w:t>
      </w:r>
    </w:p>
    <w:p w14:paraId="146D9439" w14:textId="133AA0DF" w:rsidR="00FF5A63" w:rsidRDefault="00CE2FF2" w:rsidP="00C665DF">
      <w:pPr>
        <w:numPr>
          <w:ilvl w:val="0"/>
          <w:numId w:val="3"/>
        </w:numPr>
        <w:spacing w:before="240"/>
        <w:jc w:val="both"/>
        <w:rPr>
          <w:rFonts w:ascii="Book Antiqua" w:hAnsi="Book Antiqua" w:cs="Arial"/>
        </w:rPr>
      </w:pPr>
      <w:r>
        <w:rPr>
          <w:rFonts w:ascii="Book Antiqua" w:hAnsi="Book Antiqua" w:cs="Arial"/>
        </w:rPr>
        <w:t xml:space="preserve">I find that </w:t>
      </w:r>
      <w:r w:rsidR="00524D60">
        <w:rPr>
          <w:rFonts w:ascii="Book Antiqua" w:hAnsi="Book Antiqua" w:cs="Arial"/>
        </w:rPr>
        <w:t>t</w:t>
      </w:r>
      <w:r w:rsidR="00FF5A63">
        <w:rPr>
          <w:rFonts w:ascii="Book Antiqua" w:hAnsi="Book Antiqua" w:cs="Arial"/>
        </w:rPr>
        <w:t xml:space="preserve">he </w:t>
      </w:r>
      <w:r w:rsidR="00524D60">
        <w:rPr>
          <w:rFonts w:ascii="Book Antiqua" w:hAnsi="Book Antiqua" w:cs="Arial"/>
        </w:rPr>
        <w:t xml:space="preserve">judge </w:t>
      </w:r>
      <w:r w:rsidR="00FF5A63">
        <w:rPr>
          <w:rFonts w:ascii="Book Antiqua" w:hAnsi="Book Antiqua" w:cs="Arial"/>
        </w:rPr>
        <w:t>did not make a finding on an issue not in dispute.</w:t>
      </w:r>
    </w:p>
    <w:p w14:paraId="0665D1BF" w14:textId="64CC604F" w:rsidR="009E082A" w:rsidRDefault="00FF5A63" w:rsidP="00C665DF">
      <w:pPr>
        <w:numPr>
          <w:ilvl w:val="0"/>
          <w:numId w:val="3"/>
        </w:numPr>
        <w:spacing w:before="240"/>
        <w:jc w:val="both"/>
        <w:rPr>
          <w:rFonts w:ascii="Book Antiqua" w:hAnsi="Book Antiqua" w:cs="Arial"/>
        </w:rPr>
      </w:pPr>
      <w:r>
        <w:rPr>
          <w:rFonts w:ascii="Book Antiqua" w:hAnsi="Book Antiqua" w:cs="Arial"/>
        </w:rPr>
        <w:t>So far as the procedural fairness point is concerned, the appellant has lost sight of the fact that the burden lies with her to prove her case.  It was always open to her to call o</w:t>
      </w:r>
      <w:r w:rsidR="00F13E3D">
        <w:rPr>
          <w:rFonts w:ascii="Book Antiqua" w:hAnsi="Book Antiqua" w:cs="Arial"/>
        </w:rPr>
        <w:t xml:space="preserve">n her cousin to give evidence.  </w:t>
      </w:r>
      <w:r>
        <w:rPr>
          <w:rFonts w:ascii="Book Antiqua" w:hAnsi="Book Antiqua" w:cs="Arial"/>
        </w:rPr>
        <w:t xml:space="preserve">Her cousin would have been aware that the respondent believed that she had friends and relatives in Uganda. Mr </w:t>
      </w:r>
      <w:proofErr w:type="spellStart"/>
      <w:r>
        <w:rPr>
          <w:rFonts w:ascii="Book Antiqua" w:hAnsi="Book Antiqua" w:cs="Arial"/>
        </w:rPr>
        <w:t>Ti</w:t>
      </w:r>
      <w:proofErr w:type="spellEnd"/>
      <w:r>
        <w:rPr>
          <w:rFonts w:ascii="Book Antiqua" w:hAnsi="Book Antiqua" w:cs="Arial"/>
        </w:rPr>
        <w:t xml:space="preserve"> said that he</w:t>
      </w:r>
      <w:r w:rsidR="00524D60">
        <w:rPr>
          <w:rFonts w:ascii="Book Antiqua" w:hAnsi="Book Antiqua" w:cs="Arial"/>
        </w:rPr>
        <w:t xml:space="preserve"> still had not had sight of the</w:t>
      </w:r>
      <w:r>
        <w:rPr>
          <w:rFonts w:ascii="Book Antiqua" w:hAnsi="Book Antiqua" w:cs="Arial"/>
        </w:rPr>
        <w:t xml:space="preserve"> determination </w:t>
      </w:r>
      <w:r w:rsidR="00524D60">
        <w:rPr>
          <w:rFonts w:ascii="Book Antiqua" w:hAnsi="Book Antiqua" w:cs="Arial"/>
        </w:rPr>
        <w:t xml:space="preserve">in </w:t>
      </w:r>
      <w:proofErr w:type="spellStart"/>
      <w:r w:rsidR="00524D60">
        <w:rPr>
          <w:rFonts w:ascii="Book Antiqua" w:hAnsi="Book Antiqua" w:cs="Arial"/>
        </w:rPr>
        <w:t>Ritah’s</w:t>
      </w:r>
      <w:proofErr w:type="spellEnd"/>
      <w:r w:rsidR="00524D60">
        <w:rPr>
          <w:rFonts w:ascii="Book Antiqua" w:hAnsi="Book Antiqua" w:cs="Arial"/>
        </w:rPr>
        <w:t xml:space="preserve"> case, and</w:t>
      </w:r>
      <w:r>
        <w:rPr>
          <w:rFonts w:ascii="Book Antiqua" w:hAnsi="Book Antiqua" w:cs="Arial"/>
        </w:rPr>
        <w:t xml:space="preserve"> the respondent should have produced it.  </w:t>
      </w:r>
      <w:proofErr w:type="gramStart"/>
      <w:r>
        <w:rPr>
          <w:rFonts w:ascii="Book Antiqua" w:hAnsi="Book Antiqua" w:cs="Arial"/>
        </w:rPr>
        <w:t>H</w:t>
      </w:r>
      <w:r w:rsidR="00524D60">
        <w:rPr>
          <w:rFonts w:ascii="Book Antiqua" w:hAnsi="Book Antiqua" w:cs="Arial"/>
        </w:rPr>
        <w:t>owever</w:t>
      </w:r>
      <w:proofErr w:type="gramEnd"/>
      <w:r w:rsidR="00524D60">
        <w:rPr>
          <w:rFonts w:ascii="Book Antiqua" w:hAnsi="Book Antiqua" w:cs="Arial"/>
        </w:rPr>
        <w:t xml:space="preserve"> it has always been in </w:t>
      </w:r>
      <w:proofErr w:type="spellStart"/>
      <w:r w:rsidR="00524D60">
        <w:rPr>
          <w:rFonts w:ascii="Book Antiqua" w:hAnsi="Book Antiqua" w:cs="Arial"/>
        </w:rPr>
        <w:t>Ritah’s</w:t>
      </w:r>
      <w:proofErr w:type="spellEnd"/>
      <w:r w:rsidR="00524D60">
        <w:rPr>
          <w:rFonts w:ascii="Book Antiqua" w:hAnsi="Book Antiqua" w:cs="Arial"/>
        </w:rPr>
        <w:t xml:space="preserve"> possession</w:t>
      </w:r>
      <w:r w:rsidR="00F13E3D">
        <w:rPr>
          <w:rFonts w:ascii="Book Antiqua" w:hAnsi="Book Antiqua" w:cs="Arial"/>
        </w:rPr>
        <w:t xml:space="preserve"> and it is mystifying why</w:t>
      </w:r>
      <w:r>
        <w:rPr>
          <w:rFonts w:ascii="Book Antiqua" w:hAnsi="Book Antiqua" w:cs="Arial"/>
        </w:rPr>
        <w:t xml:space="preserve"> it has not made its way to the appellant’s rep</w:t>
      </w:r>
      <w:r w:rsidR="00DC6FAB">
        <w:rPr>
          <w:rFonts w:ascii="Book Antiqua" w:hAnsi="Book Antiqua" w:cs="Arial"/>
        </w:rPr>
        <w:t>r</w:t>
      </w:r>
      <w:r>
        <w:rPr>
          <w:rFonts w:ascii="Book Antiqua" w:hAnsi="Book Antiqua" w:cs="Arial"/>
        </w:rPr>
        <w:t>esenta</w:t>
      </w:r>
      <w:r w:rsidR="00524D60">
        <w:rPr>
          <w:rFonts w:ascii="Book Antiqua" w:hAnsi="Book Antiqua" w:cs="Arial"/>
        </w:rPr>
        <w:t>tives, given that</w:t>
      </w:r>
      <w:r w:rsidR="00524D60" w:rsidRPr="00524D60">
        <w:rPr>
          <w:rFonts w:ascii="Book Antiqua" w:hAnsi="Book Antiqua" w:cs="Arial"/>
        </w:rPr>
        <w:t xml:space="preserve"> </w:t>
      </w:r>
      <w:r w:rsidR="00524D60">
        <w:rPr>
          <w:rFonts w:ascii="Book Antiqua" w:hAnsi="Book Antiqua" w:cs="Arial"/>
        </w:rPr>
        <w:t xml:space="preserve">the two are in very close contact. </w:t>
      </w:r>
    </w:p>
    <w:p w14:paraId="4ADC0388" w14:textId="74463831" w:rsidR="00FF5A63" w:rsidRDefault="009E082A" w:rsidP="00C665DF">
      <w:pPr>
        <w:numPr>
          <w:ilvl w:val="0"/>
          <w:numId w:val="3"/>
        </w:numPr>
        <w:spacing w:before="240"/>
        <w:jc w:val="both"/>
        <w:rPr>
          <w:rFonts w:ascii="Book Antiqua" w:hAnsi="Book Antiqua" w:cs="Arial"/>
        </w:rPr>
      </w:pPr>
      <w:r>
        <w:rPr>
          <w:rFonts w:ascii="Book Antiqua" w:hAnsi="Book Antiqua" w:cs="Arial"/>
        </w:rPr>
        <w:t>The appellant could reasonably have been expected to know what the respondent’s case was both from the reasons for refusal letter a</w:t>
      </w:r>
      <w:r w:rsidR="00FB72C2">
        <w:rPr>
          <w:rFonts w:ascii="Book Antiqua" w:hAnsi="Book Antiqua" w:cs="Arial"/>
        </w:rPr>
        <w:t>nd from the determination.</w:t>
      </w:r>
    </w:p>
    <w:p w14:paraId="06D099AF" w14:textId="77777777" w:rsidR="00756AA2" w:rsidRDefault="00C73B35" w:rsidP="00C129A1">
      <w:pPr>
        <w:numPr>
          <w:ilvl w:val="0"/>
          <w:numId w:val="3"/>
        </w:numPr>
        <w:spacing w:before="240"/>
        <w:jc w:val="both"/>
        <w:rPr>
          <w:rFonts w:ascii="Book Antiqua" w:hAnsi="Book Antiqua" w:cs="Arial"/>
        </w:rPr>
      </w:pPr>
      <w:r>
        <w:rPr>
          <w:rFonts w:ascii="Book Antiqua" w:hAnsi="Book Antiqua" w:cs="Arial"/>
        </w:rPr>
        <w:t xml:space="preserve">The appellant has been aware from the outset that the respondent believed that she could </w:t>
      </w:r>
      <w:r w:rsidR="004021E3">
        <w:rPr>
          <w:rFonts w:ascii="Book Antiqua" w:hAnsi="Book Antiqua" w:cs="Arial"/>
        </w:rPr>
        <w:t xml:space="preserve">return to Uganda with </w:t>
      </w:r>
      <w:proofErr w:type="spellStart"/>
      <w:r w:rsidR="004021E3">
        <w:rPr>
          <w:rFonts w:ascii="Book Antiqua" w:hAnsi="Book Antiqua" w:cs="Arial"/>
        </w:rPr>
        <w:t>Ritah</w:t>
      </w:r>
      <w:proofErr w:type="spellEnd"/>
      <w:r>
        <w:rPr>
          <w:rFonts w:ascii="Book Antiqua" w:hAnsi="Book Antiqua" w:cs="Arial"/>
        </w:rPr>
        <w:t>.  This is set out clearly from paragraphs 36 to 40 of the refusal letter. Whilst it is true</w:t>
      </w:r>
      <w:r w:rsidR="00180C73">
        <w:rPr>
          <w:rFonts w:ascii="Book Antiqua" w:hAnsi="Book Antiqua" w:cs="Arial"/>
        </w:rPr>
        <w:t>,</w:t>
      </w:r>
      <w:r>
        <w:rPr>
          <w:rFonts w:ascii="Book Antiqua" w:hAnsi="Book Antiqua" w:cs="Arial"/>
        </w:rPr>
        <w:t xml:space="preserve"> in the reasons for refusal letter</w:t>
      </w:r>
      <w:r w:rsidR="00180C73">
        <w:rPr>
          <w:rFonts w:ascii="Book Antiqua" w:hAnsi="Book Antiqua" w:cs="Arial"/>
        </w:rPr>
        <w:t>,</w:t>
      </w:r>
      <w:r>
        <w:rPr>
          <w:rFonts w:ascii="Book Antiqua" w:hAnsi="Book Antiqua" w:cs="Arial"/>
        </w:rPr>
        <w:t xml:space="preserve"> that the reference to the cousin was in the paragraphs dealing w</w:t>
      </w:r>
      <w:r w:rsidR="00F13E3D">
        <w:rPr>
          <w:rFonts w:ascii="Book Antiqua" w:hAnsi="Book Antiqua" w:cs="Arial"/>
        </w:rPr>
        <w:t>ith reasonableness of return</w:t>
      </w:r>
      <w:r w:rsidR="00180C73">
        <w:rPr>
          <w:rFonts w:ascii="Book Antiqua" w:hAnsi="Book Antiqua" w:cs="Arial"/>
        </w:rPr>
        <w:t>,</w:t>
      </w:r>
      <w:r w:rsidR="00F13E3D">
        <w:rPr>
          <w:rFonts w:ascii="Book Antiqua" w:hAnsi="Book Antiqua" w:cs="Arial"/>
        </w:rPr>
        <w:t xml:space="preserve"> t</w:t>
      </w:r>
      <w:r>
        <w:rPr>
          <w:rFonts w:ascii="Book Antiqua" w:hAnsi="Book Antiqua" w:cs="Arial"/>
        </w:rPr>
        <w:t xml:space="preserve">here is nothing unclear or unlawful or unfair about the judge relying on those paragraphs to decide that the appellant would </w:t>
      </w:r>
      <w:r w:rsidR="00756AA2">
        <w:rPr>
          <w:rFonts w:ascii="Book Antiqua" w:hAnsi="Book Antiqua" w:cs="Arial"/>
        </w:rPr>
        <w:t>not in fact be at risk</w:t>
      </w:r>
      <w:r>
        <w:rPr>
          <w:rFonts w:ascii="Book Antiqua" w:hAnsi="Book Antiqua" w:cs="Arial"/>
        </w:rPr>
        <w:t xml:space="preserve">. </w:t>
      </w:r>
      <w:r w:rsidR="00180C73">
        <w:rPr>
          <w:rFonts w:ascii="Book Antiqua" w:hAnsi="Book Antiqua" w:cs="Arial"/>
        </w:rPr>
        <w:t xml:space="preserve">It is not open to Mr </w:t>
      </w:r>
      <w:proofErr w:type="spellStart"/>
      <w:r w:rsidR="00180C73">
        <w:rPr>
          <w:rFonts w:ascii="Book Antiqua" w:hAnsi="Book Antiqua" w:cs="Arial"/>
        </w:rPr>
        <w:t>Ti</w:t>
      </w:r>
      <w:proofErr w:type="spellEnd"/>
      <w:r w:rsidR="00180C73">
        <w:rPr>
          <w:rFonts w:ascii="Book Antiqua" w:hAnsi="Book Antiqua" w:cs="Arial"/>
        </w:rPr>
        <w:t xml:space="preserve"> to now argue that the fact that the cousin could return with the appellant was only relied on by the respondent in the context of defeating an asylum claim on the basis of being a lone woman and not in the context of reducing the risk to her. The respondent is entitled to rely on </w:t>
      </w:r>
      <w:r w:rsidR="00667DA7">
        <w:rPr>
          <w:rFonts w:ascii="Book Antiqua" w:hAnsi="Book Antiqua" w:cs="Arial"/>
        </w:rPr>
        <w:t>those findings</w:t>
      </w:r>
      <w:r w:rsidR="00180C73">
        <w:rPr>
          <w:rFonts w:ascii="Book Antiqua" w:hAnsi="Book Antiqua" w:cs="Arial"/>
        </w:rPr>
        <w:t xml:space="preserve"> </w:t>
      </w:r>
      <w:r w:rsidR="00756AA2">
        <w:rPr>
          <w:rFonts w:ascii="Book Antiqua" w:hAnsi="Book Antiqua" w:cs="Arial"/>
        </w:rPr>
        <w:t>both in the context of</w:t>
      </w:r>
      <w:r w:rsidR="00180C73">
        <w:rPr>
          <w:rFonts w:ascii="Book Antiqua" w:hAnsi="Book Antiqua" w:cs="Arial"/>
        </w:rPr>
        <w:t xml:space="preserve"> reasonableness of return and in the cont</w:t>
      </w:r>
      <w:r w:rsidR="00756AA2">
        <w:rPr>
          <w:rFonts w:ascii="Book Antiqua" w:hAnsi="Book Antiqua" w:cs="Arial"/>
        </w:rPr>
        <w:t>ext of obviating the risk</w:t>
      </w:r>
      <w:r w:rsidR="00180C73">
        <w:rPr>
          <w:rFonts w:ascii="Book Antiqua" w:hAnsi="Book Antiqua" w:cs="Arial"/>
        </w:rPr>
        <w:t>.</w:t>
      </w:r>
      <w:r w:rsidR="009E082A" w:rsidRPr="009E082A">
        <w:rPr>
          <w:rFonts w:ascii="Book Antiqua" w:hAnsi="Book Antiqua" w:cs="Arial"/>
        </w:rPr>
        <w:t xml:space="preserve"> </w:t>
      </w:r>
    </w:p>
    <w:p w14:paraId="53FD0678" w14:textId="0BA479BD" w:rsidR="00C129A1" w:rsidRDefault="009E082A" w:rsidP="00C129A1">
      <w:pPr>
        <w:numPr>
          <w:ilvl w:val="0"/>
          <w:numId w:val="3"/>
        </w:numPr>
        <w:spacing w:before="240"/>
        <w:jc w:val="both"/>
        <w:rPr>
          <w:rFonts w:ascii="Book Antiqua" w:hAnsi="Book Antiqua" w:cs="Arial"/>
        </w:rPr>
      </w:pPr>
      <w:r>
        <w:rPr>
          <w:rFonts w:ascii="Book Antiqua" w:hAnsi="Book Antiqua" w:cs="Arial"/>
        </w:rPr>
        <w:t xml:space="preserve">This was not </w:t>
      </w:r>
      <w:r w:rsidR="00756AA2">
        <w:rPr>
          <w:rFonts w:ascii="Book Antiqua" w:hAnsi="Book Antiqua" w:cs="Arial"/>
        </w:rPr>
        <w:t>an issue which could properly</w:t>
      </w:r>
      <w:r>
        <w:rPr>
          <w:rFonts w:ascii="Book Antiqua" w:hAnsi="Book Antiqua" w:cs="Arial"/>
        </w:rPr>
        <w:t xml:space="preserve"> have taken the appellant by surprise and upon which she was deprived of an opportunity to make representations.</w:t>
      </w:r>
      <w:r w:rsidR="00C129A1" w:rsidRPr="00C129A1">
        <w:rPr>
          <w:rFonts w:ascii="Book Antiqua" w:hAnsi="Book Antiqua" w:cs="Arial"/>
        </w:rPr>
        <w:t xml:space="preserve"> </w:t>
      </w:r>
    </w:p>
    <w:p w14:paraId="7580546A" w14:textId="6EF052F4" w:rsidR="00C73B35" w:rsidRPr="00C129A1" w:rsidRDefault="00C129A1" w:rsidP="00C129A1">
      <w:pPr>
        <w:numPr>
          <w:ilvl w:val="0"/>
          <w:numId w:val="3"/>
        </w:numPr>
        <w:spacing w:before="240"/>
        <w:jc w:val="both"/>
        <w:rPr>
          <w:rFonts w:ascii="Book Antiqua" w:hAnsi="Book Antiqua" w:cs="Arial"/>
        </w:rPr>
      </w:pPr>
      <w:r>
        <w:rPr>
          <w:rFonts w:ascii="Book Antiqua" w:hAnsi="Book Antiqua" w:cs="Arial"/>
        </w:rPr>
        <w:t xml:space="preserve">It seems to have been agreed between the parties that the decision of the First-tier Tribunal in the cousin’s case was relevant and that the Immigration Judge would rely on it.  </w:t>
      </w:r>
      <w:proofErr w:type="gramStart"/>
      <w:r>
        <w:rPr>
          <w:rFonts w:ascii="Book Antiqua" w:hAnsi="Book Antiqua" w:cs="Arial"/>
        </w:rPr>
        <w:t>Indeed</w:t>
      </w:r>
      <w:proofErr w:type="gramEnd"/>
      <w:r>
        <w:rPr>
          <w:rFonts w:ascii="Book Antiqua" w:hAnsi="Book Antiqua" w:cs="Arial"/>
        </w:rPr>
        <w:t xml:space="preserve"> according to the note provided by Mr </w:t>
      </w:r>
      <w:proofErr w:type="spellStart"/>
      <w:r>
        <w:rPr>
          <w:rFonts w:ascii="Book Antiqua" w:hAnsi="Book Antiqua" w:cs="Arial"/>
        </w:rPr>
        <w:t>Ti</w:t>
      </w:r>
      <w:proofErr w:type="spellEnd"/>
      <w:r>
        <w:rPr>
          <w:rFonts w:ascii="Book Antiqua" w:hAnsi="Book Antiqua" w:cs="Arial"/>
        </w:rPr>
        <w:t xml:space="preserve"> it seems to have been the understanding that he would email the decision to the judge himself.</w:t>
      </w:r>
    </w:p>
    <w:p w14:paraId="4876D0E0" w14:textId="43B842DA" w:rsidR="00C129A1" w:rsidRDefault="00587896" w:rsidP="00C129A1">
      <w:pPr>
        <w:numPr>
          <w:ilvl w:val="0"/>
          <w:numId w:val="3"/>
        </w:numPr>
        <w:spacing w:before="240"/>
        <w:jc w:val="both"/>
        <w:rPr>
          <w:rFonts w:ascii="Book Antiqua" w:hAnsi="Book Antiqua" w:cs="Arial"/>
        </w:rPr>
      </w:pPr>
      <w:r>
        <w:rPr>
          <w:rFonts w:ascii="Book Antiqua" w:hAnsi="Book Antiqua" w:cs="Arial"/>
        </w:rPr>
        <w:t xml:space="preserve">The judge was entitled to rely on the previous determination because it stands as an unchallenged assessment of the facts as at the time they were made. </w:t>
      </w:r>
      <w:proofErr w:type="spellStart"/>
      <w:r w:rsidR="00FB72C2">
        <w:rPr>
          <w:rFonts w:ascii="Book Antiqua" w:hAnsi="Book Antiqua" w:cs="Arial"/>
        </w:rPr>
        <w:t>Ritah</w:t>
      </w:r>
      <w:proofErr w:type="spellEnd"/>
      <w:r w:rsidR="00A61D02">
        <w:rPr>
          <w:rFonts w:ascii="Book Antiqua" w:hAnsi="Book Antiqua" w:cs="Arial"/>
        </w:rPr>
        <w:t xml:space="preserve"> would have been aware of those findings</w:t>
      </w:r>
      <w:r w:rsidR="00FB72C2">
        <w:rPr>
          <w:rFonts w:ascii="Book Antiqua" w:hAnsi="Book Antiqua" w:cs="Arial"/>
        </w:rPr>
        <w:t>, and</w:t>
      </w:r>
      <w:r w:rsidR="009E082A">
        <w:rPr>
          <w:rFonts w:ascii="Book Antiqua" w:hAnsi="Book Antiqua" w:cs="Arial"/>
        </w:rPr>
        <w:t xml:space="preserve"> chose not to attend the hearing</w:t>
      </w:r>
      <w:r w:rsidR="00FB72C2">
        <w:rPr>
          <w:rFonts w:ascii="Book Antiqua" w:hAnsi="Book Antiqua" w:cs="Arial"/>
        </w:rPr>
        <w:t>. B</w:t>
      </w:r>
      <w:r w:rsidR="009E082A">
        <w:rPr>
          <w:rFonts w:ascii="Book Antiqua" w:hAnsi="Book Antiqua" w:cs="Arial"/>
        </w:rPr>
        <w:t>ut her evidence was always going to be material.</w:t>
      </w:r>
      <w:r>
        <w:rPr>
          <w:rFonts w:ascii="Book Antiqua" w:hAnsi="Book Antiqua" w:cs="Arial"/>
        </w:rPr>
        <w:t xml:space="preserve"> If it was the appellant’s case that those facts have changed then she could have called he</w:t>
      </w:r>
      <w:r w:rsidR="00FB72C2">
        <w:rPr>
          <w:rFonts w:ascii="Book Antiqua" w:hAnsi="Book Antiqua" w:cs="Arial"/>
        </w:rPr>
        <w:t>r cousin to say so.</w:t>
      </w:r>
      <w:r>
        <w:rPr>
          <w:rFonts w:ascii="Book Antiqua" w:hAnsi="Book Antiqua" w:cs="Arial"/>
        </w:rPr>
        <w:t xml:space="preserve"> Mr </w:t>
      </w:r>
      <w:proofErr w:type="spellStart"/>
      <w:r>
        <w:rPr>
          <w:rFonts w:ascii="Book Antiqua" w:hAnsi="Book Antiqua" w:cs="Arial"/>
        </w:rPr>
        <w:t>Ti</w:t>
      </w:r>
      <w:proofErr w:type="spellEnd"/>
      <w:r>
        <w:rPr>
          <w:rFonts w:ascii="Book Antiqua" w:hAnsi="Book Antiqua" w:cs="Arial"/>
        </w:rPr>
        <w:t xml:space="preserve"> said that there was no way that they could have guessed that this point was going to be re</w:t>
      </w:r>
      <w:r w:rsidR="00FB72C2">
        <w:rPr>
          <w:rFonts w:ascii="Book Antiqua" w:hAnsi="Book Antiqua" w:cs="Arial"/>
        </w:rPr>
        <w:t xml:space="preserve">lied on by the judge </w:t>
      </w:r>
      <w:proofErr w:type="gramStart"/>
      <w:r w:rsidR="00FB72C2">
        <w:rPr>
          <w:rFonts w:ascii="Book Antiqua" w:hAnsi="Book Antiqua" w:cs="Arial"/>
        </w:rPr>
        <w:t xml:space="preserve">but </w:t>
      </w:r>
      <w:r>
        <w:rPr>
          <w:rFonts w:ascii="Book Antiqua" w:hAnsi="Book Antiqua" w:cs="Arial"/>
        </w:rPr>
        <w:t xml:space="preserve"> it</w:t>
      </w:r>
      <w:proofErr w:type="gramEnd"/>
      <w:r>
        <w:rPr>
          <w:rFonts w:ascii="Book Antiqua" w:hAnsi="Book Antiqua" w:cs="Arial"/>
        </w:rPr>
        <w:t xml:space="preserve"> is quite obvious that it would be r</w:t>
      </w:r>
      <w:r w:rsidR="00FB72C2">
        <w:rPr>
          <w:rFonts w:ascii="Book Antiqua" w:hAnsi="Book Antiqua" w:cs="Arial"/>
        </w:rPr>
        <w:t>elevant to the appellant’s case, and</w:t>
      </w:r>
      <w:r w:rsidR="00FB72C2" w:rsidRPr="00FB72C2">
        <w:rPr>
          <w:rFonts w:ascii="Book Antiqua" w:hAnsi="Book Antiqua" w:cs="Arial"/>
        </w:rPr>
        <w:t xml:space="preserve"> </w:t>
      </w:r>
      <w:r w:rsidR="00FB72C2">
        <w:rPr>
          <w:rFonts w:ascii="Book Antiqua" w:hAnsi="Book Antiqua" w:cs="Arial"/>
        </w:rPr>
        <w:t>wrong to say that she was not on notice of the issue.</w:t>
      </w:r>
      <w:r w:rsidR="00C129A1" w:rsidRPr="00C129A1">
        <w:rPr>
          <w:rFonts w:ascii="Book Antiqua" w:hAnsi="Book Antiqua" w:cs="Arial"/>
        </w:rPr>
        <w:t xml:space="preserve"> </w:t>
      </w:r>
    </w:p>
    <w:p w14:paraId="7F850494" w14:textId="3E834661" w:rsidR="00587896" w:rsidRDefault="00587896" w:rsidP="00C129A1">
      <w:pPr>
        <w:spacing w:before="240"/>
        <w:ind w:left="567"/>
        <w:jc w:val="both"/>
        <w:rPr>
          <w:rFonts w:ascii="Book Antiqua" w:hAnsi="Book Antiqua" w:cs="Arial"/>
        </w:rPr>
      </w:pPr>
    </w:p>
    <w:p w14:paraId="7E4241E4" w14:textId="457842B8" w:rsidR="006B0F6F" w:rsidRPr="00C129A1" w:rsidRDefault="00587896" w:rsidP="00C129A1">
      <w:pPr>
        <w:numPr>
          <w:ilvl w:val="0"/>
          <w:numId w:val="3"/>
        </w:numPr>
        <w:spacing w:before="240"/>
        <w:jc w:val="both"/>
        <w:rPr>
          <w:rFonts w:ascii="Book Antiqua" w:hAnsi="Book Antiqua" w:cs="Arial"/>
        </w:rPr>
      </w:pPr>
      <w:r>
        <w:rPr>
          <w:rFonts w:ascii="Book Antiqua" w:hAnsi="Book Antiqua" w:cs="Arial"/>
        </w:rPr>
        <w:lastRenderedPageBreak/>
        <w:t>In any event the judge did not solely dismiss the appeal on the basis that she would hav</w:t>
      </w:r>
      <w:r w:rsidR="00FB72C2">
        <w:rPr>
          <w:rFonts w:ascii="Book Antiqua" w:hAnsi="Book Antiqua" w:cs="Arial"/>
        </w:rPr>
        <w:t>e the support of relatives in Uganda</w:t>
      </w:r>
      <w:r>
        <w:rPr>
          <w:rFonts w:ascii="Book Antiqua" w:hAnsi="Book Antiqua" w:cs="Arial"/>
        </w:rPr>
        <w:t>.  The judge noted that she had undertaken secondary education in the UK, had work experience here and that policy and practical changes being pursued by the</w:t>
      </w:r>
      <w:r w:rsidR="00E3456E">
        <w:rPr>
          <w:rFonts w:ascii="Book Antiqua" w:hAnsi="Book Antiqua" w:cs="Arial"/>
        </w:rPr>
        <w:t xml:space="preserve"> </w:t>
      </w:r>
      <w:r>
        <w:rPr>
          <w:rFonts w:ascii="Book Antiqua" w:hAnsi="Book Antiqua" w:cs="Arial"/>
        </w:rPr>
        <w:t>Ugandan government meant that there was increasingly more protection for women at risk of trafficking including the assistance of a number of women’s organisations.</w:t>
      </w:r>
    </w:p>
    <w:p w14:paraId="12F1BE8B" w14:textId="14AB5B12" w:rsidR="005B736E" w:rsidRPr="00924478" w:rsidRDefault="008B2E3D" w:rsidP="00924478">
      <w:pPr>
        <w:numPr>
          <w:ilvl w:val="0"/>
          <w:numId w:val="3"/>
        </w:numPr>
        <w:spacing w:before="240"/>
        <w:jc w:val="both"/>
        <w:rPr>
          <w:rFonts w:ascii="Book Antiqua" w:hAnsi="Book Antiqua" w:cs="Arial"/>
        </w:rPr>
      </w:pPr>
      <w:r>
        <w:rPr>
          <w:rFonts w:ascii="Book Antiqua" w:hAnsi="Book Antiqua" w:cs="Arial"/>
        </w:rPr>
        <w:t>Finally, so far as the criticism that the judge only decided upon the risk in the initial stages of return</w:t>
      </w:r>
      <w:r w:rsidR="00C129A1">
        <w:rPr>
          <w:rFonts w:ascii="Book Antiqua" w:hAnsi="Book Antiqua" w:cs="Arial"/>
        </w:rPr>
        <w:t>,</w:t>
      </w:r>
      <w:r>
        <w:rPr>
          <w:rFonts w:ascii="Book Antiqua" w:hAnsi="Book Antiqua" w:cs="Arial"/>
        </w:rPr>
        <w:t xml:space="preserve"> it is unfounded.</w:t>
      </w:r>
      <w:r w:rsidR="00924478">
        <w:rPr>
          <w:rFonts w:ascii="Book Antiqua" w:hAnsi="Book Antiqua" w:cs="Arial"/>
        </w:rPr>
        <w:t xml:space="preserve">  The appellant’s case was that she would be at risk because the State did not provide a sufficiency of protection and she did not have any resources of her own.  </w:t>
      </w:r>
      <w:proofErr w:type="gramStart"/>
      <w:r w:rsidR="00924478">
        <w:rPr>
          <w:rFonts w:ascii="Book Antiqua" w:hAnsi="Book Antiqua" w:cs="Arial"/>
        </w:rPr>
        <w:t>However</w:t>
      </w:r>
      <w:proofErr w:type="gramEnd"/>
      <w:r w:rsidR="00924478">
        <w:rPr>
          <w:rFonts w:ascii="Book Antiqua" w:hAnsi="Book Antiqua" w:cs="Arial"/>
        </w:rPr>
        <w:t xml:space="preserve"> the judge found that she could have access to a support network and that there were other factors that would assist her in the longer term.  </w:t>
      </w:r>
    </w:p>
    <w:p w14:paraId="5F279384" w14:textId="77777777" w:rsidR="00BF3B8C" w:rsidRPr="00BF3B8C" w:rsidRDefault="00BF3B8C" w:rsidP="00924478">
      <w:pPr>
        <w:keepNext/>
        <w:spacing w:before="240"/>
        <w:jc w:val="both"/>
        <w:rPr>
          <w:rFonts w:ascii="Book Antiqua" w:hAnsi="Book Antiqua" w:cs="Arial"/>
          <w:b/>
          <w:u w:val="single"/>
        </w:rPr>
      </w:pPr>
      <w:r w:rsidRPr="00BF3B8C">
        <w:rPr>
          <w:rFonts w:ascii="Book Antiqua" w:hAnsi="Book Antiqua" w:cs="Arial"/>
          <w:b/>
          <w:u w:val="single"/>
        </w:rPr>
        <w:t>Notice of Decision</w:t>
      </w:r>
    </w:p>
    <w:p w14:paraId="0C531190" w14:textId="77777777" w:rsidR="00BF3B8C" w:rsidRPr="00BF3B8C" w:rsidRDefault="00BF3B8C" w:rsidP="00924478">
      <w:pPr>
        <w:keepNext/>
        <w:jc w:val="both"/>
        <w:rPr>
          <w:rFonts w:ascii="Book Antiqua" w:hAnsi="Book Antiqua" w:cs="Arial"/>
        </w:rPr>
      </w:pPr>
    </w:p>
    <w:p w14:paraId="69D57649" w14:textId="77777777" w:rsidR="00BF3B8C" w:rsidRDefault="00BF3B8C" w:rsidP="00BF3B8C">
      <w:pPr>
        <w:jc w:val="both"/>
        <w:rPr>
          <w:rFonts w:ascii="Book Antiqua" w:hAnsi="Book Antiqua" w:cs="Arial"/>
        </w:rPr>
      </w:pPr>
      <w:r w:rsidRPr="00BF3B8C">
        <w:rPr>
          <w:rFonts w:ascii="Book Antiqua" w:hAnsi="Book Antiqua" w:cs="Arial"/>
        </w:rPr>
        <w:t xml:space="preserve">The </w:t>
      </w:r>
      <w:r w:rsidR="00924478">
        <w:rPr>
          <w:rFonts w:ascii="Book Antiqua" w:hAnsi="Book Antiqua" w:cs="Arial"/>
        </w:rPr>
        <w:t xml:space="preserve">original judge did not err in law.  Her decision stands.  The appellant’s </w:t>
      </w:r>
      <w:r w:rsidRPr="00BF3B8C">
        <w:rPr>
          <w:rFonts w:ascii="Book Antiqua" w:hAnsi="Book Antiqua" w:cs="Arial"/>
        </w:rPr>
        <w:t xml:space="preserve">appeal is </w:t>
      </w:r>
      <w:r w:rsidR="00924478">
        <w:rPr>
          <w:rFonts w:ascii="Book Antiqua" w:hAnsi="Book Antiqua" w:cs="Arial"/>
        </w:rPr>
        <w:t>dismissed.</w:t>
      </w:r>
    </w:p>
    <w:p w14:paraId="270A979A" w14:textId="77777777" w:rsidR="00BF3B8C" w:rsidRPr="00BF3B8C" w:rsidRDefault="00BF3B8C" w:rsidP="00BF3B8C">
      <w:pPr>
        <w:jc w:val="both"/>
        <w:rPr>
          <w:rFonts w:ascii="Book Antiqua" w:hAnsi="Book Antiqua" w:cs="Arial"/>
        </w:rPr>
      </w:pPr>
    </w:p>
    <w:p w14:paraId="5C66C0FE" w14:textId="77777777" w:rsidR="00BF3B8C" w:rsidRPr="00BF3B8C" w:rsidRDefault="00BF3B8C" w:rsidP="00BF3B8C">
      <w:pPr>
        <w:jc w:val="both"/>
        <w:rPr>
          <w:rFonts w:ascii="Book Antiqua" w:hAnsi="Book Antiqua" w:cs="Arial"/>
        </w:rPr>
      </w:pPr>
      <w:r w:rsidRPr="00BF3B8C">
        <w:rPr>
          <w:rFonts w:ascii="Book Antiqua" w:hAnsi="Book Antiqua" w:cs="Arial"/>
        </w:rPr>
        <w:t>No anonymity direction is made.</w:t>
      </w:r>
    </w:p>
    <w:p w14:paraId="6D06A624" w14:textId="77777777" w:rsidR="00BF3B8C" w:rsidRPr="00BF3B8C" w:rsidRDefault="00BF3B8C" w:rsidP="00BF3B8C">
      <w:pPr>
        <w:jc w:val="both"/>
        <w:rPr>
          <w:rFonts w:ascii="Book Antiqua" w:hAnsi="Book Antiqua" w:cs="Arial"/>
        </w:rPr>
      </w:pPr>
    </w:p>
    <w:p w14:paraId="15967735" w14:textId="77777777" w:rsidR="000369F5" w:rsidRPr="00CE6902" w:rsidRDefault="000369F5" w:rsidP="00BF3B8C">
      <w:pPr>
        <w:tabs>
          <w:tab w:val="left" w:pos="2520"/>
        </w:tabs>
        <w:jc w:val="both"/>
        <w:rPr>
          <w:rFonts w:ascii="Book Antiqua" w:hAnsi="Book Antiqua" w:cs="Arial"/>
        </w:rPr>
      </w:pPr>
    </w:p>
    <w:p w14:paraId="4867D756" w14:textId="74DE849A" w:rsidR="001F2716" w:rsidRPr="00CE6902" w:rsidRDefault="006E3C90" w:rsidP="000369F5">
      <w:pPr>
        <w:tabs>
          <w:tab w:val="left" w:pos="2520"/>
        </w:tabs>
        <w:jc w:val="both"/>
        <w:rPr>
          <w:rFonts w:ascii="Book Antiqua" w:hAnsi="Book Antiqua" w:cs="Arial"/>
        </w:rPr>
      </w:pPr>
      <w:r w:rsidRPr="00CE6902">
        <w:rPr>
          <w:rFonts w:ascii="Book Antiqua" w:hAnsi="Book Antiqua" w:cs="Arial"/>
        </w:rPr>
        <w:t>Signed</w:t>
      </w:r>
      <w:r w:rsidR="00A61D02" w:rsidRPr="00F27BB4">
        <w:rPr>
          <w:noProof/>
          <w:lang w:val="en-US" w:eastAsia="en-US"/>
        </w:rPr>
        <w:drawing>
          <wp:inline distT="0" distB="0" distL="0" distR="0" wp14:anchorId="3CEA09BF" wp14:editId="7984C09F">
            <wp:extent cx="1425575" cy="612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5575" cy="612140"/>
                    </a:xfrm>
                    <a:prstGeom prst="rect">
                      <a:avLst/>
                    </a:prstGeom>
                    <a:noFill/>
                    <a:ln>
                      <a:noFill/>
                    </a:ln>
                  </pic:spPr>
                </pic:pic>
              </a:graphicData>
            </a:graphic>
          </wp:inline>
        </w:drawing>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001F2716" w:rsidRPr="00CE6902">
        <w:rPr>
          <w:rFonts w:ascii="Book Antiqua" w:hAnsi="Book Antiqua" w:cs="Arial"/>
        </w:rPr>
        <w:t>Date</w:t>
      </w:r>
      <w:r w:rsidR="00A61D02">
        <w:rPr>
          <w:rFonts w:ascii="Book Antiqua" w:hAnsi="Book Antiqua" w:cs="Arial"/>
        </w:rPr>
        <w:t xml:space="preserve"> 28 May 2018</w:t>
      </w:r>
    </w:p>
    <w:p w14:paraId="52BCE917" w14:textId="77777777" w:rsidR="001F2716" w:rsidRPr="00CE6902" w:rsidRDefault="001F2716" w:rsidP="000369F5">
      <w:pPr>
        <w:tabs>
          <w:tab w:val="left" w:pos="2520"/>
        </w:tabs>
        <w:jc w:val="both"/>
        <w:rPr>
          <w:rFonts w:ascii="Book Antiqua" w:hAnsi="Book Antiqua" w:cs="Arial"/>
        </w:rPr>
      </w:pPr>
    </w:p>
    <w:p w14:paraId="20BC9B8B" w14:textId="77777777" w:rsidR="005B7789" w:rsidRDefault="00561B4E" w:rsidP="000369F5">
      <w:pPr>
        <w:tabs>
          <w:tab w:val="left" w:pos="2520"/>
        </w:tabs>
        <w:jc w:val="both"/>
        <w:rPr>
          <w:rFonts w:ascii="Book Antiqua" w:hAnsi="Book Antiqua" w:cs="Arial"/>
        </w:rPr>
      </w:pPr>
      <w:r>
        <w:rPr>
          <w:rFonts w:ascii="Book Antiqua" w:hAnsi="Book Antiqua" w:cs="Arial"/>
        </w:rPr>
        <w:t xml:space="preserve">Deputy </w:t>
      </w:r>
      <w:r w:rsidR="00ED1BAF">
        <w:rPr>
          <w:rFonts w:ascii="Book Antiqua" w:hAnsi="Book Antiqua" w:cs="Arial"/>
        </w:rPr>
        <w:t>Upper Tribunal</w:t>
      </w:r>
      <w:r w:rsidR="00AC5CF6" w:rsidRPr="00CE6902">
        <w:rPr>
          <w:rFonts w:ascii="Book Antiqua" w:hAnsi="Book Antiqua" w:cs="Arial"/>
        </w:rPr>
        <w:t xml:space="preserve"> Judge</w:t>
      </w:r>
      <w:r w:rsidR="00B03FBE" w:rsidRPr="00CE6902">
        <w:rPr>
          <w:rFonts w:ascii="Book Antiqua" w:hAnsi="Book Antiqua" w:cs="Arial"/>
        </w:rPr>
        <w:t xml:space="preserve"> Taylor</w:t>
      </w:r>
      <w:r w:rsidR="00CB7FD7" w:rsidRPr="00CE6902">
        <w:rPr>
          <w:rFonts w:ascii="Book Antiqua" w:hAnsi="Book Antiqua" w:cs="Arial"/>
        </w:rPr>
        <w:t xml:space="preserve"> </w:t>
      </w:r>
    </w:p>
    <w:p w14:paraId="6281DF55" w14:textId="0FB3B8FC" w:rsidR="00131792" w:rsidRDefault="00131792" w:rsidP="000369F5">
      <w:pPr>
        <w:tabs>
          <w:tab w:val="left" w:pos="2520"/>
        </w:tabs>
        <w:jc w:val="both"/>
        <w:rPr>
          <w:rFonts w:ascii="Book Antiqua" w:hAnsi="Book Antiqua" w:cs="Arial"/>
        </w:rPr>
      </w:pPr>
    </w:p>
    <w:p w14:paraId="3BD1CC5F" w14:textId="77777777" w:rsidR="00131792" w:rsidRPr="00131792" w:rsidRDefault="00131792" w:rsidP="00131792">
      <w:pPr>
        <w:rPr>
          <w:rFonts w:ascii="Book Antiqua" w:hAnsi="Book Antiqua" w:cs="Arial"/>
        </w:rPr>
      </w:pPr>
    </w:p>
    <w:p w14:paraId="08599A92" w14:textId="77777777" w:rsidR="00131792" w:rsidRPr="00131792" w:rsidRDefault="00131792" w:rsidP="00131792">
      <w:pPr>
        <w:rPr>
          <w:rFonts w:ascii="Book Antiqua" w:hAnsi="Book Antiqua" w:cs="Arial"/>
        </w:rPr>
      </w:pPr>
    </w:p>
    <w:p w14:paraId="32A613C8" w14:textId="77777777" w:rsidR="00131792" w:rsidRPr="00131792" w:rsidRDefault="00131792" w:rsidP="00131792">
      <w:pPr>
        <w:rPr>
          <w:rFonts w:ascii="Book Antiqua" w:hAnsi="Book Antiqua" w:cs="Arial"/>
        </w:rPr>
      </w:pPr>
    </w:p>
    <w:p w14:paraId="62C4891E" w14:textId="77777777" w:rsidR="00131792" w:rsidRPr="00131792" w:rsidRDefault="00131792" w:rsidP="00131792">
      <w:pPr>
        <w:rPr>
          <w:rFonts w:ascii="Book Antiqua" w:hAnsi="Book Antiqua" w:cs="Arial"/>
        </w:rPr>
      </w:pPr>
    </w:p>
    <w:p w14:paraId="617BDC00" w14:textId="77777777" w:rsidR="00131792" w:rsidRPr="00131792" w:rsidRDefault="00131792" w:rsidP="00131792">
      <w:pPr>
        <w:rPr>
          <w:rFonts w:ascii="Book Antiqua" w:hAnsi="Book Antiqua" w:cs="Arial"/>
        </w:rPr>
      </w:pPr>
    </w:p>
    <w:p w14:paraId="7A237376" w14:textId="77777777" w:rsidR="00131792" w:rsidRPr="00131792" w:rsidRDefault="00131792" w:rsidP="00131792">
      <w:pPr>
        <w:rPr>
          <w:rFonts w:ascii="Book Antiqua" w:hAnsi="Book Antiqua" w:cs="Arial"/>
        </w:rPr>
      </w:pPr>
    </w:p>
    <w:p w14:paraId="5E144E84" w14:textId="77777777" w:rsidR="00131792" w:rsidRPr="00131792" w:rsidRDefault="00131792" w:rsidP="00131792">
      <w:pPr>
        <w:rPr>
          <w:rFonts w:ascii="Book Antiqua" w:hAnsi="Book Antiqua" w:cs="Arial"/>
        </w:rPr>
      </w:pPr>
    </w:p>
    <w:p w14:paraId="4C439CCC" w14:textId="77777777" w:rsidR="005B7789" w:rsidRPr="00CE6902" w:rsidRDefault="005B7789" w:rsidP="005B7789">
      <w:pPr>
        <w:tabs>
          <w:tab w:val="left" w:pos="2520"/>
        </w:tabs>
        <w:ind w:left="540" w:hanging="540"/>
        <w:jc w:val="both"/>
        <w:rPr>
          <w:rFonts w:ascii="Book Antiqua" w:hAnsi="Book Antiqua" w:cs="Arial"/>
        </w:rPr>
      </w:pPr>
    </w:p>
    <w:p w14:paraId="58E31579" w14:textId="77777777" w:rsidR="005B7789" w:rsidRPr="00CE6902" w:rsidRDefault="005B7789" w:rsidP="000369F5">
      <w:pPr>
        <w:tabs>
          <w:tab w:val="left" w:pos="2520"/>
        </w:tabs>
        <w:jc w:val="both"/>
        <w:rPr>
          <w:rFonts w:ascii="Book Antiqua" w:hAnsi="Book Antiqua" w:cs="Arial"/>
        </w:rPr>
      </w:pPr>
    </w:p>
    <w:sectPr w:rsidR="005B7789" w:rsidRPr="00CE6902"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4725FE" w14:textId="77777777" w:rsidR="0011584F" w:rsidRDefault="0011584F">
      <w:r>
        <w:separator/>
      </w:r>
    </w:p>
  </w:endnote>
  <w:endnote w:type="continuationSeparator" w:id="0">
    <w:p w14:paraId="6BEBDD03" w14:textId="77777777" w:rsidR="0011584F" w:rsidRDefault="00115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BFE3B" w14:textId="7504F577" w:rsidR="00CB7FD7" w:rsidRPr="00CE6902" w:rsidRDefault="00CB7FD7" w:rsidP="00593795">
    <w:pPr>
      <w:pStyle w:val="Footer"/>
      <w:jc w:val="center"/>
      <w:rPr>
        <w:rFonts w:ascii="Book Antiqua" w:hAnsi="Book Antiqua" w:cs="Arial"/>
        <w:sz w:val="16"/>
        <w:szCs w:val="16"/>
      </w:rPr>
    </w:pPr>
    <w:r w:rsidRPr="00CE6902">
      <w:rPr>
        <w:rStyle w:val="PageNumber"/>
        <w:rFonts w:ascii="Book Antiqua" w:hAnsi="Book Antiqua" w:cs="Arial"/>
        <w:sz w:val="16"/>
        <w:szCs w:val="16"/>
      </w:rPr>
      <w:fldChar w:fldCharType="begin"/>
    </w:r>
    <w:r w:rsidRPr="00CE6902">
      <w:rPr>
        <w:rStyle w:val="PageNumber"/>
        <w:rFonts w:ascii="Book Antiqua" w:hAnsi="Book Antiqua" w:cs="Arial"/>
        <w:sz w:val="16"/>
        <w:szCs w:val="16"/>
      </w:rPr>
      <w:instrText xml:space="preserve"> PAGE </w:instrText>
    </w:r>
    <w:r w:rsidRPr="00CE6902">
      <w:rPr>
        <w:rStyle w:val="PageNumber"/>
        <w:rFonts w:ascii="Book Antiqua" w:hAnsi="Book Antiqua" w:cs="Arial"/>
        <w:sz w:val="16"/>
        <w:szCs w:val="16"/>
      </w:rPr>
      <w:fldChar w:fldCharType="separate"/>
    </w:r>
    <w:r w:rsidR="00102FF5">
      <w:rPr>
        <w:rStyle w:val="PageNumber"/>
        <w:rFonts w:ascii="Book Antiqua" w:hAnsi="Book Antiqua" w:cs="Arial"/>
        <w:noProof/>
        <w:sz w:val="16"/>
        <w:szCs w:val="16"/>
      </w:rPr>
      <w:t>6</w:t>
    </w:r>
    <w:r w:rsidRPr="00CE6902">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C9434" w14:textId="77777777" w:rsidR="00CB7FD7" w:rsidRPr="00CE6902" w:rsidRDefault="00CB7FD7" w:rsidP="007404B2">
    <w:pPr>
      <w:jc w:val="center"/>
      <w:rPr>
        <w:rFonts w:ascii="Book Antiqua" w:hAnsi="Book Antiqua" w:cs="Arial"/>
        <w:b/>
      </w:rPr>
    </w:pPr>
    <w:r w:rsidRPr="00CE6902">
      <w:rPr>
        <w:rFonts w:ascii="Book Antiqua" w:hAnsi="Book Antiqua" w:cs="Arial"/>
        <w:b/>
        <w:spacing w:val="-6"/>
      </w:rPr>
      <w:t>©</w:t>
    </w:r>
    <w:r w:rsidR="00E04C9F">
      <w:rPr>
        <w:rFonts w:ascii="Book Antiqua" w:hAnsi="Book Antiqua" w:cs="Arial"/>
        <w:b/>
      </w:rPr>
      <w:t xml:space="preserve"> CROWN COPYRIGHT 201</w:t>
    </w:r>
    <w:r w:rsidR="00C73349">
      <w:rPr>
        <w:rFonts w:ascii="Book Antiqua" w:hAnsi="Book Antiqua"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C70CC3" w14:textId="77777777" w:rsidR="0011584F" w:rsidRDefault="0011584F">
      <w:r>
        <w:separator/>
      </w:r>
    </w:p>
  </w:footnote>
  <w:footnote w:type="continuationSeparator" w:id="0">
    <w:p w14:paraId="126B2475" w14:textId="77777777" w:rsidR="0011584F" w:rsidRDefault="001158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B11D0" w14:textId="0D246724" w:rsidR="00CB7FD7" w:rsidRPr="00CE6902" w:rsidRDefault="00CB7FD7" w:rsidP="000369F5">
    <w:pPr>
      <w:pStyle w:val="Header"/>
      <w:tabs>
        <w:tab w:val="clear" w:pos="4153"/>
        <w:tab w:val="clear" w:pos="8306"/>
        <w:tab w:val="right" w:pos="9639"/>
      </w:tabs>
      <w:jc w:val="right"/>
      <w:rPr>
        <w:rFonts w:ascii="Book Antiqua" w:hAnsi="Book Antiqua" w:cs="Arial"/>
        <w:sz w:val="16"/>
        <w:szCs w:val="16"/>
      </w:rPr>
    </w:pPr>
    <w:r w:rsidRPr="00CE6902">
      <w:rPr>
        <w:rFonts w:ascii="Book Antiqua" w:hAnsi="Book Antiqua" w:cs="Arial"/>
        <w:sz w:val="16"/>
        <w:szCs w:val="16"/>
      </w:rPr>
      <w:t xml:space="preserve">Appeal Number: </w:t>
    </w:r>
    <w:r w:rsidR="005B736E">
      <w:rPr>
        <w:rFonts w:ascii="Book Antiqua" w:hAnsi="Book Antiqua" w:cs="Arial"/>
        <w:sz w:val="16"/>
        <w:szCs w:val="16"/>
      </w:rPr>
      <w:t>PA</w:t>
    </w:r>
    <w:r w:rsidR="00B93F4A">
      <w:rPr>
        <w:rFonts w:ascii="Book Antiqua" w:hAnsi="Book Antiqua" w:cs="Arial"/>
        <w:sz w:val="16"/>
        <w:szCs w:val="16"/>
      </w:rPr>
      <w:t>/</w:t>
    </w:r>
    <w:r w:rsidR="005B736E">
      <w:rPr>
        <w:rFonts w:ascii="Book Antiqua" w:hAnsi="Book Antiqua" w:cs="Arial"/>
        <w:sz w:val="16"/>
        <w:szCs w:val="16"/>
      </w:rPr>
      <w:t>10839/2017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8519A" w14:textId="2E0F4BCA" w:rsidR="00CE6902" w:rsidRPr="00CE6902" w:rsidRDefault="00CE6902">
    <w:pPr>
      <w:pStyle w:val="Header"/>
      <w:rPr>
        <w:rFonts w:ascii="Book Antiqua" w:hAnsi="Book Antiqua"/>
      </w:rPr>
    </w:pPr>
    <w:r w:rsidRPr="00CE6902">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76B35C7"/>
    <w:multiLevelType w:val="multilevel"/>
    <w:tmpl w:val="6CA6ABA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4D60EB8"/>
    <w:multiLevelType w:val="multilevel"/>
    <w:tmpl w:val="4390705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B891B8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3"/>
  </w:num>
  <w:num w:numId="4">
    <w:abstractNumId w:val="11"/>
  </w:num>
  <w:num w:numId="5">
    <w:abstractNumId w:val="19"/>
  </w:num>
  <w:num w:numId="6">
    <w:abstractNumId w:val="12"/>
  </w:num>
  <w:num w:numId="7">
    <w:abstractNumId w:val="18"/>
  </w:num>
  <w:num w:numId="8">
    <w:abstractNumId w:val="8"/>
  </w:num>
  <w:num w:numId="9">
    <w:abstractNumId w:val="7"/>
  </w:num>
  <w:num w:numId="10">
    <w:abstractNumId w:val="17"/>
  </w:num>
  <w:num w:numId="11">
    <w:abstractNumId w:val="16"/>
  </w:num>
  <w:num w:numId="12">
    <w:abstractNumId w:val="2"/>
  </w:num>
  <w:num w:numId="13">
    <w:abstractNumId w:val="15"/>
  </w:num>
  <w:num w:numId="14">
    <w:abstractNumId w:val="0"/>
  </w:num>
  <w:num w:numId="15">
    <w:abstractNumId w:val="4"/>
  </w:num>
  <w:num w:numId="16">
    <w:abstractNumId w:val="6"/>
  </w:num>
  <w:num w:numId="17">
    <w:abstractNumId w:val="13"/>
  </w:num>
  <w:num w:numId="18">
    <w:abstractNumId w:val="9"/>
  </w:num>
  <w:num w:numId="19">
    <w:abstractNumId w:val="1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DCC"/>
    <w:rsid w:val="00000621"/>
    <w:rsid w:val="000036C2"/>
    <w:rsid w:val="00033D3D"/>
    <w:rsid w:val="000369F5"/>
    <w:rsid w:val="000504A5"/>
    <w:rsid w:val="00071A7E"/>
    <w:rsid w:val="000746C0"/>
    <w:rsid w:val="00074D1D"/>
    <w:rsid w:val="00092580"/>
    <w:rsid w:val="00092B19"/>
    <w:rsid w:val="000C5C20"/>
    <w:rsid w:val="000D17FE"/>
    <w:rsid w:val="000D5D94"/>
    <w:rsid w:val="000F38CB"/>
    <w:rsid w:val="00102FF5"/>
    <w:rsid w:val="001072D5"/>
    <w:rsid w:val="00110F6F"/>
    <w:rsid w:val="00114924"/>
    <w:rsid w:val="0011584F"/>
    <w:rsid w:val="00115D4C"/>
    <w:rsid w:val="001165A7"/>
    <w:rsid w:val="00131792"/>
    <w:rsid w:val="001339B1"/>
    <w:rsid w:val="00151BB7"/>
    <w:rsid w:val="00152152"/>
    <w:rsid w:val="00163090"/>
    <w:rsid w:val="001653C0"/>
    <w:rsid w:val="00167D3A"/>
    <w:rsid w:val="00180C73"/>
    <w:rsid w:val="00183EFD"/>
    <w:rsid w:val="001A24E4"/>
    <w:rsid w:val="001E6D96"/>
    <w:rsid w:val="001F2716"/>
    <w:rsid w:val="0020133A"/>
    <w:rsid w:val="00207617"/>
    <w:rsid w:val="00210E03"/>
    <w:rsid w:val="00215C71"/>
    <w:rsid w:val="00244A9E"/>
    <w:rsid w:val="00283659"/>
    <w:rsid w:val="00283EB8"/>
    <w:rsid w:val="002937D3"/>
    <w:rsid w:val="00297A75"/>
    <w:rsid w:val="002B0334"/>
    <w:rsid w:val="002C4E73"/>
    <w:rsid w:val="002D68BF"/>
    <w:rsid w:val="002F59CA"/>
    <w:rsid w:val="00316625"/>
    <w:rsid w:val="00336CBF"/>
    <w:rsid w:val="00337A21"/>
    <w:rsid w:val="003546C8"/>
    <w:rsid w:val="00362199"/>
    <w:rsid w:val="003A7CF2"/>
    <w:rsid w:val="003C5CE5"/>
    <w:rsid w:val="003E267B"/>
    <w:rsid w:val="003E7CD1"/>
    <w:rsid w:val="004021E3"/>
    <w:rsid w:val="00402B9E"/>
    <w:rsid w:val="004229B4"/>
    <w:rsid w:val="00423932"/>
    <w:rsid w:val="004249CB"/>
    <w:rsid w:val="00436C72"/>
    <w:rsid w:val="0044127D"/>
    <w:rsid w:val="004448DB"/>
    <w:rsid w:val="00446C9A"/>
    <w:rsid w:val="004606D8"/>
    <w:rsid w:val="00477193"/>
    <w:rsid w:val="00491180"/>
    <w:rsid w:val="004A1848"/>
    <w:rsid w:val="004C1E34"/>
    <w:rsid w:val="00503969"/>
    <w:rsid w:val="00507FEC"/>
    <w:rsid w:val="00510F0E"/>
    <w:rsid w:val="00522434"/>
    <w:rsid w:val="00524D60"/>
    <w:rsid w:val="005479E1"/>
    <w:rsid w:val="005570FD"/>
    <w:rsid w:val="005575EA"/>
    <w:rsid w:val="00561B4E"/>
    <w:rsid w:val="0057790C"/>
    <w:rsid w:val="00587896"/>
    <w:rsid w:val="00593795"/>
    <w:rsid w:val="005A75FF"/>
    <w:rsid w:val="005B51C3"/>
    <w:rsid w:val="005B736E"/>
    <w:rsid w:val="005B7789"/>
    <w:rsid w:val="005C1F10"/>
    <w:rsid w:val="005E57FF"/>
    <w:rsid w:val="005F186A"/>
    <w:rsid w:val="0065791C"/>
    <w:rsid w:val="00667DA7"/>
    <w:rsid w:val="00690B8A"/>
    <w:rsid w:val="006B0F6F"/>
    <w:rsid w:val="006B48B7"/>
    <w:rsid w:val="006D1DFA"/>
    <w:rsid w:val="006D24EE"/>
    <w:rsid w:val="006D506B"/>
    <w:rsid w:val="006E3C90"/>
    <w:rsid w:val="006F2423"/>
    <w:rsid w:val="00704771"/>
    <w:rsid w:val="00704B61"/>
    <w:rsid w:val="00717DBE"/>
    <w:rsid w:val="00734AE4"/>
    <w:rsid w:val="007404B2"/>
    <w:rsid w:val="00742A8D"/>
    <w:rsid w:val="007552A9"/>
    <w:rsid w:val="00756AA2"/>
    <w:rsid w:val="0076043D"/>
    <w:rsid w:val="00761858"/>
    <w:rsid w:val="00767D59"/>
    <w:rsid w:val="00776E97"/>
    <w:rsid w:val="00780FD7"/>
    <w:rsid w:val="007912AD"/>
    <w:rsid w:val="007939C0"/>
    <w:rsid w:val="007B0824"/>
    <w:rsid w:val="007C52F5"/>
    <w:rsid w:val="007C61B1"/>
    <w:rsid w:val="00807563"/>
    <w:rsid w:val="00823D71"/>
    <w:rsid w:val="008303B8"/>
    <w:rsid w:val="00833DCE"/>
    <w:rsid w:val="0085724D"/>
    <w:rsid w:val="00870FAE"/>
    <w:rsid w:val="00871D34"/>
    <w:rsid w:val="008749A9"/>
    <w:rsid w:val="00886D74"/>
    <w:rsid w:val="00896632"/>
    <w:rsid w:val="008A0C3B"/>
    <w:rsid w:val="008B270C"/>
    <w:rsid w:val="008B2E3D"/>
    <w:rsid w:val="008C3D3D"/>
    <w:rsid w:val="008D4131"/>
    <w:rsid w:val="008D7B7E"/>
    <w:rsid w:val="008F1932"/>
    <w:rsid w:val="008F294D"/>
    <w:rsid w:val="00921062"/>
    <w:rsid w:val="00924478"/>
    <w:rsid w:val="00941B1E"/>
    <w:rsid w:val="00966ECF"/>
    <w:rsid w:val="009727A3"/>
    <w:rsid w:val="00980BDE"/>
    <w:rsid w:val="00985C62"/>
    <w:rsid w:val="00987774"/>
    <w:rsid w:val="009A11E8"/>
    <w:rsid w:val="009E082A"/>
    <w:rsid w:val="009F5220"/>
    <w:rsid w:val="009F7C4D"/>
    <w:rsid w:val="00A15234"/>
    <w:rsid w:val="00A201AB"/>
    <w:rsid w:val="00A31C8B"/>
    <w:rsid w:val="00A341D2"/>
    <w:rsid w:val="00A34C0B"/>
    <w:rsid w:val="00A61D02"/>
    <w:rsid w:val="00A845DC"/>
    <w:rsid w:val="00A957E0"/>
    <w:rsid w:val="00A97AEE"/>
    <w:rsid w:val="00AC5CF6"/>
    <w:rsid w:val="00AF15E8"/>
    <w:rsid w:val="00AF3421"/>
    <w:rsid w:val="00B03FBE"/>
    <w:rsid w:val="00B144FA"/>
    <w:rsid w:val="00B25B10"/>
    <w:rsid w:val="00B30648"/>
    <w:rsid w:val="00B3524D"/>
    <w:rsid w:val="00B40F69"/>
    <w:rsid w:val="00B46616"/>
    <w:rsid w:val="00B61205"/>
    <w:rsid w:val="00B617C4"/>
    <w:rsid w:val="00B626FA"/>
    <w:rsid w:val="00B7040A"/>
    <w:rsid w:val="00B93F4A"/>
    <w:rsid w:val="00BD4196"/>
    <w:rsid w:val="00BF22CA"/>
    <w:rsid w:val="00BF3B8C"/>
    <w:rsid w:val="00C129A1"/>
    <w:rsid w:val="00C26032"/>
    <w:rsid w:val="00C265B0"/>
    <w:rsid w:val="00C32BB1"/>
    <w:rsid w:val="00C345E1"/>
    <w:rsid w:val="00C665DF"/>
    <w:rsid w:val="00C73349"/>
    <w:rsid w:val="00C73B35"/>
    <w:rsid w:val="00C90C15"/>
    <w:rsid w:val="00C94A8F"/>
    <w:rsid w:val="00CB6E35"/>
    <w:rsid w:val="00CB7FD7"/>
    <w:rsid w:val="00CD2DCC"/>
    <w:rsid w:val="00CE1A46"/>
    <w:rsid w:val="00CE2079"/>
    <w:rsid w:val="00CE2FF2"/>
    <w:rsid w:val="00CE6902"/>
    <w:rsid w:val="00CF253F"/>
    <w:rsid w:val="00CF40F3"/>
    <w:rsid w:val="00CF56B4"/>
    <w:rsid w:val="00D20F09"/>
    <w:rsid w:val="00D22636"/>
    <w:rsid w:val="00D40FD9"/>
    <w:rsid w:val="00D53769"/>
    <w:rsid w:val="00D53893"/>
    <w:rsid w:val="00D85C13"/>
    <w:rsid w:val="00D91BE3"/>
    <w:rsid w:val="00D94AFC"/>
    <w:rsid w:val="00DB70AE"/>
    <w:rsid w:val="00DB7231"/>
    <w:rsid w:val="00DC6FAB"/>
    <w:rsid w:val="00DD5071"/>
    <w:rsid w:val="00DD5C39"/>
    <w:rsid w:val="00DE019E"/>
    <w:rsid w:val="00DE26AF"/>
    <w:rsid w:val="00DE7DB7"/>
    <w:rsid w:val="00E00A0A"/>
    <w:rsid w:val="00E04C9F"/>
    <w:rsid w:val="00E07F57"/>
    <w:rsid w:val="00E2793F"/>
    <w:rsid w:val="00E33145"/>
    <w:rsid w:val="00E3456E"/>
    <w:rsid w:val="00E50BCE"/>
    <w:rsid w:val="00E61292"/>
    <w:rsid w:val="00E76309"/>
    <w:rsid w:val="00E77C4D"/>
    <w:rsid w:val="00E81D01"/>
    <w:rsid w:val="00EB707E"/>
    <w:rsid w:val="00ED1BAF"/>
    <w:rsid w:val="00ED49AF"/>
    <w:rsid w:val="00EE3E65"/>
    <w:rsid w:val="00EE45D8"/>
    <w:rsid w:val="00EF1230"/>
    <w:rsid w:val="00F004CD"/>
    <w:rsid w:val="00F13E3D"/>
    <w:rsid w:val="00F22EDA"/>
    <w:rsid w:val="00F25AF5"/>
    <w:rsid w:val="00F33E0E"/>
    <w:rsid w:val="00FA17F3"/>
    <w:rsid w:val="00FB72C2"/>
    <w:rsid w:val="00FB7E80"/>
    <w:rsid w:val="00FC4665"/>
    <w:rsid w:val="00FE6906"/>
    <w:rsid w:val="00FF5A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5F841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2076</Words>
  <Characters>11836</Characters>
  <Application>Microsoft Office Word</Application>
  <DocSecurity>0</DocSecurity>
  <Lines>98</Lines>
  <Paragraphs>27</Paragraphs>
  <ScaleCrop>false</ScaleCrop>
  <Company/>
  <LinksUpToDate>false</LinksUpToDate>
  <CharactersWithSpaces>13885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2018-06-21T14:06:00Z</dcterms:created>
  <dcterms:modified xsi:type="dcterms:W3CDTF">2018-06-21T14:06:00Z</dcterms:modified>
</cp:coreProperties>
</file>