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15E" w:rsidRPr="00541EBC" w:rsidRDefault="0090115E" w:rsidP="0090115E">
      <w:pPr>
        <w:spacing w:after="0" w:line="240" w:lineRule="auto"/>
        <w:jc w:val="center"/>
        <w:rPr>
          <w:rFonts w:eastAsia="Times New Roman" w:cs="Arial"/>
          <w:color w:val="000000"/>
          <w:szCs w:val="24"/>
          <w:lang w:eastAsia="en-GB"/>
        </w:rPr>
      </w:pPr>
      <w:r w:rsidRPr="00541EBC">
        <w:rPr>
          <w:rFonts w:eastAsia="Times New Roman"/>
          <w:noProof/>
          <w:szCs w:val="24"/>
          <w:lang w:eastAsia="en-GB"/>
        </w:rPr>
        <w:drawing>
          <wp:inline distT="0" distB="0" distL="0" distR="0" wp14:anchorId="1A5B6333" wp14:editId="3EF9621C">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541EBC" w:rsidRPr="00541EBC" w:rsidRDefault="00541EBC" w:rsidP="00541EBC">
      <w:pPr>
        <w:spacing w:after="0" w:line="240" w:lineRule="auto"/>
        <w:rPr>
          <w:rFonts w:eastAsia="Times New Roman" w:cs="Arial"/>
          <w:color w:val="000000"/>
          <w:szCs w:val="24"/>
          <w:lang w:eastAsia="en-GB"/>
        </w:rPr>
      </w:pPr>
    </w:p>
    <w:p w:rsidR="0090115E" w:rsidRPr="00541EBC" w:rsidRDefault="0090115E" w:rsidP="0090115E">
      <w:pPr>
        <w:tabs>
          <w:tab w:val="right" w:pos="9720"/>
        </w:tabs>
        <w:spacing w:after="0" w:line="240" w:lineRule="auto"/>
        <w:ind w:right="-82"/>
        <w:rPr>
          <w:rFonts w:eastAsia="Times New Roman" w:cs="Arial"/>
          <w:b/>
          <w:color w:val="000000"/>
          <w:szCs w:val="24"/>
          <w:lang w:eastAsia="en-GB"/>
        </w:rPr>
      </w:pPr>
      <w:r w:rsidRPr="00541EBC">
        <w:rPr>
          <w:rFonts w:eastAsia="Times New Roman" w:cs="Arial"/>
          <w:b/>
          <w:color w:val="000000"/>
          <w:szCs w:val="24"/>
          <w:lang w:eastAsia="en-GB"/>
        </w:rPr>
        <w:t xml:space="preserve">Upper Tribunal </w:t>
      </w:r>
    </w:p>
    <w:p w:rsidR="0090115E" w:rsidRPr="00541EBC" w:rsidRDefault="0090115E" w:rsidP="0090115E">
      <w:pPr>
        <w:tabs>
          <w:tab w:val="right" w:pos="9720"/>
        </w:tabs>
        <w:spacing w:after="0" w:line="240" w:lineRule="auto"/>
        <w:ind w:right="-82"/>
        <w:rPr>
          <w:rFonts w:eastAsia="Times New Roman" w:cs="Arial"/>
          <w:caps/>
          <w:color w:val="000000"/>
          <w:szCs w:val="24"/>
          <w:lang w:eastAsia="en-GB"/>
        </w:rPr>
      </w:pPr>
      <w:r w:rsidRPr="00541EBC">
        <w:rPr>
          <w:rFonts w:eastAsia="Times New Roman" w:cs="Arial"/>
          <w:b/>
          <w:color w:val="000000"/>
          <w:szCs w:val="24"/>
          <w:lang w:eastAsia="en-GB"/>
        </w:rPr>
        <w:t>(Immigration and Asylum Chamber)</w:t>
      </w:r>
      <w:r w:rsidRPr="00541EBC">
        <w:rPr>
          <w:rFonts w:eastAsia="Times New Roman" w:cs="Arial"/>
          <w:b/>
          <w:color w:val="000000"/>
          <w:szCs w:val="24"/>
          <w:lang w:eastAsia="en-GB"/>
        </w:rPr>
        <w:tab/>
      </w:r>
      <w:r w:rsidRPr="00541EBC">
        <w:rPr>
          <w:rFonts w:eastAsia="Times New Roman" w:cs="Arial"/>
          <w:color w:val="000000"/>
          <w:szCs w:val="24"/>
          <w:lang w:eastAsia="en-GB"/>
        </w:rPr>
        <w:t>Appeal Number:  PA</w:t>
      </w:r>
      <w:r w:rsidRPr="00541EBC">
        <w:rPr>
          <w:rFonts w:eastAsia="Times New Roman" w:cs="Arial"/>
          <w:caps/>
          <w:color w:val="000000"/>
          <w:szCs w:val="24"/>
          <w:lang w:eastAsia="en-GB"/>
        </w:rPr>
        <w:t>/10866/2017</w:t>
      </w:r>
    </w:p>
    <w:p w:rsidR="0090115E" w:rsidRPr="00541EBC" w:rsidRDefault="0090115E" w:rsidP="0090115E">
      <w:pPr>
        <w:tabs>
          <w:tab w:val="right" w:pos="9720"/>
        </w:tabs>
        <w:spacing w:after="0" w:line="240" w:lineRule="auto"/>
        <w:ind w:right="-82"/>
        <w:rPr>
          <w:rFonts w:eastAsia="Times New Roman" w:cs="Arial"/>
          <w:color w:val="000000"/>
          <w:szCs w:val="24"/>
          <w:lang w:eastAsia="en-GB"/>
        </w:rPr>
      </w:pPr>
      <w:r w:rsidRPr="00541EBC">
        <w:rPr>
          <w:rFonts w:eastAsia="Times New Roman" w:cs="Arial"/>
          <w:caps/>
          <w:color w:val="000000"/>
          <w:szCs w:val="24"/>
          <w:lang w:eastAsia="en-GB"/>
        </w:rPr>
        <w:tab/>
      </w:r>
      <w:r w:rsidRPr="00541EBC">
        <w:rPr>
          <w:rFonts w:eastAsia="Times New Roman" w:cs="Arial"/>
          <w:caps/>
          <w:color w:val="000000"/>
          <w:szCs w:val="24"/>
          <w:lang w:eastAsia="en-GB"/>
        </w:rPr>
        <w:tab/>
      </w:r>
    </w:p>
    <w:p w:rsidR="0090115E" w:rsidRPr="00541EBC" w:rsidRDefault="0090115E" w:rsidP="0090115E">
      <w:pPr>
        <w:spacing w:after="0" w:line="240" w:lineRule="auto"/>
        <w:jc w:val="center"/>
        <w:rPr>
          <w:rFonts w:eastAsia="Times New Roman" w:cs="Arial"/>
          <w:b/>
          <w:color w:val="000000"/>
          <w:szCs w:val="24"/>
          <w:u w:val="single"/>
          <w:lang w:eastAsia="en-GB"/>
        </w:rPr>
      </w:pPr>
      <w:r w:rsidRPr="00541EBC">
        <w:rPr>
          <w:rFonts w:eastAsia="Times New Roman" w:cs="Arial"/>
          <w:b/>
          <w:color w:val="000000"/>
          <w:szCs w:val="24"/>
          <w:u w:val="single"/>
          <w:lang w:eastAsia="en-GB"/>
        </w:rPr>
        <w:t>THE IMMIGRATION ACTS</w:t>
      </w:r>
    </w:p>
    <w:p w:rsidR="0090115E" w:rsidRPr="00541EBC" w:rsidRDefault="0090115E" w:rsidP="0090115E">
      <w:pPr>
        <w:spacing w:after="0" w:line="240" w:lineRule="auto"/>
        <w:jc w:val="center"/>
        <w:rPr>
          <w:rFonts w:eastAsia="Times New Roman" w:cs="Arial"/>
          <w:b/>
          <w:szCs w:val="24"/>
          <w:u w:val="single"/>
          <w:lang w:eastAsia="en-GB"/>
        </w:rPr>
      </w:pPr>
    </w:p>
    <w:p w:rsidR="0090115E" w:rsidRPr="00541EBC" w:rsidRDefault="0090115E" w:rsidP="0090115E">
      <w:pPr>
        <w:spacing w:after="0" w:line="240" w:lineRule="auto"/>
        <w:jc w:val="center"/>
        <w:rPr>
          <w:rFonts w:eastAsia="Times New Roman" w:cs="Arial"/>
          <w:b/>
          <w:szCs w:val="24"/>
          <w:u w:val="single"/>
          <w:lang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90115E" w:rsidRPr="00541EBC" w:rsidTr="00541EBC">
        <w:tc>
          <w:tcPr>
            <w:tcW w:w="2500" w:type="pct"/>
          </w:tcPr>
          <w:p w:rsidR="0090115E" w:rsidRPr="00541EBC" w:rsidRDefault="0090115E" w:rsidP="0071016D">
            <w:pPr>
              <w:jc w:val="both"/>
              <w:rPr>
                <w:rFonts w:ascii="Book Antiqua" w:hAnsi="Book Antiqua" w:cs="Arial"/>
                <w:b/>
                <w:sz w:val="24"/>
                <w:szCs w:val="24"/>
              </w:rPr>
            </w:pPr>
            <w:bookmarkStart w:id="0" w:name="_GoBack" w:colFirst="1" w:colLast="1"/>
            <w:r w:rsidRPr="00541EBC">
              <w:rPr>
                <w:rFonts w:ascii="Book Antiqua" w:hAnsi="Book Antiqua" w:cs="Arial"/>
                <w:b/>
                <w:sz w:val="24"/>
                <w:szCs w:val="24"/>
              </w:rPr>
              <w:t xml:space="preserve">Heard at Field House </w:t>
            </w:r>
          </w:p>
        </w:tc>
        <w:tc>
          <w:tcPr>
            <w:tcW w:w="2500" w:type="pct"/>
          </w:tcPr>
          <w:p w:rsidR="0090115E" w:rsidRPr="00541EBC" w:rsidRDefault="0090115E" w:rsidP="00541EBC">
            <w:pPr>
              <w:jc w:val="right"/>
              <w:rPr>
                <w:rFonts w:ascii="Book Antiqua" w:hAnsi="Book Antiqua" w:cs="Arial"/>
                <w:b/>
                <w:color w:val="000000"/>
                <w:sz w:val="24"/>
                <w:szCs w:val="24"/>
              </w:rPr>
            </w:pPr>
            <w:r w:rsidRPr="00541EBC">
              <w:rPr>
                <w:rFonts w:ascii="Book Antiqua" w:hAnsi="Book Antiqua" w:cs="Arial"/>
                <w:b/>
                <w:color w:val="000000"/>
                <w:sz w:val="24"/>
                <w:szCs w:val="24"/>
              </w:rPr>
              <w:t>De</w:t>
            </w:r>
            <w:r w:rsidR="009D5758" w:rsidRPr="00541EBC">
              <w:rPr>
                <w:rFonts w:ascii="Book Antiqua" w:hAnsi="Book Antiqua" w:cs="Arial"/>
                <w:b/>
                <w:color w:val="000000"/>
                <w:sz w:val="24"/>
                <w:szCs w:val="24"/>
              </w:rPr>
              <w:t xml:space="preserve">cision &amp; Reasons </w:t>
            </w:r>
            <w:r w:rsidRPr="00541EBC">
              <w:rPr>
                <w:rFonts w:ascii="Book Antiqua" w:hAnsi="Book Antiqua" w:cs="Arial"/>
                <w:b/>
                <w:color w:val="000000"/>
                <w:sz w:val="24"/>
                <w:szCs w:val="24"/>
              </w:rPr>
              <w:t>Promulgated</w:t>
            </w:r>
          </w:p>
        </w:tc>
      </w:tr>
      <w:tr w:rsidR="0090115E" w:rsidRPr="00541EBC" w:rsidTr="00541EBC">
        <w:tc>
          <w:tcPr>
            <w:tcW w:w="2500" w:type="pct"/>
          </w:tcPr>
          <w:p w:rsidR="0090115E" w:rsidRPr="00541EBC" w:rsidRDefault="0090115E" w:rsidP="0071016D">
            <w:pPr>
              <w:jc w:val="both"/>
              <w:rPr>
                <w:rFonts w:ascii="Book Antiqua" w:hAnsi="Book Antiqua" w:cs="Arial"/>
                <w:b/>
                <w:sz w:val="24"/>
                <w:szCs w:val="24"/>
              </w:rPr>
            </w:pPr>
            <w:r w:rsidRPr="00541EBC">
              <w:rPr>
                <w:rFonts w:ascii="Book Antiqua" w:hAnsi="Book Antiqua" w:cs="Arial"/>
                <w:b/>
                <w:sz w:val="24"/>
                <w:szCs w:val="24"/>
              </w:rPr>
              <w:t>On 9 August 2018</w:t>
            </w:r>
          </w:p>
        </w:tc>
        <w:tc>
          <w:tcPr>
            <w:tcW w:w="2500" w:type="pct"/>
          </w:tcPr>
          <w:p w:rsidR="0090115E" w:rsidRPr="00541EBC" w:rsidRDefault="009D5758" w:rsidP="00541EBC">
            <w:pPr>
              <w:jc w:val="right"/>
              <w:rPr>
                <w:rFonts w:ascii="Book Antiqua" w:hAnsi="Book Antiqua" w:cs="Arial"/>
                <w:b/>
                <w:sz w:val="24"/>
                <w:szCs w:val="24"/>
              </w:rPr>
            </w:pPr>
            <w:r w:rsidRPr="00541EBC">
              <w:rPr>
                <w:rFonts w:ascii="Book Antiqua" w:hAnsi="Book Antiqua" w:cs="Arial"/>
                <w:b/>
                <w:sz w:val="24"/>
                <w:szCs w:val="24"/>
              </w:rPr>
              <w:t>On 2</w:t>
            </w:r>
            <w:r w:rsidR="00541EBC" w:rsidRPr="00541EBC">
              <w:rPr>
                <w:rFonts w:ascii="Book Antiqua" w:hAnsi="Book Antiqua" w:cs="Arial"/>
                <w:b/>
                <w:sz w:val="24"/>
                <w:szCs w:val="24"/>
              </w:rPr>
              <w:t>9</w:t>
            </w:r>
            <w:r w:rsidRPr="00541EBC">
              <w:rPr>
                <w:rFonts w:ascii="Book Antiqua" w:hAnsi="Book Antiqua" w:cs="Arial"/>
                <w:b/>
                <w:sz w:val="24"/>
                <w:szCs w:val="24"/>
              </w:rPr>
              <w:t xml:space="preserve"> August 2018</w:t>
            </w:r>
          </w:p>
        </w:tc>
      </w:tr>
      <w:bookmarkEnd w:id="0"/>
    </w:tbl>
    <w:p w:rsidR="0090115E" w:rsidRPr="00541EBC" w:rsidRDefault="0090115E" w:rsidP="0090115E">
      <w:pPr>
        <w:spacing w:after="0" w:line="240" w:lineRule="auto"/>
        <w:jc w:val="center"/>
        <w:rPr>
          <w:rFonts w:eastAsia="Times New Roman" w:cs="Arial"/>
          <w:szCs w:val="24"/>
          <w:lang w:eastAsia="en-GB"/>
        </w:rPr>
      </w:pPr>
    </w:p>
    <w:p w:rsidR="00541EBC" w:rsidRPr="00541EBC" w:rsidRDefault="00541EBC" w:rsidP="0090115E">
      <w:pPr>
        <w:spacing w:after="0" w:line="240" w:lineRule="auto"/>
        <w:jc w:val="center"/>
        <w:rPr>
          <w:rFonts w:eastAsia="Times New Roman" w:cs="Arial"/>
          <w:b/>
          <w:szCs w:val="24"/>
          <w:lang w:eastAsia="en-GB"/>
        </w:rPr>
      </w:pPr>
    </w:p>
    <w:p w:rsidR="0090115E" w:rsidRPr="00541EBC" w:rsidRDefault="0090115E" w:rsidP="0090115E">
      <w:pPr>
        <w:spacing w:after="0" w:line="240" w:lineRule="auto"/>
        <w:jc w:val="center"/>
        <w:rPr>
          <w:rFonts w:eastAsia="Times New Roman" w:cs="Arial"/>
          <w:b/>
          <w:szCs w:val="24"/>
          <w:lang w:eastAsia="en-GB"/>
        </w:rPr>
      </w:pPr>
      <w:r w:rsidRPr="00541EBC">
        <w:rPr>
          <w:rFonts w:eastAsia="Times New Roman" w:cs="Arial"/>
          <w:b/>
          <w:szCs w:val="24"/>
          <w:lang w:eastAsia="en-GB"/>
        </w:rPr>
        <w:t>Before</w:t>
      </w:r>
    </w:p>
    <w:p w:rsidR="0090115E" w:rsidRPr="00541EBC" w:rsidRDefault="0090115E" w:rsidP="0090115E">
      <w:pPr>
        <w:spacing w:after="0" w:line="240" w:lineRule="auto"/>
        <w:jc w:val="center"/>
        <w:rPr>
          <w:rFonts w:eastAsia="Times New Roman" w:cs="Arial"/>
          <w:b/>
          <w:szCs w:val="24"/>
          <w:lang w:eastAsia="en-GB"/>
        </w:rPr>
      </w:pPr>
    </w:p>
    <w:p w:rsidR="0090115E" w:rsidRPr="00541EBC" w:rsidRDefault="0090115E" w:rsidP="0090115E">
      <w:pPr>
        <w:spacing w:after="0" w:line="240" w:lineRule="auto"/>
        <w:jc w:val="center"/>
        <w:rPr>
          <w:rFonts w:eastAsia="Times New Roman" w:cs="Arial"/>
          <w:b/>
          <w:color w:val="000000"/>
          <w:szCs w:val="24"/>
          <w:lang w:eastAsia="en-GB"/>
        </w:rPr>
      </w:pPr>
      <w:r w:rsidRPr="00541EBC">
        <w:rPr>
          <w:rFonts w:eastAsia="Times New Roman" w:cs="Arial"/>
          <w:b/>
          <w:color w:val="000000"/>
          <w:szCs w:val="24"/>
          <w:lang w:eastAsia="en-GB"/>
        </w:rPr>
        <w:t xml:space="preserve">UPPER TRIBUNAL JUDGE KEKIĆ  </w:t>
      </w:r>
    </w:p>
    <w:p w:rsidR="0090115E" w:rsidRPr="00541EBC" w:rsidRDefault="0090115E" w:rsidP="0090115E">
      <w:pPr>
        <w:spacing w:after="0" w:line="240" w:lineRule="auto"/>
        <w:jc w:val="center"/>
        <w:rPr>
          <w:rFonts w:eastAsia="Times New Roman" w:cs="Arial"/>
          <w:b/>
          <w:color w:val="000000"/>
          <w:szCs w:val="24"/>
          <w:lang w:eastAsia="en-GB"/>
        </w:rPr>
      </w:pPr>
    </w:p>
    <w:p w:rsidR="0090115E" w:rsidRPr="00541EBC" w:rsidRDefault="0090115E" w:rsidP="0090115E">
      <w:pPr>
        <w:spacing w:after="0" w:line="240" w:lineRule="auto"/>
        <w:jc w:val="center"/>
        <w:rPr>
          <w:rFonts w:eastAsia="Times New Roman" w:cs="Arial"/>
          <w:b/>
          <w:szCs w:val="24"/>
          <w:lang w:eastAsia="en-GB"/>
        </w:rPr>
      </w:pPr>
    </w:p>
    <w:p w:rsidR="0090115E" w:rsidRPr="00541EBC" w:rsidRDefault="0090115E" w:rsidP="0090115E">
      <w:pPr>
        <w:spacing w:after="0" w:line="240" w:lineRule="auto"/>
        <w:jc w:val="center"/>
        <w:rPr>
          <w:rFonts w:eastAsia="Times New Roman" w:cs="Arial"/>
          <w:b/>
          <w:szCs w:val="24"/>
          <w:lang w:eastAsia="en-GB"/>
        </w:rPr>
      </w:pPr>
      <w:r w:rsidRPr="00541EBC">
        <w:rPr>
          <w:rFonts w:eastAsia="Times New Roman" w:cs="Arial"/>
          <w:b/>
          <w:szCs w:val="24"/>
          <w:lang w:eastAsia="en-GB"/>
        </w:rPr>
        <w:t>Between</w:t>
      </w:r>
    </w:p>
    <w:p w:rsidR="0090115E" w:rsidRPr="00541EBC" w:rsidRDefault="0090115E" w:rsidP="0090115E">
      <w:pPr>
        <w:spacing w:after="0" w:line="240" w:lineRule="auto"/>
        <w:jc w:val="center"/>
        <w:rPr>
          <w:rFonts w:eastAsia="Times New Roman" w:cs="Arial"/>
          <w:b/>
          <w:szCs w:val="24"/>
          <w:lang w:eastAsia="en-GB"/>
        </w:rPr>
      </w:pPr>
    </w:p>
    <w:p w:rsidR="0090115E" w:rsidRPr="00541EBC" w:rsidRDefault="00541EBC" w:rsidP="0090115E">
      <w:pPr>
        <w:spacing w:after="0" w:line="240" w:lineRule="auto"/>
        <w:jc w:val="center"/>
        <w:rPr>
          <w:rFonts w:eastAsia="Times New Roman" w:cs="Arial"/>
          <w:b/>
          <w:caps/>
          <w:szCs w:val="24"/>
          <w:lang w:eastAsia="en-GB"/>
        </w:rPr>
      </w:pPr>
      <w:r w:rsidRPr="00541EBC">
        <w:rPr>
          <w:rFonts w:eastAsia="Times New Roman" w:cs="Arial"/>
          <w:b/>
          <w:caps/>
          <w:szCs w:val="24"/>
          <w:lang w:eastAsia="en-GB"/>
        </w:rPr>
        <w:t>[</w:t>
      </w:r>
      <w:r w:rsidR="0090115E" w:rsidRPr="00541EBC">
        <w:rPr>
          <w:rFonts w:eastAsia="Times New Roman" w:cs="Arial"/>
          <w:b/>
          <w:caps/>
          <w:szCs w:val="24"/>
          <w:lang w:eastAsia="en-GB"/>
        </w:rPr>
        <w:t>H</w:t>
      </w:r>
      <w:r w:rsidRPr="00541EBC">
        <w:rPr>
          <w:rFonts w:eastAsia="Times New Roman" w:cs="Arial"/>
          <w:b/>
          <w:caps/>
          <w:szCs w:val="24"/>
          <w:lang w:eastAsia="en-GB"/>
        </w:rPr>
        <w:t xml:space="preserve"> </w:t>
      </w:r>
      <w:r w:rsidR="0090115E" w:rsidRPr="00541EBC">
        <w:rPr>
          <w:rFonts w:eastAsia="Times New Roman" w:cs="Arial"/>
          <w:b/>
          <w:caps/>
          <w:szCs w:val="24"/>
          <w:lang w:eastAsia="en-GB"/>
        </w:rPr>
        <w:t>N</w:t>
      </w:r>
      <w:r w:rsidRPr="00541EBC">
        <w:rPr>
          <w:rFonts w:eastAsia="Times New Roman" w:cs="Arial"/>
          <w:b/>
          <w:caps/>
          <w:szCs w:val="24"/>
          <w:lang w:eastAsia="en-GB"/>
        </w:rPr>
        <w:t>]</w:t>
      </w:r>
    </w:p>
    <w:p w:rsidR="0090115E" w:rsidRPr="00541EBC" w:rsidRDefault="0090115E" w:rsidP="0090115E">
      <w:pPr>
        <w:spacing w:after="0" w:line="240" w:lineRule="auto"/>
        <w:jc w:val="center"/>
        <w:rPr>
          <w:rFonts w:eastAsia="Times New Roman" w:cs="Arial"/>
          <w:b/>
          <w:caps/>
          <w:szCs w:val="24"/>
          <w:lang w:eastAsia="en-GB"/>
        </w:rPr>
      </w:pPr>
      <w:r w:rsidRPr="00541EBC">
        <w:rPr>
          <w:rFonts w:eastAsia="Times New Roman" w:cs="Arial"/>
          <w:b/>
          <w:caps/>
          <w:szCs w:val="24"/>
          <w:lang w:eastAsia="en-GB"/>
        </w:rPr>
        <w:t>(anonymity order made)</w:t>
      </w:r>
    </w:p>
    <w:p w:rsidR="0090115E" w:rsidRPr="00541EBC" w:rsidRDefault="0090115E" w:rsidP="0090115E">
      <w:pPr>
        <w:spacing w:after="0" w:line="240" w:lineRule="auto"/>
        <w:jc w:val="right"/>
        <w:rPr>
          <w:rFonts w:eastAsia="Times New Roman" w:cs="Arial"/>
          <w:szCs w:val="24"/>
          <w:u w:val="single"/>
          <w:lang w:eastAsia="en-GB"/>
        </w:rPr>
      </w:pPr>
      <w:r w:rsidRPr="00541EBC">
        <w:rPr>
          <w:rFonts w:eastAsia="Times New Roman" w:cs="Arial"/>
          <w:szCs w:val="24"/>
          <w:u w:val="single"/>
          <w:lang w:eastAsia="en-GB"/>
        </w:rPr>
        <w:t>Appellant</w:t>
      </w:r>
    </w:p>
    <w:p w:rsidR="0090115E" w:rsidRPr="00541EBC" w:rsidRDefault="0090115E" w:rsidP="0090115E">
      <w:pPr>
        <w:spacing w:after="0" w:line="240" w:lineRule="auto"/>
        <w:jc w:val="center"/>
        <w:rPr>
          <w:rFonts w:eastAsia="Times New Roman" w:cs="Arial"/>
          <w:b/>
          <w:szCs w:val="24"/>
          <w:lang w:eastAsia="en-GB"/>
        </w:rPr>
      </w:pPr>
      <w:r w:rsidRPr="00541EBC">
        <w:rPr>
          <w:rFonts w:eastAsia="Times New Roman" w:cs="Arial"/>
          <w:b/>
          <w:szCs w:val="24"/>
          <w:lang w:eastAsia="en-GB"/>
        </w:rPr>
        <w:t>and</w:t>
      </w:r>
    </w:p>
    <w:p w:rsidR="0090115E" w:rsidRPr="00541EBC" w:rsidRDefault="0090115E" w:rsidP="0090115E">
      <w:pPr>
        <w:spacing w:after="0" w:line="240" w:lineRule="auto"/>
        <w:jc w:val="center"/>
        <w:rPr>
          <w:rFonts w:eastAsia="Times New Roman" w:cs="Arial"/>
          <w:b/>
          <w:szCs w:val="24"/>
          <w:lang w:eastAsia="en-GB"/>
        </w:rPr>
      </w:pPr>
    </w:p>
    <w:p w:rsidR="0090115E" w:rsidRPr="00541EBC" w:rsidRDefault="0090115E" w:rsidP="0090115E">
      <w:pPr>
        <w:spacing w:after="0" w:line="240" w:lineRule="auto"/>
        <w:jc w:val="center"/>
        <w:rPr>
          <w:rFonts w:eastAsia="Times New Roman" w:cs="Arial"/>
          <w:b/>
          <w:szCs w:val="24"/>
          <w:lang w:eastAsia="en-GB"/>
        </w:rPr>
      </w:pPr>
      <w:r w:rsidRPr="00541EBC">
        <w:rPr>
          <w:rFonts w:eastAsia="Times New Roman" w:cs="Arial"/>
          <w:b/>
          <w:szCs w:val="24"/>
          <w:lang w:eastAsia="en-GB"/>
        </w:rPr>
        <w:t>SECRETARY OF STATE FOR THE HOME DEPARTMENT</w:t>
      </w:r>
    </w:p>
    <w:p w:rsidR="0090115E" w:rsidRPr="00541EBC" w:rsidRDefault="0090115E" w:rsidP="0090115E">
      <w:pPr>
        <w:spacing w:after="0" w:line="240" w:lineRule="auto"/>
        <w:jc w:val="right"/>
        <w:rPr>
          <w:rFonts w:eastAsia="Times New Roman" w:cs="Arial"/>
          <w:szCs w:val="24"/>
          <w:u w:val="single"/>
          <w:lang w:eastAsia="en-GB"/>
        </w:rPr>
      </w:pPr>
      <w:r w:rsidRPr="00541EBC">
        <w:rPr>
          <w:rFonts w:eastAsia="Times New Roman" w:cs="Arial"/>
          <w:szCs w:val="24"/>
          <w:u w:val="single"/>
          <w:lang w:eastAsia="en-GB"/>
        </w:rPr>
        <w:t>Respondent</w:t>
      </w:r>
    </w:p>
    <w:p w:rsidR="00541EBC" w:rsidRPr="00541EBC" w:rsidRDefault="00541EBC" w:rsidP="0090115E">
      <w:pPr>
        <w:spacing w:after="0" w:line="240" w:lineRule="auto"/>
        <w:rPr>
          <w:rFonts w:eastAsia="Times New Roman" w:cs="Arial"/>
          <w:b/>
          <w:szCs w:val="24"/>
          <w:u w:val="single"/>
          <w:lang w:eastAsia="en-GB"/>
        </w:rPr>
      </w:pPr>
    </w:p>
    <w:p w:rsidR="00541EBC" w:rsidRPr="00541EBC" w:rsidRDefault="00541EBC" w:rsidP="0090115E">
      <w:pPr>
        <w:spacing w:after="0" w:line="240" w:lineRule="auto"/>
        <w:rPr>
          <w:rFonts w:eastAsia="Times New Roman" w:cs="Arial"/>
          <w:b/>
          <w:szCs w:val="24"/>
          <w:u w:val="single"/>
          <w:lang w:eastAsia="en-GB"/>
        </w:rPr>
      </w:pPr>
    </w:p>
    <w:p w:rsidR="0090115E" w:rsidRPr="00541EBC" w:rsidRDefault="0090115E" w:rsidP="0090115E">
      <w:pPr>
        <w:spacing w:after="0" w:line="240" w:lineRule="auto"/>
        <w:rPr>
          <w:rFonts w:eastAsia="Times New Roman" w:cs="Arial"/>
          <w:szCs w:val="24"/>
          <w:lang w:eastAsia="en-GB"/>
        </w:rPr>
      </w:pPr>
      <w:r w:rsidRPr="00541EBC">
        <w:rPr>
          <w:rFonts w:eastAsia="Times New Roman" w:cs="Arial"/>
          <w:b/>
          <w:szCs w:val="24"/>
          <w:u w:val="single"/>
          <w:lang w:eastAsia="en-GB"/>
        </w:rPr>
        <w:t>Representation</w:t>
      </w:r>
      <w:r w:rsidRPr="00541EBC">
        <w:rPr>
          <w:rFonts w:eastAsia="Times New Roman" w:cs="Arial"/>
          <w:b/>
          <w:szCs w:val="24"/>
          <w:lang w:eastAsia="en-GB"/>
        </w:rPr>
        <w:t>:</w:t>
      </w:r>
    </w:p>
    <w:p w:rsidR="0090115E" w:rsidRPr="00541EBC" w:rsidRDefault="0090115E" w:rsidP="00541EBC">
      <w:pPr>
        <w:spacing w:after="0" w:line="240" w:lineRule="auto"/>
        <w:ind w:left="2552" w:hanging="2552"/>
        <w:rPr>
          <w:rFonts w:eastAsia="Times New Roman" w:cs="Arial"/>
          <w:szCs w:val="24"/>
          <w:lang w:eastAsia="en-GB"/>
        </w:rPr>
      </w:pPr>
      <w:r w:rsidRPr="00541EBC">
        <w:rPr>
          <w:rFonts w:eastAsia="Times New Roman" w:cs="Arial"/>
          <w:szCs w:val="24"/>
          <w:lang w:eastAsia="en-GB"/>
        </w:rPr>
        <w:t>For the Appellant:</w:t>
      </w:r>
      <w:r w:rsidRPr="00541EBC">
        <w:rPr>
          <w:rFonts w:eastAsia="Times New Roman" w:cs="Arial"/>
          <w:szCs w:val="24"/>
          <w:lang w:eastAsia="en-GB"/>
        </w:rPr>
        <w:tab/>
        <w:t xml:space="preserve">Ms N Ahmad of Counsel, instructed by Buckingham Legal Associates  </w:t>
      </w:r>
    </w:p>
    <w:p w:rsidR="0090115E" w:rsidRPr="00541EBC" w:rsidRDefault="0090115E" w:rsidP="00541EBC">
      <w:pPr>
        <w:tabs>
          <w:tab w:val="left" w:pos="2552"/>
        </w:tabs>
        <w:spacing w:after="0" w:line="240" w:lineRule="auto"/>
        <w:rPr>
          <w:rFonts w:eastAsia="Times New Roman" w:cs="Arial"/>
          <w:szCs w:val="24"/>
          <w:lang w:eastAsia="en-GB"/>
        </w:rPr>
      </w:pPr>
      <w:r w:rsidRPr="00541EBC">
        <w:rPr>
          <w:rFonts w:eastAsia="Times New Roman" w:cs="Arial"/>
          <w:szCs w:val="24"/>
          <w:lang w:eastAsia="en-GB"/>
        </w:rPr>
        <w:t xml:space="preserve">For the Respondent: </w:t>
      </w:r>
      <w:r w:rsidR="00541EBC" w:rsidRPr="00541EBC">
        <w:rPr>
          <w:rFonts w:eastAsia="Times New Roman" w:cs="Arial"/>
          <w:szCs w:val="24"/>
          <w:lang w:eastAsia="en-GB"/>
        </w:rPr>
        <w:tab/>
      </w:r>
      <w:r w:rsidRPr="00541EBC">
        <w:rPr>
          <w:rFonts w:eastAsia="Times New Roman" w:cs="Arial"/>
          <w:szCs w:val="24"/>
          <w:lang w:eastAsia="en-GB"/>
        </w:rPr>
        <w:t>Mr S Walker, Senior Home Office Presenting Officer</w:t>
      </w:r>
    </w:p>
    <w:p w:rsidR="0090115E" w:rsidRPr="00541EBC" w:rsidRDefault="0090115E" w:rsidP="0090115E">
      <w:pPr>
        <w:tabs>
          <w:tab w:val="left" w:pos="2520"/>
        </w:tabs>
        <w:spacing w:after="0" w:line="240" w:lineRule="auto"/>
        <w:jc w:val="center"/>
        <w:rPr>
          <w:rFonts w:eastAsia="Times New Roman" w:cs="Arial"/>
          <w:szCs w:val="24"/>
          <w:lang w:eastAsia="en-GB"/>
        </w:rPr>
      </w:pPr>
    </w:p>
    <w:p w:rsidR="0090115E" w:rsidRPr="00541EBC" w:rsidRDefault="0090115E" w:rsidP="0090115E">
      <w:pPr>
        <w:tabs>
          <w:tab w:val="left" w:pos="2520"/>
        </w:tabs>
        <w:spacing w:after="0" w:line="240" w:lineRule="auto"/>
        <w:jc w:val="center"/>
        <w:rPr>
          <w:rFonts w:eastAsia="Times New Roman" w:cs="Arial"/>
          <w:szCs w:val="24"/>
          <w:lang w:eastAsia="en-GB"/>
        </w:rPr>
      </w:pPr>
    </w:p>
    <w:p w:rsidR="0090115E" w:rsidRPr="00541EBC" w:rsidRDefault="0090115E" w:rsidP="0090115E">
      <w:pPr>
        <w:tabs>
          <w:tab w:val="left" w:pos="2520"/>
        </w:tabs>
        <w:spacing w:after="0" w:line="240" w:lineRule="auto"/>
        <w:jc w:val="center"/>
        <w:rPr>
          <w:rFonts w:eastAsia="Times New Roman" w:cs="Arial"/>
          <w:szCs w:val="24"/>
          <w:lang w:eastAsia="en-GB"/>
        </w:rPr>
      </w:pPr>
      <w:r w:rsidRPr="00541EBC">
        <w:rPr>
          <w:rFonts w:eastAsia="Times New Roman" w:cs="Arial"/>
          <w:b/>
          <w:szCs w:val="24"/>
          <w:u w:val="single"/>
          <w:lang w:eastAsia="en-GB"/>
        </w:rPr>
        <w:t>DETERMINATION AND REASONS</w:t>
      </w:r>
    </w:p>
    <w:p w:rsidR="0090115E" w:rsidRPr="00B07E0B" w:rsidRDefault="0090115E" w:rsidP="0090115E">
      <w:pPr>
        <w:tabs>
          <w:tab w:val="left" w:pos="2520"/>
        </w:tabs>
        <w:spacing w:after="0" w:line="240" w:lineRule="auto"/>
        <w:jc w:val="bot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 challenges the decision of First-tier Tribunal Judge C H Bennett to dismiss his asylum appeal. He is a Pakistani national born on 16 October 1985. He entered the UK as a student in October 2010. Thereafter his leave was extended until 29 June 2016 on the same basis. He then applied for a residence card on the basis of his marriage to an EEA national. That was refused with a </w:t>
      </w:r>
      <w:r>
        <w:rPr>
          <w:rFonts w:eastAsia="Times New Roman" w:cs="Arial"/>
          <w:szCs w:val="24"/>
          <w:lang w:eastAsia="en-GB"/>
        </w:rPr>
        <w:lastRenderedPageBreak/>
        <w:t xml:space="preserve">right of appeal which the appellant exercised but later withdrew. He subsequently claimed asylum when directions for his removal were set.  </w:t>
      </w:r>
    </w:p>
    <w:p w:rsidR="0090115E" w:rsidRDefault="0090115E" w:rsidP="0090115E">
      <w:pPr>
        <w:tabs>
          <w:tab w:val="left" w:pos="567"/>
        </w:tabs>
        <w:spacing w:after="0" w:line="240" w:lineRule="auto"/>
        <w:ind w:left="1279"/>
        <w:contextualSpacing/>
        <w:jc w:val="both"/>
        <w:rPr>
          <w:rFonts w:eastAsia="Times New Roman" w:cs="Arial"/>
          <w:szCs w:val="24"/>
          <w:lang w:eastAsia="en-GB"/>
        </w:rPr>
      </w:pPr>
    </w:p>
    <w:p w:rsidR="00BD2779" w:rsidRDefault="00BD2779" w:rsidP="00BD2779">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w:t>
      </w:r>
      <w:r>
        <w:rPr>
          <w:rFonts w:eastAsia="Times New Roman" w:cs="Arial"/>
          <w:szCs w:val="24"/>
          <w:lang w:eastAsia="en-GB"/>
        </w:rPr>
        <w:t xml:space="preserve">e appellant’s case is that he is bisexual and feared harm on return from his own family, who had disowned him, and from the authorities and community at large.   </w:t>
      </w:r>
    </w:p>
    <w:p w:rsidR="00BD2779" w:rsidRDefault="00BD2779" w:rsidP="00BD2779">
      <w:pPr>
        <w:pStyle w:val="ListParagrap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appellant was previously married in an Islamic ceremony in 2005 and had two daughters</w:t>
      </w:r>
      <w:r w:rsidR="004D1BDD">
        <w:rPr>
          <w:rFonts w:eastAsia="Times New Roman" w:cs="Arial"/>
          <w:szCs w:val="24"/>
          <w:lang w:eastAsia="en-GB"/>
        </w:rPr>
        <w:t xml:space="preserve"> from that marriage</w:t>
      </w:r>
      <w:r>
        <w:rPr>
          <w:rFonts w:eastAsia="Times New Roman" w:cs="Arial"/>
          <w:szCs w:val="24"/>
          <w:lang w:eastAsia="en-GB"/>
        </w:rPr>
        <w:t xml:space="preserve">. The marriage was terminated by a talaq divorce in 2012. </w:t>
      </w:r>
      <w:r w:rsidR="00BD2779">
        <w:rPr>
          <w:rFonts w:eastAsia="Times New Roman" w:cs="Arial"/>
          <w:szCs w:val="24"/>
          <w:lang w:eastAsia="en-GB"/>
        </w:rPr>
        <w:t xml:space="preserve">His second marriage </w:t>
      </w:r>
      <w:r w:rsidR="004D1BDD">
        <w:rPr>
          <w:rFonts w:eastAsia="Times New Roman" w:cs="Arial"/>
          <w:szCs w:val="24"/>
          <w:lang w:eastAsia="en-GB"/>
        </w:rPr>
        <w:t xml:space="preserve">to an EEA national </w:t>
      </w:r>
      <w:r w:rsidR="00BD2779">
        <w:rPr>
          <w:rFonts w:eastAsia="Times New Roman" w:cs="Arial"/>
          <w:szCs w:val="24"/>
          <w:lang w:eastAsia="en-GB"/>
        </w:rPr>
        <w:t>had ended when his wife discovered that he had been engaging in sexual relations with men. He had not had any relationships in the UK after his second marriage broke down</w:t>
      </w:r>
      <w:r w:rsidR="004D1BDD">
        <w:rPr>
          <w:rFonts w:eastAsia="Times New Roman" w:cs="Arial"/>
          <w:szCs w:val="24"/>
          <w:lang w:eastAsia="en-GB"/>
        </w:rPr>
        <w:t xml:space="preserve"> although he had attended gay and LGBT bars and clubs and had engaged in sexual activities</w:t>
      </w:r>
      <w:r w:rsidR="00BD2779">
        <w:rPr>
          <w:rFonts w:eastAsia="Times New Roman" w:cs="Arial"/>
          <w:szCs w:val="24"/>
          <w:lang w:eastAsia="en-GB"/>
        </w:rPr>
        <w:t>.</w:t>
      </w:r>
    </w:p>
    <w:p w:rsidR="0090115E" w:rsidRDefault="0090115E" w:rsidP="0090115E">
      <w:pPr>
        <w:tabs>
          <w:tab w:val="left" w:pos="567"/>
        </w:tabs>
        <w:spacing w:after="0" w:line="240" w:lineRule="auto"/>
        <w:ind w:left="1279"/>
        <w:contextualSpacing/>
        <w:jc w:val="both"/>
        <w:rPr>
          <w:rFonts w:eastAsia="Times New Roman" w:cs="Arial"/>
          <w:szCs w:val="24"/>
          <w:lang w:eastAsia="en-GB"/>
        </w:rPr>
      </w:pPr>
    </w:p>
    <w:p w:rsidR="0090115E" w:rsidRDefault="0090115E" w:rsidP="0090115E">
      <w:pPr>
        <w:tabs>
          <w:tab w:val="left" w:pos="567"/>
        </w:tabs>
        <w:spacing w:after="0" w:line="240" w:lineRule="auto"/>
        <w:ind w:left="1279"/>
        <w:contextualSpacing/>
        <w:jc w:val="bot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w:t>
      </w:r>
      <w:r w:rsidR="004D1BDD">
        <w:rPr>
          <w:rFonts w:eastAsia="Times New Roman" w:cs="Arial"/>
          <w:szCs w:val="24"/>
          <w:lang w:eastAsia="en-GB"/>
        </w:rPr>
        <w:t xml:space="preserve">heard evidence from the appellant and witnesses. He </w:t>
      </w:r>
      <w:r>
        <w:rPr>
          <w:rFonts w:eastAsia="Times New Roman" w:cs="Arial"/>
          <w:szCs w:val="24"/>
          <w:lang w:eastAsia="en-GB"/>
        </w:rPr>
        <w:t xml:space="preserve">did not accept the claim and dismissed the appeal in a lengthy determination promulgated on </w:t>
      </w:r>
      <w:r w:rsidR="00BD2779">
        <w:rPr>
          <w:rFonts w:eastAsia="Times New Roman" w:cs="Arial"/>
          <w:szCs w:val="24"/>
          <w:lang w:eastAsia="en-GB"/>
        </w:rPr>
        <w:t>28 June</w:t>
      </w:r>
      <w:r>
        <w:rPr>
          <w:rFonts w:eastAsia="Times New Roman" w:cs="Arial"/>
          <w:szCs w:val="24"/>
          <w:lang w:eastAsia="en-GB"/>
        </w:rPr>
        <w:t xml:space="preserve"> 2018.  </w:t>
      </w:r>
    </w:p>
    <w:p w:rsidR="0090115E" w:rsidRDefault="0090115E" w:rsidP="0090115E">
      <w:pPr>
        <w:pStyle w:val="ListParagraph"/>
        <w:rPr>
          <w:rFonts w:eastAsia="Times New Roman" w:cs="Arial"/>
          <w:szCs w:val="24"/>
          <w:lang w:eastAsia="en-GB"/>
        </w:rPr>
      </w:pPr>
    </w:p>
    <w:p w:rsidR="007D3A3C" w:rsidRDefault="00BD2779"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 challenged the decision. The grounds argue that the judge was biased, that he had humiliated one of the appellant’s witnesses who had made a formal complaint against him and that his approach to the evidence and s. 8 issues was flawed. </w:t>
      </w:r>
    </w:p>
    <w:p w:rsidR="007D3A3C" w:rsidRDefault="007D3A3C" w:rsidP="007D3A3C">
      <w:pPr>
        <w:pStyle w:val="ListParagrap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Permission to appeal was granted by First-tier Tribunal Judge </w:t>
      </w:r>
      <w:r w:rsidR="00BD2779">
        <w:rPr>
          <w:rFonts w:eastAsia="Times New Roman" w:cs="Arial"/>
          <w:szCs w:val="24"/>
          <w:lang w:eastAsia="en-GB"/>
        </w:rPr>
        <w:t>Parkes</w:t>
      </w:r>
      <w:r>
        <w:rPr>
          <w:rFonts w:eastAsia="Times New Roman" w:cs="Arial"/>
          <w:szCs w:val="24"/>
          <w:lang w:eastAsia="en-GB"/>
        </w:rPr>
        <w:t xml:space="preserve"> on </w:t>
      </w:r>
      <w:r w:rsidR="00BD2779">
        <w:rPr>
          <w:rFonts w:eastAsia="Times New Roman" w:cs="Arial"/>
          <w:szCs w:val="24"/>
          <w:lang w:eastAsia="en-GB"/>
        </w:rPr>
        <w:t>19</w:t>
      </w:r>
      <w:r>
        <w:rPr>
          <w:rFonts w:eastAsia="Times New Roman" w:cs="Arial"/>
          <w:szCs w:val="24"/>
          <w:lang w:eastAsia="en-GB"/>
        </w:rPr>
        <w:t xml:space="preserve"> June 2018. </w:t>
      </w:r>
    </w:p>
    <w:p w:rsidR="0090115E" w:rsidRDefault="0090115E" w:rsidP="0090115E">
      <w:pPr>
        <w:tabs>
          <w:tab w:val="left" w:pos="567"/>
        </w:tabs>
        <w:spacing w:after="0" w:line="240" w:lineRule="auto"/>
        <w:ind w:left="1279"/>
        <w:contextualSpacing/>
        <w:jc w:val="both"/>
        <w:rPr>
          <w:rFonts w:eastAsia="Times New Roman" w:cs="Arial"/>
          <w:szCs w:val="24"/>
          <w:lang w:eastAsia="en-GB"/>
        </w:rPr>
      </w:pPr>
    </w:p>
    <w:p w:rsidR="0090115E" w:rsidRPr="00713349" w:rsidRDefault="0090115E" w:rsidP="0090115E">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t xml:space="preserve">The Hearing  </w:t>
      </w:r>
      <w:r w:rsidRPr="00713349">
        <w:rPr>
          <w:rFonts w:eastAsia="Times New Roman" w:cs="Arial"/>
          <w:b/>
          <w:szCs w:val="24"/>
          <w:lang w:eastAsia="en-GB"/>
        </w:rPr>
        <w:t xml:space="preserve"> </w:t>
      </w:r>
    </w:p>
    <w:p w:rsidR="0090115E" w:rsidRDefault="0090115E" w:rsidP="0090115E">
      <w:pPr>
        <w:pStyle w:val="ListParagrap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heard submissions from the parties </w:t>
      </w:r>
      <w:r w:rsidR="007D3A3C">
        <w:rPr>
          <w:rFonts w:eastAsia="Times New Roman" w:cs="Arial"/>
          <w:szCs w:val="24"/>
          <w:lang w:eastAsia="en-GB"/>
        </w:rPr>
        <w:t xml:space="preserve">when the matter came </w:t>
      </w:r>
      <w:r>
        <w:rPr>
          <w:rFonts w:eastAsia="Times New Roman" w:cs="Arial"/>
          <w:szCs w:val="24"/>
          <w:lang w:eastAsia="en-GB"/>
        </w:rPr>
        <w:t>before me on 9 August 2018.</w:t>
      </w:r>
      <w:r w:rsidRPr="00FE35A4">
        <w:t xml:space="preserve"> </w:t>
      </w:r>
      <w:r>
        <w:t>The appellant was present.</w:t>
      </w:r>
    </w:p>
    <w:p w:rsidR="0090115E" w:rsidRDefault="0090115E" w:rsidP="0090115E">
      <w:pPr>
        <w:pStyle w:val="ListParagraph"/>
        <w:rPr>
          <w:rFonts w:eastAsia="Times New Roman" w:cs="Arial"/>
          <w:szCs w:val="24"/>
          <w:lang w:eastAsia="en-GB"/>
        </w:rPr>
      </w:pPr>
    </w:p>
    <w:p w:rsidR="007D3A3C" w:rsidRDefault="0090115E" w:rsidP="0090115E">
      <w:pPr>
        <w:pStyle w:val="ListParagraph"/>
        <w:numPr>
          <w:ilvl w:val="0"/>
          <w:numId w:val="1"/>
        </w:numPr>
        <w:jc w:val="both"/>
      </w:pPr>
      <w:r>
        <w:t xml:space="preserve">Ms Ahmad submitted that the judge had </w:t>
      </w:r>
      <w:r w:rsidR="00BD2779">
        <w:t>given the impression of bias against the appellant and his witnesses from the outset. Indeed, his witness had made a formal complaint with the Judicial Complaints Department and that was under investigation. The judge’s finding that the witness had dressed up as a female “for fun” and “as an act” had unfairly i</w:t>
      </w:r>
      <w:r w:rsidR="007D3A3C">
        <w:t>m</w:t>
      </w:r>
      <w:r w:rsidR="004D1BDD">
        <w:t>plied</w:t>
      </w:r>
      <w:r w:rsidR="00BD2779">
        <w:t xml:space="preserve"> that he had lied to the court. </w:t>
      </w:r>
    </w:p>
    <w:p w:rsidR="007D3A3C" w:rsidRDefault="007D3A3C" w:rsidP="007D3A3C">
      <w:pPr>
        <w:pStyle w:val="ListParagraph"/>
      </w:pPr>
    </w:p>
    <w:p w:rsidR="0090115E" w:rsidRDefault="007D3A3C" w:rsidP="0090115E">
      <w:pPr>
        <w:pStyle w:val="ListParagraph"/>
        <w:numPr>
          <w:ilvl w:val="0"/>
          <w:numId w:val="1"/>
        </w:numPr>
        <w:jc w:val="both"/>
      </w:pPr>
      <w:r>
        <w:t>It was submitted that t</w:t>
      </w:r>
      <w:r w:rsidR="00BD2779">
        <w:t xml:space="preserve">he judge’s </w:t>
      </w:r>
      <w:r>
        <w:t>description</w:t>
      </w:r>
      <w:r w:rsidR="00BD2779">
        <w:t xml:space="preserve"> of the photographs of the appellant and a friend as </w:t>
      </w:r>
      <w:r>
        <w:t>“</w:t>
      </w:r>
      <w:r w:rsidR="00BD2779">
        <w:t>posed</w:t>
      </w:r>
      <w:r>
        <w:t>”</w:t>
      </w:r>
      <w:r w:rsidR="00BD2779">
        <w:t xml:space="preserve"> to suggest </w:t>
      </w:r>
      <w:r>
        <w:t>“</w:t>
      </w:r>
      <w:r w:rsidR="00BD2779">
        <w:t>a loving relationship</w:t>
      </w:r>
      <w:r>
        <w:t>”</w:t>
      </w:r>
      <w:r w:rsidR="00BD2779">
        <w:t xml:space="preserve"> failed to take heed of the fact that they had never claimed to be in a relationship at all. </w:t>
      </w:r>
      <w:r w:rsidR="0090115E" w:rsidRPr="00A71057">
        <w:t xml:space="preserve"> </w:t>
      </w:r>
      <w:r w:rsidR="004F7CA5">
        <w:t xml:space="preserve">No good </w:t>
      </w:r>
      <w:r w:rsidR="004F7CA5">
        <w:lastRenderedPageBreak/>
        <w:t>reasons were given for the rejection of the evidence of the other witnesses both of whom had direct personal knowledge of the appellant and his activities</w:t>
      </w:r>
      <w:r>
        <w:t xml:space="preserve"> and indeed had accompanied him to LGBT events</w:t>
      </w:r>
      <w:r w:rsidR="0090115E">
        <w:t xml:space="preserve">. </w:t>
      </w:r>
    </w:p>
    <w:p w:rsidR="004F7CA5" w:rsidRDefault="004F7CA5" w:rsidP="004F7CA5">
      <w:pPr>
        <w:pStyle w:val="ListParagraph"/>
      </w:pPr>
    </w:p>
    <w:p w:rsidR="004F7CA5" w:rsidRDefault="004F7CA5" w:rsidP="0090115E">
      <w:pPr>
        <w:pStyle w:val="ListParagraph"/>
        <w:numPr>
          <w:ilvl w:val="0"/>
          <w:numId w:val="1"/>
        </w:numPr>
        <w:jc w:val="both"/>
      </w:pPr>
      <w:r>
        <w:t xml:space="preserve">Ms Ahmad also submitted that the judge was factually incorrect to state that the appellant had not made any further applications to remain after the expiry of his student leave when the evidence from the respondent was that he had made an application under the Regulations. In fact, I note that the judge himself acknowledges this elsewhere in his determination. </w:t>
      </w:r>
    </w:p>
    <w:p w:rsidR="0090115E" w:rsidRDefault="0090115E" w:rsidP="0090115E">
      <w:pPr>
        <w:pStyle w:val="ListParagraph"/>
        <w:ind w:left="1279"/>
        <w:jc w:val="both"/>
      </w:pPr>
      <w:r>
        <w:t xml:space="preserve"> </w:t>
      </w:r>
    </w:p>
    <w:p w:rsidR="00AC7894" w:rsidRDefault="0090115E" w:rsidP="0090115E">
      <w:pPr>
        <w:pStyle w:val="ListParagraph"/>
        <w:numPr>
          <w:ilvl w:val="0"/>
          <w:numId w:val="1"/>
        </w:numPr>
        <w:jc w:val="both"/>
      </w:pPr>
      <w:r>
        <w:t xml:space="preserve">The </w:t>
      </w:r>
      <w:r w:rsidR="00AC7894">
        <w:t xml:space="preserve">judge is also said to have entered into a forensic examination of the appellant’s entitlement to a residence card, of the genuineness of the marriage and the sponsor’s position as a qualifying person even though these were not matters raised by the respondent or relied upon in the refusal of asylum. This created an unfair bias against the appellant. </w:t>
      </w:r>
    </w:p>
    <w:p w:rsidR="00AC7894" w:rsidRDefault="00AC7894" w:rsidP="00AC7894">
      <w:pPr>
        <w:pStyle w:val="ListParagraph"/>
      </w:pPr>
    </w:p>
    <w:p w:rsidR="00AC7894" w:rsidRDefault="00AC7894" w:rsidP="0090115E">
      <w:pPr>
        <w:pStyle w:val="ListParagraph"/>
        <w:numPr>
          <w:ilvl w:val="0"/>
          <w:numId w:val="1"/>
        </w:numPr>
        <w:jc w:val="both"/>
      </w:pPr>
      <w:r>
        <w:t>The judge criticized the appellant and his representatives for not supplying evidence of the divorce from his first wife</w:t>
      </w:r>
      <w:r w:rsidR="002A6EFB">
        <w:t>,</w:t>
      </w:r>
      <w:r>
        <w:t xml:space="preserve"> but this fact had never been disputed by the respondent and so should have been accepted by the judge. </w:t>
      </w:r>
    </w:p>
    <w:p w:rsidR="00AC7894" w:rsidRDefault="00AC7894" w:rsidP="00AC7894">
      <w:pPr>
        <w:pStyle w:val="ListParagraph"/>
      </w:pPr>
    </w:p>
    <w:p w:rsidR="00AC7894" w:rsidRDefault="00AC7894" w:rsidP="0090115E">
      <w:pPr>
        <w:pStyle w:val="ListParagraph"/>
        <w:numPr>
          <w:ilvl w:val="0"/>
          <w:numId w:val="1"/>
        </w:numPr>
        <w:jc w:val="both"/>
      </w:pPr>
      <w:r>
        <w:t xml:space="preserve">There were also problems with the judge’s finding that the appellant’s medical issues were a new matter and that consent had not been given by the respondent. The evidence showed, in fact, that the appellant had raised mental health issues as part of his claim, had supplied documentary evidence of the medication he had been prescribed and indeed this had been considered by the respondent in his decision letter. It was not therefore correct to maintain this was a new matter. </w:t>
      </w:r>
    </w:p>
    <w:p w:rsidR="0071016D" w:rsidRDefault="0071016D" w:rsidP="0071016D">
      <w:pPr>
        <w:pStyle w:val="ListParagraph"/>
      </w:pPr>
    </w:p>
    <w:p w:rsidR="0071016D" w:rsidRDefault="0071016D" w:rsidP="0090115E">
      <w:pPr>
        <w:pStyle w:val="ListParagraph"/>
        <w:numPr>
          <w:ilvl w:val="0"/>
          <w:numId w:val="1"/>
        </w:numPr>
        <w:jc w:val="both"/>
      </w:pPr>
      <w:r>
        <w:t xml:space="preserve">Finally, the judge’s assessment of the appellant’s credibility on s.8 grounds was flawed in that he failed to take account of whether the appellant had provided a reasonable explanation. </w:t>
      </w:r>
    </w:p>
    <w:p w:rsidR="002A6EFB" w:rsidRDefault="002A6EFB" w:rsidP="002A6EFB">
      <w:pPr>
        <w:pStyle w:val="ListParagraph"/>
      </w:pPr>
    </w:p>
    <w:p w:rsidR="00AC7894" w:rsidRDefault="002A6EFB" w:rsidP="00AC7894">
      <w:pPr>
        <w:pStyle w:val="ListParagraph"/>
        <w:numPr>
          <w:ilvl w:val="0"/>
          <w:numId w:val="1"/>
        </w:numPr>
        <w:jc w:val="both"/>
      </w:pPr>
      <w:r>
        <w:t xml:space="preserve">Mr Walker very fairly conceded that the judge had made several errors of law with respect to the treatment of the witness testimony, reliance on incorrect facts and at going off on a tangent with respect to the EEA claim. In the circumstances he did not seek to defend the determination. </w:t>
      </w:r>
    </w:p>
    <w:p w:rsidR="002A6EFB" w:rsidRDefault="002A6EFB" w:rsidP="002A6EFB">
      <w:pPr>
        <w:pStyle w:val="ListParagraph"/>
      </w:pPr>
    </w:p>
    <w:p w:rsidR="0090115E" w:rsidRDefault="002A6EFB" w:rsidP="0090115E">
      <w:pPr>
        <w:pStyle w:val="ListParagraph"/>
        <w:numPr>
          <w:ilvl w:val="0"/>
          <w:numId w:val="1"/>
        </w:numPr>
        <w:jc w:val="both"/>
      </w:pPr>
      <w:r>
        <w:t xml:space="preserve">I did not need to hear against from Ms Ahmad given Mr Walker’s concession with which I am in agreement. </w:t>
      </w:r>
      <w:r w:rsidR="0090115E">
        <w:t xml:space="preserve">At the conclusion of the hearing I formally reserved my determination but indicated that I would be setting aside the determination in its entirety. I now give my reasons for doing so. </w:t>
      </w:r>
    </w:p>
    <w:p w:rsidR="0090115E" w:rsidRDefault="0090115E" w:rsidP="0090115E">
      <w:pPr>
        <w:pStyle w:val="ListParagraph"/>
        <w:ind w:left="1279"/>
        <w:jc w:val="both"/>
      </w:pPr>
    </w:p>
    <w:p w:rsidR="007D3A3C" w:rsidRDefault="007D3A3C" w:rsidP="0090115E">
      <w:pPr>
        <w:pStyle w:val="ListParagraph"/>
        <w:ind w:left="1279"/>
        <w:jc w:val="both"/>
        <w:rPr>
          <w:b/>
        </w:rPr>
      </w:pPr>
    </w:p>
    <w:p w:rsidR="0090115E" w:rsidRPr="00FE35A4" w:rsidRDefault="0090115E" w:rsidP="0090115E">
      <w:pPr>
        <w:pStyle w:val="ListParagraph"/>
        <w:ind w:left="1279"/>
        <w:jc w:val="both"/>
        <w:rPr>
          <w:b/>
        </w:rPr>
      </w:pPr>
      <w:r w:rsidRPr="00FE35A4">
        <w:rPr>
          <w:b/>
        </w:rPr>
        <w:lastRenderedPageBreak/>
        <w:t>Discussion and Findings</w:t>
      </w:r>
    </w:p>
    <w:p w:rsidR="0090115E" w:rsidRDefault="0090115E" w:rsidP="0090115E">
      <w:pPr>
        <w:pStyle w:val="ListParagraph"/>
        <w:ind w:left="1279"/>
        <w:jc w:val="both"/>
      </w:pPr>
    </w:p>
    <w:p w:rsidR="0090115E" w:rsidRDefault="002A6EFB" w:rsidP="0090115E">
      <w:pPr>
        <w:pStyle w:val="ListParagraph"/>
        <w:numPr>
          <w:ilvl w:val="0"/>
          <w:numId w:val="1"/>
        </w:numPr>
        <w:jc w:val="both"/>
      </w:pPr>
      <w:r>
        <w:t>Despite the judge’s lengthy consideration of the appellant’s claim, or perhaps because of it, he made several factual and other errors of law which necessitate the setting aside of the determination in its entirety.</w:t>
      </w:r>
      <w:r w:rsidR="0090115E">
        <w:t xml:space="preserve">  </w:t>
      </w:r>
    </w:p>
    <w:p w:rsidR="0090115E" w:rsidRDefault="0090115E" w:rsidP="0090115E">
      <w:pPr>
        <w:pStyle w:val="ListParagraph"/>
        <w:ind w:left="1279"/>
        <w:jc w:val="both"/>
      </w:pPr>
    </w:p>
    <w:p w:rsidR="004D1BDD" w:rsidRDefault="0090115E" w:rsidP="0090115E">
      <w:pPr>
        <w:pStyle w:val="ListParagraph"/>
        <w:numPr>
          <w:ilvl w:val="0"/>
          <w:numId w:val="1"/>
        </w:numPr>
        <w:jc w:val="both"/>
      </w:pPr>
      <w:r>
        <w:t xml:space="preserve">It is </w:t>
      </w:r>
      <w:r w:rsidR="002A6EFB">
        <w:t xml:space="preserve">unfortunate that the judge’s treatment of the evidence of the appellant’s witness, led to the making of a formal complaint. I make no further comment on that matter as it is under consideration by the appropriate department. However, I do accept that the other complaints are made out. </w:t>
      </w:r>
    </w:p>
    <w:p w:rsidR="004D1BDD" w:rsidRDefault="004D1BDD" w:rsidP="004D1BDD">
      <w:pPr>
        <w:pStyle w:val="ListParagraph"/>
      </w:pPr>
    </w:p>
    <w:p w:rsidR="004D1BDD" w:rsidRDefault="002A6EFB" w:rsidP="0090115E">
      <w:pPr>
        <w:pStyle w:val="ListParagraph"/>
        <w:numPr>
          <w:ilvl w:val="0"/>
          <w:numId w:val="1"/>
        </w:numPr>
        <w:jc w:val="both"/>
      </w:pPr>
      <w:r>
        <w:t xml:space="preserve">The judge’s consideration of the EEA issue was wholly unnecessary given the respondent’s lack of reliance upon it and given the fact that the judge did not even have the papers relating to </w:t>
      </w:r>
      <w:r w:rsidR="004D1BDD">
        <w:t>the</w:t>
      </w:r>
      <w:r>
        <w:t xml:space="preserve"> application or the refusal. I agree with Ms Ahmad that it may have led to unfairness in how the judge viewed the appellant. </w:t>
      </w:r>
    </w:p>
    <w:p w:rsidR="004D1BDD" w:rsidRDefault="004D1BDD" w:rsidP="004D1BDD">
      <w:pPr>
        <w:pStyle w:val="ListParagraph"/>
      </w:pPr>
    </w:p>
    <w:p w:rsidR="0090115E" w:rsidRDefault="004D1BDD" w:rsidP="0090115E">
      <w:pPr>
        <w:pStyle w:val="ListParagraph"/>
        <w:numPr>
          <w:ilvl w:val="0"/>
          <w:numId w:val="1"/>
        </w:numPr>
        <w:jc w:val="both"/>
      </w:pPr>
      <w:r>
        <w:t xml:space="preserve">Similarly, the judge raised other matters which had not been disputed by the respondent and which therefore the appellant had not needed to provide evidence on. Had these been matters on which the judge felt he required documentary evidence, the appellant should have been given the opportunity to obtain it. </w:t>
      </w:r>
    </w:p>
    <w:p w:rsidR="004D1BDD" w:rsidRDefault="004D1BDD" w:rsidP="004D1BDD">
      <w:pPr>
        <w:pStyle w:val="ListParagraph"/>
      </w:pPr>
    </w:p>
    <w:p w:rsidR="004D1BDD" w:rsidRDefault="004D1BDD" w:rsidP="0090115E">
      <w:pPr>
        <w:pStyle w:val="ListParagraph"/>
        <w:numPr>
          <w:ilvl w:val="0"/>
          <w:numId w:val="1"/>
        </w:numPr>
        <w:jc w:val="both"/>
      </w:pPr>
      <w:r>
        <w:t xml:space="preserve">The judge was factually wrong, and indeed contradicted himself in the determination, about the appellant’s position after the expiry of his student leave. He was wrong to maintain that the appellant had raised a new matter in respect of his medical issues when the decision letter showed plainly that this was a matter already known to and considered by the respondent. The judge also erred in his approach to the photographic evidence as the appellant and his friend had never sought to argue that they were or had been in a relationship. </w:t>
      </w:r>
    </w:p>
    <w:p w:rsidR="0090115E" w:rsidRDefault="0090115E" w:rsidP="0090115E">
      <w:pPr>
        <w:pStyle w:val="ListParagraph"/>
        <w:ind w:left="1279"/>
        <w:jc w:val="both"/>
      </w:pPr>
    </w:p>
    <w:p w:rsidR="0090115E" w:rsidRDefault="0090115E" w:rsidP="0090115E">
      <w:pPr>
        <w:pStyle w:val="ListParagraph"/>
        <w:numPr>
          <w:ilvl w:val="0"/>
          <w:numId w:val="1"/>
        </w:numPr>
        <w:jc w:val="both"/>
      </w:pPr>
      <w:r>
        <w:t xml:space="preserve">For </w:t>
      </w:r>
      <w:r w:rsidR="004D1BDD">
        <w:t xml:space="preserve">all </w:t>
      </w:r>
      <w:r>
        <w:t xml:space="preserve">these reasons I </w:t>
      </w:r>
      <w:r w:rsidR="004D1BDD">
        <w:t xml:space="preserve">set aside </w:t>
      </w:r>
      <w:r>
        <w:t>the judge’s decision</w:t>
      </w:r>
      <w:r w:rsidR="004D1BDD">
        <w:t xml:space="preserve">. </w:t>
      </w:r>
      <w:r>
        <w:t>No findings are preserved.</w:t>
      </w:r>
    </w:p>
    <w:p w:rsidR="0090115E" w:rsidRDefault="0090115E" w:rsidP="0090115E">
      <w:pPr>
        <w:pStyle w:val="ListParagraph"/>
        <w:ind w:left="1279"/>
        <w:jc w:val="both"/>
      </w:pPr>
    </w:p>
    <w:p w:rsidR="0090115E" w:rsidRPr="0070322E" w:rsidRDefault="0090115E" w:rsidP="0090115E">
      <w:pPr>
        <w:pStyle w:val="ListParagraph"/>
        <w:ind w:left="1279"/>
        <w:jc w:val="both"/>
        <w:rPr>
          <w:b/>
          <w:u w:val="single"/>
        </w:rPr>
      </w:pPr>
      <w:r w:rsidRPr="0070322E">
        <w:rPr>
          <w:b/>
          <w:u w:val="single"/>
        </w:rPr>
        <w:t xml:space="preserve">Directions </w:t>
      </w:r>
    </w:p>
    <w:p w:rsidR="0090115E" w:rsidRDefault="0090115E" w:rsidP="0090115E">
      <w:pPr>
        <w:pStyle w:val="ListParagraph"/>
        <w:ind w:left="1279"/>
        <w:jc w:val="both"/>
      </w:pPr>
    </w:p>
    <w:p w:rsidR="0090115E" w:rsidRDefault="0090115E" w:rsidP="0090115E">
      <w:pPr>
        <w:pStyle w:val="ListParagraph"/>
        <w:numPr>
          <w:ilvl w:val="0"/>
          <w:numId w:val="1"/>
        </w:numPr>
        <w:jc w:val="both"/>
      </w:pPr>
      <w:r>
        <w:t>All further documentary evidence shall be served and filed no later than five working days prior to the hearing. This shall include full statements of evidence from all witnesses.</w:t>
      </w:r>
    </w:p>
    <w:p w:rsidR="0090115E" w:rsidRDefault="0090115E" w:rsidP="0090115E">
      <w:pPr>
        <w:pStyle w:val="ListParagraph"/>
        <w:ind w:left="1279"/>
        <w:jc w:val="both"/>
      </w:pPr>
    </w:p>
    <w:p w:rsidR="007D3A3C" w:rsidRDefault="007D3A3C" w:rsidP="0090115E">
      <w:pPr>
        <w:tabs>
          <w:tab w:val="left" w:pos="567"/>
        </w:tabs>
        <w:spacing w:after="0" w:line="240" w:lineRule="auto"/>
        <w:ind w:left="1279"/>
        <w:contextualSpacing/>
        <w:jc w:val="both"/>
        <w:rPr>
          <w:rFonts w:eastAsia="Times New Roman" w:cs="Arial"/>
          <w:b/>
          <w:szCs w:val="24"/>
          <w:u w:val="single"/>
          <w:lang w:eastAsia="en-GB"/>
        </w:rPr>
      </w:pPr>
    </w:p>
    <w:p w:rsidR="007D3A3C" w:rsidRDefault="007D3A3C" w:rsidP="0090115E">
      <w:pPr>
        <w:tabs>
          <w:tab w:val="left" w:pos="567"/>
        </w:tabs>
        <w:spacing w:after="0" w:line="240" w:lineRule="auto"/>
        <w:ind w:left="1279"/>
        <w:contextualSpacing/>
        <w:jc w:val="both"/>
        <w:rPr>
          <w:rFonts w:eastAsia="Times New Roman" w:cs="Arial"/>
          <w:b/>
          <w:szCs w:val="24"/>
          <w:u w:val="single"/>
          <w:lang w:eastAsia="en-GB"/>
        </w:rPr>
      </w:pPr>
    </w:p>
    <w:p w:rsidR="007D3A3C" w:rsidRDefault="007D3A3C" w:rsidP="0090115E">
      <w:pPr>
        <w:tabs>
          <w:tab w:val="left" w:pos="567"/>
        </w:tabs>
        <w:spacing w:after="0" w:line="240" w:lineRule="auto"/>
        <w:ind w:left="1279"/>
        <w:contextualSpacing/>
        <w:jc w:val="both"/>
        <w:rPr>
          <w:rFonts w:eastAsia="Times New Roman" w:cs="Arial"/>
          <w:b/>
          <w:szCs w:val="24"/>
          <w:u w:val="single"/>
          <w:lang w:eastAsia="en-GB"/>
        </w:rPr>
      </w:pPr>
    </w:p>
    <w:p w:rsidR="007D3A3C" w:rsidRDefault="007D3A3C" w:rsidP="0090115E">
      <w:pPr>
        <w:tabs>
          <w:tab w:val="left" w:pos="567"/>
        </w:tabs>
        <w:spacing w:after="0" w:line="240" w:lineRule="auto"/>
        <w:ind w:left="1279"/>
        <w:contextualSpacing/>
        <w:jc w:val="both"/>
        <w:rPr>
          <w:rFonts w:eastAsia="Times New Roman" w:cs="Arial"/>
          <w:b/>
          <w:szCs w:val="24"/>
          <w:u w:val="single"/>
          <w:lang w:eastAsia="en-GB"/>
        </w:rPr>
      </w:pPr>
    </w:p>
    <w:p w:rsidR="0090115E" w:rsidRPr="00B07E0B" w:rsidRDefault="0090115E" w:rsidP="0090115E">
      <w:pPr>
        <w:tabs>
          <w:tab w:val="left" w:pos="567"/>
        </w:tabs>
        <w:spacing w:after="0" w:line="240" w:lineRule="auto"/>
        <w:ind w:left="1279"/>
        <w:contextualSpacing/>
        <w:jc w:val="both"/>
        <w:rPr>
          <w:rFonts w:eastAsia="Times New Roman" w:cs="Arial"/>
          <w:b/>
          <w:szCs w:val="24"/>
          <w:u w:val="single"/>
          <w:lang w:eastAsia="en-GB"/>
        </w:rPr>
      </w:pPr>
      <w:r w:rsidRPr="00B07E0B">
        <w:rPr>
          <w:rFonts w:eastAsia="Times New Roman" w:cs="Arial"/>
          <w:b/>
          <w:szCs w:val="24"/>
          <w:u w:val="single"/>
          <w:lang w:eastAsia="en-GB"/>
        </w:rPr>
        <w:lastRenderedPageBreak/>
        <w:t xml:space="preserve">Decision </w:t>
      </w:r>
    </w:p>
    <w:p w:rsidR="0090115E" w:rsidRPr="00B07E0B" w:rsidRDefault="0090115E" w:rsidP="0090115E">
      <w:pPr>
        <w:spacing w:after="0" w:line="240" w:lineRule="auto"/>
        <w:ind w:left="720"/>
        <w:contextualSpacing/>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Pr>
          <w:rFonts w:eastAsia="Times New Roman" w:cs="Arial"/>
          <w:szCs w:val="24"/>
          <w:lang w:eastAsia="en-GB"/>
        </w:rPr>
        <w:t xml:space="preserve">made a material </w:t>
      </w:r>
      <w:r w:rsidRPr="0043495E">
        <w:rPr>
          <w:rFonts w:eastAsia="Times New Roman" w:cs="Arial"/>
          <w:szCs w:val="24"/>
          <w:lang w:eastAsia="en-GB"/>
        </w:rPr>
        <w:t>error of law</w:t>
      </w:r>
      <w:r>
        <w:rPr>
          <w:rFonts w:eastAsia="Times New Roman" w:cs="Arial"/>
          <w:szCs w:val="24"/>
          <w:lang w:eastAsia="en-GB"/>
        </w:rPr>
        <w:t xml:space="preserve"> which necessitates the setting aside of the decision. The appeal shall be re-heard by another judge of the First-tier Tribunal and the decision shall be re-made</w:t>
      </w:r>
      <w:r w:rsidRPr="0043495E">
        <w:rPr>
          <w:rFonts w:eastAsia="Times New Roman" w:cs="Arial"/>
          <w:szCs w:val="24"/>
          <w:lang w:eastAsia="en-GB"/>
        </w:rPr>
        <w:t xml:space="preserve">. </w:t>
      </w:r>
    </w:p>
    <w:p w:rsidR="0090115E" w:rsidRDefault="0090115E" w:rsidP="0090115E">
      <w:pPr>
        <w:pStyle w:val="ListParagraph"/>
        <w:rPr>
          <w:rFonts w:eastAsia="Times New Roman" w:cs="Arial"/>
          <w:szCs w:val="24"/>
          <w:lang w:eastAsia="en-GB"/>
        </w:rPr>
      </w:pPr>
    </w:p>
    <w:p w:rsidR="0090115E" w:rsidRDefault="0090115E" w:rsidP="0090115E">
      <w:pPr>
        <w:numPr>
          <w:ilvl w:val="0"/>
          <w:numId w:val="1"/>
        </w:numPr>
        <w:tabs>
          <w:tab w:val="left" w:pos="567"/>
        </w:tabs>
        <w:spacing w:after="0" w:line="240" w:lineRule="auto"/>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90115E" w:rsidRDefault="0090115E" w:rsidP="0090115E">
      <w:pPr>
        <w:pStyle w:val="ListParagraph"/>
        <w:rPr>
          <w:rFonts w:eastAsia="Times New Roman" w:cs="Arial"/>
          <w:b/>
          <w:szCs w:val="24"/>
          <w:u w:val="single"/>
          <w:lang w:eastAsia="en-GB"/>
        </w:rPr>
      </w:pPr>
    </w:p>
    <w:p w:rsidR="0090115E" w:rsidRPr="00132928" w:rsidRDefault="0090115E" w:rsidP="0090115E">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continue the anonymity order made by the First-tier Tribunal. </w:t>
      </w:r>
    </w:p>
    <w:p w:rsidR="0090115E" w:rsidRPr="00B07E0B" w:rsidRDefault="0090115E" w:rsidP="0090115E">
      <w:pPr>
        <w:spacing w:after="0" w:line="240" w:lineRule="auto"/>
        <w:ind w:left="540" w:hanging="540"/>
        <w:jc w:val="both"/>
        <w:rPr>
          <w:rFonts w:eastAsia="Times New Roman" w:cs="Arial"/>
          <w:szCs w:val="24"/>
          <w:lang w:eastAsia="en-GB"/>
        </w:rPr>
      </w:pPr>
    </w:p>
    <w:p w:rsidR="0090115E" w:rsidRPr="00B07E0B" w:rsidRDefault="0090115E" w:rsidP="0090115E">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90115E" w:rsidRPr="00B07E0B" w:rsidRDefault="0090115E" w:rsidP="0090115E">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0035AA10" wp14:editId="25C9CBC8">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90115E" w:rsidRPr="00B07E0B" w:rsidRDefault="0090115E" w:rsidP="0090115E">
      <w:pPr>
        <w:tabs>
          <w:tab w:val="left" w:pos="2520"/>
        </w:tabs>
        <w:spacing w:after="0" w:line="240" w:lineRule="auto"/>
        <w:rPr>
          <w:rFonts w:eastAsia="Times New Roman" w:cs="Arial"/>
          <w:color w:val="000000"/>
          <w:szCs w:val="24"/>
          <w:lang w:eastAsia="en-GB"/>
        </w:rPr>
      </w:pPr>
    </w:p>
    <w:p w:rsidR="0090115E" w:rsidRPr="00B07E0B" w:rsidRDefault="0090115E" w:rsidP="0090115E">
      <w:pPr>
        <w:tabs>
          <w:tab w:val="left" w:pos="2520"/>
        </w:tabs>
        <w:spacing w:after="0" w:line="240" w:lineRule="auto"/>
        <w:rPr>
          <w:rFonts w:eastAsia="Times New Roman" w:cs="Arial"/>
          <w:color w:val="000000"/>
          <w:szCs w:val="24"/>
          <w:lang w:eastAsia="en-GB"/>
        </w:rPr>
      </w:pPr>
    </w:p>
    <w:p w:rsidR="0090115E" w:rsidRPr="00B07E0B" w:rsidRDefault="0090115E" w:rsidP="0090115E">
      <w:pPr>
        <w:tabs>
          <w:tab w:val="left" w:pos="2520"/>
        </w:tabs>
        <w:spacing w:after="0" w:line="240" w:lineRule="auto"/>
        <w:rPr>
          <w:rFonts w:eastAsia="Times New Roman" w:cs="Arial"/>
          <w:color w:val="000000"/>
          <w:szCs w:val="24"/>
          <w:lang w:eastAsia="en-GB"/>
        </w:rPr>
      </w:pPr>
    </w:p>
    <w:p w:rsidR="0090115E" w:rsidRPr="00132928" w:rsidRDefault="0090115E" w:rsidP="0090115E">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rsidR="0090115E" w:rsidRPr="00B07E0B" w:rsidRDefault="0090115E" w:rsidP="0090115E">
      <w:pPr>
        <w:spacing w:after="0" w:line="240" w:lineRule="auto"/>
        <w:rPr>
          <w:rFonts w:ascii="Times New Roman" w:eastAsia="Times New Roman" w:hAnsi="Times New Roman"/>
          <w:szCs w:val="24"/>
          <w:lang w:eastAsia="en-GB"/>
        </w:rPr>
      </w:pPr>
    </w:p>
    <w:p w:rsidR="0090115E" w:rsidRDefault="0090115E" w:rsidP="0090115E">
      <w:pPr>
        <w:spacing w:after="0" w:line="240" w:lineRule="auto"/>
      </w:pPr>
      <w:r w:rsidRPr="00B07E0B">
        <w:rPr>
          <w:rFonts w:ascii="Times New Roman" w:eastAsia="Times New Roman" w:hAnsi="Times New Roman"/>
          <w:szCs w:val="24"/>
          <w:lang w:eastAsia="en-GB"/>
        </w:rPr>
        <w:t xml:space="preserve">       Date: </w:t>
      </w:r>
      <w:r>
        <w:rPr>
          <w:rFonts w:ascii="Times New Roman" w:eastAsia="Times New Roman" w:hAnsi="Times New Roman"/>
          <w:szCs w:val="24"/>
          <w:lang w:eastAsia="en-GB"/>
        </w:rPr>
        <w:t>9 August 2018</w:t>
      </w:r>
    </w:p>
    <w:p w:rsidR="0090115E" w:rsidRDefault="0090115E" w:rsidP="0090115E"/>
    <w:p w:rsidR="0090115E" w:rsidRDefault="0090115E" w:rsidP="0090115E"/>
    <w:p w:rsidR="0090115E" w:rsidRDefault="0090115E" w:rsidP="0090115E"/>
    <w:p w:rsidR="0090115E" w:rsidRDefault="0090115E" w:rsidP="0090115E"/>
    <w:p w:rsidR="007B1745" w:rsidRDefault="007B1745"/>
    <w:sectPr w:rsidR="007B1745" w:rsidSect="0071016D">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C82" w:rsidRDefault="00ED7C82" w:rsidP="0090115E">
      <w:pPr>
        <w:spacing w:after="0" w:line="240" w:lineRule="auto"/>
      </w:pPr>
      <w:r>
        <w:separator/>
      </w:r>
    </w:p>
  </w:endnote>
  <w:endnote w:type="continuationSeparator" w:id="0">
    <w:p w:rsidR="00ED7C82" w:rsidRDefault="00ED7C82" w:rsidP="0090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16D" w:rsidRPr="00593795" w:rsidRDefault="0071016D" w:rsidP="0071016D">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15438">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16D" w:rsidRPr="00090CF9" w:rsidRDefault="0071016D" w:rsidP="0071016D">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C82" w:rsidRDefault="00ED7C82" w:rsidP="0090115E">
      <w:pPr>
        <w:spacing w:after="0" w:line="240" w:lineRule="auto"/>
      </w:pPr>
      <w:r>
        <w:separator/>
      </w:r>
    </w:p>
  </w:footnote>
  <w:footnote w:type="continuationSeparator" w:id="0">
    <w:p w:rsidR="00ED7C82" w:rsidRDefault="00ED7C82" w:rsidP="00901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16D" w:rsidRPr="003C5CE5" w:rsidRDefault="0071016D" w:rsidP="0071016D">
    <w:pPr>
      <w:pStyle w:val="Header"/>
      <w:jc w:val="right"/>
      <w:rPr>
        <w:rFonts w:ascii="Arial" w:hAnsi="Arial" w:cs="Arial"/>
        <w:sz w:val="16"/>
        <w:szCs w:val="16"/>
      </w:rPr>
    </w:pPr>
    <w:r>
      <w:rPr>
        <w:rFonts w:ascii="Arial" w:hAnsi="Arial" w:cs="Arial"/>
        <w:sz w:val="16"/>
        <w:szCs w:val="16"/>
      </w:rPr>
      <w:t>Appeal Number: PA/10866/2017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5E"/>
    <w:rsid w:val="0005760C"/>
    <w:rsid w:val="001F4293"/>
    <w:rsid w:val="002A6EFB"/>
    <w:rsid w:val="004D1BDD"/>
    <w:rsid w:val="004F7CA5"/>
    <w:rsid w:val="00515438"/>
    <w:rsid w:val="00541EBC"/>
    <w:rsid w:val="0071016D"/>
    <w:rsid w:val="00746BB7"/>
    <w:rsid w:val="007B1745"/>
    <w:rsid w:val="007D3A3C"/>
    <w:rsid w:val="0090115E"/>
    <w:rsid w:val="009D5758"/>
    <w:rsid w:val="00AC7894"/>
    <w:rsid w:val="00BD2779"/>
    <w:rsid w:val="00ED7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901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5E"/>
  </w:style>
  <w:style w:type="paragraph" w:styleId="Footer">
    <w:name w:val="footer"/>
    <w:basedOn w:val="Normal"/>
    <w:link w:val="FooterChar"/>
    <w:uiPriority w:val="99"/>
    <w:unhideWhenUsed/>
    <w:rsid w:val="0090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5E"/>
  </w:style>
  <w:style w:type="character" w:styleId="PageNumber">
    <w:name w:val="page number"/>
    <w:basedOn w:val="DefaultParagraphFont"/>
    <w:rsid w:val="0090115E"/>
  </w:style>
  <w:style w:type="table" w:styleId="TableGrid">
    <w:name w:val="Table Grid"/>
    <w:basedOn w:val="TableNormal"/>
    <w:rsid w:val="0090115E"/>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15E"/>
    <w:pPr>
      <w:ind w:left="720"/>
      <w:contextualSpacing/>
    </w:pPr>
  </w:style>
  <w:style w:type="paragraph" w:styleId="BalloonText">
    <w:name w:val="Balloon Text"/>
    <w:basedOn w:val="Normal"/>
    <w:link w:val="BalloonTextChar"/>
    <w:uiPriority w:val="99"/>
    <w:semiHidden/>
    <w:unhideWhenUsed/>
    <w:rsid w:val="009D5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2018-09-12T15:00:00Z</dcterms:created>
  <dcterms:modified xsi:type="dcterms:W3CDTF">2018-09-12T15:00:00Z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